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rFonts w:ascii="Arial" w:hAnsi="Arial"/>
          <w:b/>
          <w:color w:val="1E3A8A"/>
          <w:sz w:val="56"/>
        </w:rPr>
        <w:t>CANTOR DUST FINANCE PORTAL</w:t>
        <w:br/>
      </w:r>
    </w:p>
    <w:p>
      <w:pPr>
        <w:spacing w:after="5000"/>
        <w:jc w:val="center"/>
      </w:pPr>
      <w:r>
        <w:rPr>
          <w:rFonts w:ascii="Arial" w:hAnsi="Arial"/>
          <w:i/>
          <w:color w:val="475569"/>
          <w:sz w:val="28"/>
        </w:rPr>
        <w:t>Comprehensive User &amp; System Administrator Guide</w:t>
        <w:br/>
        <w:t>Version 1.0.0</w:t>
      </w:r>
    </w:p>
    <w:p>
      <w:pPr>
        <w:spacing w:after="200"/>
        <w:jc w:val="center"/>
      </w:pPr>
      <w:r>
        <w:rPr>
          <w:rFonts w:ascii="Arial" w:hAnsi="Arial"/>
          <w:color w:val="64748B"/>
          <w:sz w:val="20"/>
        </w:rPr>
        <w:t>Created for Cantor Dust Finance Team</w:t>
        <w:br/>
        <w:t>Nepal Calendar (B.S.) &amp; Tally Integration Compliant</w:t>
      </w:r>
    </w:p>
    <w:p>
      <w:r>
        <w:br w:type="page"/>
      </w:r>
    </w:p>
    <w:p>
      <w:pPr>
        <w:pStyle w:val="Heading1"/>
        <w:keepNext/>
        <w:spacing w:before="320" w:after="120"/>
      </w:pPr>
      <w:r>
        <w:rPr>
          <w:rFonts w:ascii="Arial" w:hAnsi="Arial"/>
          <w:b/>
          <w:color w:val="1E3A8A"/>
          <w:sz w:val="36"/>
        </w:rPr>
        <w:t>1. Introduction &amp; Architecture</w:t>
      </w:r>
    </w:p>
    <w:p>
      <w:r>
        <w:rPr>
          <w:rFonts w:ascii="Arial" w:hAnsi="Arial"/>
        </w:rPr>
        <w:t xml:space="preserve">The </w:t>
      </w:r>
      <w:r>
        <w:rPr>
          <w:b/>
        </w:rPr>
        <w:t>Cantor Dust Finance Portal</w:t>
      </w:r>
      <w:r>
        <w:t xml:space="preserve"> is a state-of-the-art double-entry accounting web application designed specifically for Nepalese business standards, fiscal regulations, and external ledger integrations. It combines a user-friendly frontend dashboard with rigid transactional validation, automated VAT calculations, and standardized Nepalese date conversions.</w:t>
      </w:r>
    </w:p>
    <w:p>
      <w:pPr>
        <w:pStyle w:val="Heading2"/>
        <w:keepNext/>
        <w:spacing w:before="320" w:after="120"/>
      </w:pPr>
      <w:r>
        <w:rPr>
          <w:rFonts w:ascii="Arial" w:hAnsi="Arial"/>
          <w:b/>
          <w:color w:val="0F172A"/>
          <w:sz w:val="26"/>
        </w:rPr>
        <w:t>1.1 Core System Features</w:t>
      </w:r>
    </w:p>
    <w:p>
      <w:pPr>
        <w:pStyle w:val="ListBullet"/>
      </w:pPr>
      <w:r>
        <w:rPr>
          <w:b/>
        </w:rPr>
        <w:t xml:space="preserve">Double-Entry Ledger Integrity: </w:t>
      </w:r>
      <w:r>
        <w:t>Every journal voucher verifies that Total Debits equal Total Credits prior to saving, maintaining strict mathematical alignment in accordance with accounting principles.</w:t>
      </w:r>
    </w:p>
    <w:p>
      <w:pPr>
        <w:pStyle w:val="ListBullet"/>
      </w:pPr>
      <w:r>
        <w:rPr>
          <w:b/>
        </w:rPr>
        <w:t xml:space="preserve">Multi-Role Permission System: </w:t>
      </w:r>
      <w:r>
        <w:t>Users are authenticated and divided into three logical levels: Admins (full management), Accountants (record and creation access), and Viewers (read-only reports).</w:t>
      </w:r>
    </w:p>
    <w:p>
      <w:pPr>
        <w:pStyle w:val="ListBullet"/>
      </w:pPr>
      <w:r>
        <w:rPr>
          <w:b/>
        </w:rPr>
        <w:t xml:space="preserve">Dual-Calendar Conversion Engine: </w:t>
      </w:r>
      <w:r>
        <w:t>Integrates Gregorian (AD) and Bikram Sambat (BS) calendars, allowing users to input transactions under either calendar while automatically synchronizing the other.</w:t>
      </w:r>
    </w:p>
    <w:p>
      <w:pPr>
        <w:pStyle w:val="ListBullet"/>
      </w:pPr>
      <w:r>
        <w:rPr>
          <w:b/>
        </w:rPr>
        <w:t xml:space="preserve">Tally ERP/Prime XML Master Export: </w:t>
      </w:r>
      <w:r>
        <w:t>Enables exporting transactional journals and ledger masters directly into standard Tally XML envelope format for offline desktop imports.</w:t>
      </w:r>
    </w:p>
    <w:p>
      <w:pPr>
        <w:pStyle w:val="Heading1"/>
        <w:keepNext/>
        <w:spacing w:before="320" w:after="120"/>
      </w:pPr>
      <w:r>
        <w:rPr>
          <w:rFonts w:ascii="Arial" w:hAnsi="Arial"/>
          <w:b/>
          <w:color w:val="1E3A8A"/>
          <w:sz w:val="36"/>
        </w:rPr>
        <w:t>2. Authentication &amp; User Roles</w:t>
      </w:r>
    </w:p>
    <w:p>
      <w:r>
        <w:t>The application secures all endpoints using JSON Web Tokens (JWT) passed in the HTTP Authorization headers. Session data (tokens and user roles) persists locally on the web browser.</w:t>
      </w:r>
    </w:p>
    <w:p>
      <w:pPr>
        <w:pStyle w:val="Heading2"/>
        <w:keepNext/>
        <w:spacing w:before="320" w:after="120"/>
      </w:pPr>
      <w:r>
        <w:rPr>
          <w:rFonts w:ascii="Arial" w:hAnsi="Arial"/>
          <w:b/>
          <w:color w:val="0F172A"/>
          <w:sz w:val="26"/>
        </w:rPr>
        <w:t>2.1 Access Control List (ACL)</w:t>
      </w:r>
    </w:p>
    <w:p>
      <w:r>
        <w:t>Features and mutations are restricted depending on the logged-in user role:</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Feature / Action</w:t>
            </w:r>
          </w:p>
        </w:tc>
        <w:tc>
          <w:tcPr>
            <w:tcW w:type="dxa" w:w="2340"/>
          </w:tcPr>
          <w:p>
            <w:r>
              <w:t>Viewer</w:t>
            </w:r>
          </w:p>
        </w:tc>
        <w:tc>
          <w:tcPr>
            <w:tcW w:type="dxa" w:w="2340"/>
          </w:tcPr>
          <w:p>
            <w:r>
              <w:t>Accountant</w:t>
            </w:r>
          </w:p>
        </w:tc>
        <w:tc>
          <w:tcPr>
            <w:tcW w:type="dxa" w:w="2340"/>
          </w:tcPr>
          <w:p>
            <w:r>
              <w:t>Administrator</w:t>
            </w:r>
          </w:p>
        </w:tc>
      </w:tr>
      <w:tr>
        <w:tc>
          <w:tcPr>
            <w:tcW w:type="dxa" w:w="2340"/>
          </w:tcPr>
          <w:p>
            <w:r>
              <w:t>Create &amp; Edit Transactions / Parties / Categories</w:t>
            </w:r>
          </w:p>
        </w:tc>
        <w:tc>
          <w:tcPr>
            <w:tcW w:type="dxa" w:w="2340"/>
          </w:tcPr>
          <w:p>
            <w:r>
              <w:t>Read-Only</w:t>
            </w:r>
          </w:p>
        </w:tc>
        <w:tc>
          <w:tcPr>
            <w:tcW w:type="dxa" w:w="2340"/>
          </w:tcPr>
          <w:p>
            <w:r>
              <w:t>Allowed</w:t>
            </w:r>
          </w:p>
        </w:tc>
        <w:tc>
          <w:tcPr>
            <w:tcW w:type="dxa" w:w="2340"/>
          </w:tcPr>
          <w:p>
            <w:r>
              <w:t>Allowed</w:t>
            </w:r>
          </w:p>
        </w:tc>
      </w:tr>
      <w:tr>
        <w:tc>
          <w:tcPr>
            <w:tcW w:type="dxa" w:w="2340"/>
          </w:tcPr>
          <w:p>
            <w:r>
              <w:t>Set/Modify Chart of Accounts &amp; Seed Ledger Defaults</w:t>
            </w:r>
          </w:p>
        </w:tc>
        <w:tc>
          <w:tcPr>
            <w:tcW w:type="dxa" w:w="2340"/>
          </w:tcPr>
          <w:p>
            <w:r>
              <w:t>Read-Only</w:t>
            </w:r>
          </w:p>
        </w:tc>
        <w:tc>
          <w:tcPr>
            <w:tcW w:type="dxa" w:w="2340"/>
          </w:tcPr>
          <w:p>
            <w:r>
              <w:t>Blocked (Admins Only)</w:t>
            </w:r>
          </w:p>
        </w:tc>
        <w:tc>
          <w:tcPr>
            <w:tcW w:type="dxa" w:w="2340"/>
          </w:tcPr>
          <w:p>
            <w:r>
              <w:t>Allowed</w:t>
            </w:r>
          </w:p>
        </w:tc>
      </w:tr>
      <w:tr>
        <w:tc>
          <w:tcPr>
            <w:tcW w:type="dxa" w:w="2340"/>
          </w:tcPr>
          <w:p>
            <w:r>
              <w:t>Delete Transactions or Journals</w:t>
            </w:r>
          </w:p>
        </w:tc>
        <w:tc>
          <w:tcPr>
            <w:tcW w:type="dxa" w:w="2340"/>
          </w:tcPr>
          <w:p>
            <w:r>
              <w:t>Blocked</w:t>
            </w:r>
          </w:p>
        </w:tc>
        <w:tc>
          <w:tcPr>
            <w:tcW w:type="dxa" w:w="2340"/>
          </w:tcPr>
          <w:p>
            <w:r>
              <w:t>Blocked (Admins Only)</w:t>
            </w:r>
          </w:p>
        </w:tc>
        <w:tc>
          <w:tcPr>
            <w:tcW w:type="dxa" w:w="2340"/>
          </w:tcPr>
          <w:p>
            <w:r>
              <w:t>Allowed</w:t>
            </w:r>
          </w:p>
        </w:tc>
      </w:tr>
      <w:tr>
        <w:tc>
          <w:tcPr>
            <w:tcW w:type="dxa" w:w="2340"/>
          </w:tcPr>
          <w:p>
            <w:r>
              <w:t>Access Financial Statements &amp; Excel/Tally Exports</w:t>
            </w:r>
          </w:p>
        </w:tc>
        <w:tc>
          <w:tcPr>
            <w:tcW w:type="dxa" w:w="2340"/>
          </w:tcPr>
          <w:p>
            <w:r>
              <w:t>Allowed</w:t>
            </w:r>
          </w:p>
        </w:tc>
        <w:tc>
          <w:tcPr>
            <w:tcW w:type="dxa" w:w="2340"/>
          </w:tcPr>
          <w:p>
            <w:r>
              <w:t>Allowed</w:t>
            </w:r>
          </w:p>
        </w:tc>
        <w:tc>
          <w:tcPr>
            <w:tcW w:type="dxa" w:w="2340"/>
          </w:tcPr>
          <w:p>
            <w:r>
              <w:t>Allowed</w:t>
            </w:r>
          </w:p>
        </w:tc>
      </w:tr>
    </w:tbl>
    <w:p>
      <w:pPr>
        <w:pStyle w:val="Heading1"/>
        <w:keepNext/>
        <w:spacing w:before="320" w:after="120"/>
      </w:pPr>
      <w:r>
        <w:rPr>
          <w:rFonts w:ascii="Arial" w:hAnsi="Arial"/>
          <w:b/>
          <w:color w:val="1E3A8A"/>
          <w:sz w:val="36"/>
        </w:rPr>
        <w:t>3. Chart of Accounts &amp; Opening Balances</w:t>
      </w:r>
    </w:p>
    <w:p>
      <w:r>
        <w:t>The Chart of Accounts manages the organization's account hierarchy. Codes are categorized by standard Nepalese accounting standards:</w:t>
      </w:r>
    </w:p>
    <w:p>
      <w:pPr>
        <w:pStyle w:val="ListBullet"/>
      </w:pPr>
      <w:r>
        <w:rPr>
          <w:b/>
        </w:rPr>
        <w:t xml:space="preserve">1000s — Assets: </w:t>
      </w:r>
      <w:r>
        <w:t>Represents physical assets, cash, bank accounts, and accounts receivables.</w:t>
      </w:r>
    </w:p>
    <w:p>
      <w:pPr>
        <w:pStyle w:val="ListBullet"/>
      </w:pPr>
      <w:r>
        <w:rPr>
          <w:b/>
        </w:rPr>
        <w:t xml:space="preserve">2000s — Liabilities: </w:t>
      </w:r>
      <w:r>
        <w:t>Represents current liabilities, payables, and long term borrowings.</w:t>
      </w:r>
    </w:p>
    <w:p>
      <w:pPr>
        <w:pStyle w:val="ListBullet"/>
      </w:pPr>
      <w:r>
        <w:rPr>
          <w:b/>
        </w:rPr>
        <w:t xml:space="preserve">3000s — Equity: </w:t>
      </w:r>
      <w:r>
        <w:t>Represents owner capital, share premiums, and retained earnings.</w:t>
      </w:r>
    </w:p>
    <w:p>
      <w:pPr>
        <w:pStyle w:val="ListBullet"/>
      </w:pPr>
      <w:r>
        <w:rPr>
          <w:b/>
        </w:rPr>
        <w:t xml:space="preserve">4000s — Income: </w:t>
      </w:r>
      <w:r>
        <w:t>Represents sales revenues and operating/non-operating income.</w:t>
      </w:r>
    </w:p>
    <w:p>
      <w:pPr>
        <w:pStyle w:val="ListBullet"/>
      </w:pPr>
      <w:r>
        <w:rPr>
          <w:b/>
        </w:rPr>
        <w:t xml:space="preserve">5000s — Expenses: </w:t>
      </w:r>
      <w:r>
        <w:t>Represents office rent, utilities, depreciation, and operating costs.</w:t>
      </w:r>
    </w:p>
    <w:p>
      <w:pPr>
        <w:pStyle w:val="Heading2"/>
        <w:keepNext/>
        <w:spacing w:before="320" w:after="120"/>
      </w:pPr>
      <w:r>
        <w:rPr>
          <w:rFonts w:ascii="Arial" w:hAnsi="Arial"/>
          <w:b/>
          <w:color w:val="0F172A"/>
          <w:sz w:val="26"/>
        </w:rPr>
        <w:t>3.1 Seeding Default Accounts</w:t>
      </w:r>
    </w:p>
    <w:p>
      <w:r>
        <w:t>When setting up a new company, Admins can seed a default Nepalese chart of accounts with a single click. This creates baseline system accounts (Cash, Bank Account, VAT Payable) that are flagged protected to prevent accidental deletion or renaming.</w:t>
      </w:r>
    </w:p>
    <w:p>
      <w:pPr>
        <w:pStyle w:val="Heading2"/>
        <w:keepNext/>
        <w:spacing w:before="320" w:after="120"/>
      </w:pPr>
      <w:r>
        <w:rPr>
          <w:rFonts w:ascii="Arial" w:hAnsi="Arial"/>
          <w:b/>
          <w:color w:val="0F172A"/>
          <w:sz w:val="26"/>
        </w:rPr>
        <w:t>3.2 Setting Opening Balances</w:t>
      </w:r>
    </w:p>
    <w:p>
      <w:r>
        <w:t>Opening balances can be set for all active accounts. For assets and expenses, opening balances default as Debit. For liabilities, equity, and income, they default as Credit. The portal monitors the debit and credit totals in real-time, verifying that the books balance before saving.</w:t>
      </w:r>
    </w:p>
    <w:p>
      <w:pPr>
        <w:pStyle w:val="Heading1"/>
        <w:keepNext/>
        <w:spacing w:before="320" w:after="120"/>
      </w:pPr>
      <w:r>
        <w:rPr>
          <w:rFonts w:ascii="Arial" w:hAnsi="Arial"/>
          <w:b/>
          <w:color w:val="1E3A8A"/>
          <w:sz w:val="36"/>
        </w:rPr>
        <w:t>4. Client &amp; Supplier Parties</w:t>
      </w:r>
    </w:p>
    <w:p>
      <w:r>
        <w:t>The Parties page handles business relationships. Parties are classified as Suppliers, Clients, Employees, or Other, which directly determines how their transactions affect the general ledgers and ageing buckets.</w:t>
      </w:r>
    </w:p>
    <w:p>
      <w:pPr>
        <w:pStyle w:val="Heading2"/>
        <w:keepNext/>
        <w:spacing w:before="320" w:after="120"/>
      </w:pPr>
      <w:r>
        <w:rPr>
          <w:rFonts w:ascii="Arial" w:hAnsi="Arial"/>
          <w:b/>
          <w:color w:val="0F172A"/>
          <w:sz w:val="26"/>
        </w:rPr>
        <w:t>4.1 Party Statement &amp; History</w:t>
      </w:r>
    </w:p>
    <w:p>
      <w:r>
        <w:t>Clicking on any party displays their Ledger Statement. This slide-over panel provides:</w:t>
      </w:r>
    </w:p>
    <w:p>
      <w:pPr>
        <w:pStyle w:val="ListBullet"/>
      </w:pPr>
      <w:r>
        <w:rPr>
          <w:b/>
        </w:rPr>
        <w:t>Total Received / Total Paid summaries</w:t>
      </w:r>
    </w:p>
    <w:p>
      <w:pPr>
        <w:pStyle w:val="ListBullet"/>
      </w:pPr>
      <w:r>
        <w:rPr>
          <w:b/>
        </w:rPr>
        <w:t>Net outstanding balance (receivable or payable)</w:t>
      </w:r>
    </w:p>
    <w:p>
      <w:pPr>
        <w:pStyle w:val="ListBullet"/>
      </w:pPr>
      <w:r>
        <w:rPr>
          <w:b/>
        </w:rPr>
        <w:t>Itemized chronological transaction log</w:t>
      </w:r>
    </w:p>
    <w:p>
      <w:pPr>
        <w:pStyle w:val="Heading2"/>
        <w:keepNext/>
        <w:spacing w:before="320" w:after="120"/>
      </w:pPr>
      <w:r>
        <w:rPr>
          <w:rFonts w:ascii="Arial" w:hAnsi="Arial"/>
          <w:b/>
          <w:color w:val="0F172A"/>
          <w:sz w:val="26"/>
        </w:rPr>
        <w:t>4.2 Opening Balances for Parties</w:t>
      </w:r>
    </w:p>
    <w:p>
      <w:r>
        <w:t>Admins can specify opening balances for parties (Receivables for clients, Payables for suppliers). These values feed directly into the Aging report to track aging debt from before the system's launch.</w:t>
      </w:r>
    </w:p>
    <w:p>
      <w:pPr>
        <w:pStyle w:val="Heading1"/>
        <w:keepNext/>
        <w:spacing w:before="320" w:after="120"/>
      </w:pPr>
      <w:r>
        <w:rPr>
          <w:rFonts w:ascii="Arial" w:hAnsi="Arial"/>
          <w:b/>
          <w:color w:val="1E3A8A"/>
          <w:sz w:val="36"/>
        </w:rPr>
        <w:t>5. Transaction &amp; Voucher Entry</w:t>
      </w:r>
    </w:p>
    <w:p>
      <w:r>
        <w:t>The transaction entry engine supports recording daily income/expense items with advanced calculations:</w:t>
      </w:r>
    </w:p>
    <w:p>
      <w:pPr>
        <w:pStyle w:val="ListBullet"/>
      </w:pPr>
      <w:r>
        <w:rPr>
          <w:b/>
        </w:rPr>
        <w:t xml:space="preserve">Line-Item Breakdown: </w:t>
      </w:r>
      <w:r>
        <w:t>Create multiple items with custom quantities and unit prices. Subtotals are dynamically calculated.</w:t>
      </w:r>
    </w:p>
    <w:p>
      <w:pPr>
        <w:pStyle w:val="ListBullet"/>
      </w:pPr>
      <w:r>
        <w:rPr>
          <w:b/>
        </w:rPr>
        <w:t xml:space="preserve">VAT &amp; Discount Handling: </w:t>
      </w:r>
      <w:r>
        <w:t>Toggle VAT applicability (standard 13% or custom). Discounts reduce the net taxable amount, and the system automatically calculates the VAT and gross amounts.</w:t>
      </w:r>
    </w:p>
    <w:p>
      <w:pPr>
        <w:pStyle w:val="ListBullet"/>
      </w:pPr>
      <w:r>
        <w:rPr>
          <w:b/>
        </w:rPr>
        <w:t xml:space="preserve">Secure Cloud Uploads: </w:t>
      </w:r>
      <w:r>
        <w:t>Drag and drop invoice PDFs or images. These are uploaded securely via Cloudinary, and attachment links are resolved globally for audits.</w:t>
      </w:r>
    </w:p>
    <w:p>
      <w:pPr>
        <w:pStyle w:val="Heading2"/>
        <w:keepNext/>
        <w:spacing w:before="320" w:after="120"/>
      </w:pPr>
      <w:r>
        <w:rPr>
          <w:rFonts w:ascii="Arial" w:hAnsi="Arial"/>
          <w:b/>
          <w:color w:val="0F172A"/>
          <w:sz w:val="26"/>
        </w:rPr>
        <w:t>5.1 Journal Vouchers (JV) &amp; Contra Vouchers</w:t>
      </w:r>
    </w:p>
    <w:p>
      <w:r>
        <w:t>For internal adjustments (depreciation, opening entries) and bank/cash transfers, use the Journal Entries tab. The validator enforces:</w:t>
      </w:r>
    </w:p>
    <w:p>
      <w:pPr>
        <w:pStyle w:val="ListBullet"/>
      </w:pPr>
      <w:r>
        <w:t>At least 2 lines (one debit, one credit).</w:t>
      </w:r>
    </w:p>
    <w:p>
      <w:pPr>
        <w:pStyle w:val="ListBullet"/>
      </w:pPr>
      <w:r>
        <w:t>Each line must reference a valid account.</w:t>
      </w:r>
    </w:p>
    <w:p>
      <w:pPr>
        <w:pStyle w:val="ListBullet"/>
      </w:pPr>
      <w:r>
        <w:t>Sum of Debits must equal Sum of Credits down to 2 decimal places.</w:t>
      </w:r>
    </w:p>
    <w:p>
      <w:pPr>
        <w:pStyle w:val="Heading1"/>
        <w:keepNext/>
        <w:spacing w:before="320" w:after="120"/>
      </w:pPr>
      <w:r>
        <w:rPr>
          <w:rFonts w:ascii="Arial" w:hAnsi="Arial"/>
          <w:b/>
          <w:color w:val="1E3A8A"/>
          <w:sz w:val="36"/>
        </w:rPr>
        <w:t>6. Financial Reporting</w:t>
      </w:r>
    </w:p>
    <w:p>
      <w:r>
        <w:t>Reports gather all double-entry postings in real time to present financial health summaries:</w:t>
      </w:r>
    </w:p>
    <w:p>
      <w:pPr>
        <w:pStyle w:val="Heading2"/>
        <w:keepNext/>
        <w:spacing w:before="320" w:after="120"/>
      </w:pPr>
      <w:r>
        <w:rPr>
          <w:rFonts w:ascii="Arial" w:hAnsi="Arial"/>
          <w:b/>
          <w:color w:val="0F172A"/>
          <w:sz w:val="26"/>
        </w:rPr>
        <w:t>6.1 Profit &amp; Loss (P&amp;L) Statement</w:t>
      </w:r>
    </w:p>
    <w:p>
      <w:r>
        <w:t>Gathers income and expenses, computes gross income, total expenditures, and Net Profit. It renders a monthly breakdown chart visualization showing seasonal financial trends.</w:t>
      </w:r>
    </w:p>
    <w:p>
      <w:pPr>
        <w:pStyle w:val="Heading2"/>
        <w:keepNext/>
        <w:spacing w:before="320" w:after="120"/>
      </w:pPr>
      <w:r>
        <w:rPr>
          <w:rFonts w:ascii="Arial" w:hAnsi="Arial"/>
          <w:b/>
          <w:color w:val="0F172A"/>
          <w:sz w:val="26"/>
        </w:rPr>
        <w:t>6.2 Trial Balance</w:t>
      </w:r>
    </w:p>
    <w:p>
      <w:r>
        <w:t>Lists all active accounts with their cumulative Debits, Credits, and Net Balances. Ensures total debits equal total credits for the organization.</w:t>
      </w:r>
    </w:p>
    <w:p>
      <w:pPr>
        <w:pStyle w:val="Heading2"/>
        <w:keepNext/>
        <w:spacing w:before="320" w:after="120"/>
      </w:pPr>
      <w:r>
        <w:rPr>
          <w:rFonts w:ascii="Arial" w:hAnsi="Arial"/>
          <w:b/>
          <w:color w:val="0F172A"/>
          <w:sz w:val="26"/>
        </w:rPr>
        <w:t>6.3 Balance Sheet</w:t>
      </w:r>
    </w:p>
    <w:p>
      <w:r>
        <w:t>Generates a statement of financial position as of a specific date. Automatically structures assets, liabilities, and equity, verifies that Assets = Liabilities + Equity, and handles period net profit internally.</w:t>
      </w:r>
    </w:p>
    <w:p>
      <w:pPr>
        <w:pStyle w:val="Heading2"/>
        <w:keepNext/>
        <w:spacing w:before="320" w:after="120"/>
      </w:pPr>
      <w:r>
        <w:rPr>
          <w:rFonts w:ascii="Arial" w:hAnsi="Arial"/>
          <w:b/>
          <w:color w:val="0F172A"/>
          <w:sz w:val="26"/>
        </w:rPr>
        <w:t>6.4 VAT Summary</w:t>
      </w:r>
    </w:p>
    <w:p>
      <w:r>
        <w:t>Aggregates all input VAT (taxes paid on purchases) and output VAT (taxes collected on sales) to determine the net tax payable to or refundable from the Inland Revenue Department (IRD).</w:t>
      </w:r>
    </w:p>
    <w:p>
      <w:pPr>
        <w:pStyle w:val="Heading2"/>
        <w:keepNext/>
        <w:spacing w:before="320" w:after="120"/>
      </w:pPr>
      <w:r>
        <w:rPr>
          <w:rFonts w:ascii="Arial" w:hAnsi="Arial"/>
          <w:b/>
          <w:color w:val="0F172A"/>
          <w:sz w:val="26"/>
        </w:rPr>
        <w:t>6.5 Aging Report</w:t>
      </w:r>
    </w:p>
    <w:p>
      <w:r>
        <w:t>Groups client receivables and supplier payables into aging categories (0-30, 31-60, 61-90, 90+ days) to manage working capital and outstanding collections.</w:t>
      </w:r>
    </w:p>
    <w:p>
      <w:pPr>
        <w:pStyle w:val="Heading1"/>
        <w:keepNext/>
        <w:spacing w:before="320" w:after="120"/>
      </w:pPr>
      <w:r>
        <w:rPr>
          <w:rFonts w:ascii="Arial" w:hAnsi="Arial"/>
          <w:b/>
          <w:color w:val="1E3A8A"/>
          <w:sz w:val="36"/>
        </w:rPr>
        <w:t>7. System Administration &amp; Integration</w:t>
      </w:r>
    </w:p>
    <w:p>
      <w:r>
        <w:t>The site provides robust backup and system integrations:</w:t>
      </w:r>
    </w:p>
    <w:p>
      <w:pPr>
        <w:pStyle w:val="ListBullet"/>
      </w:pPr>
      <w:r>
        <w:rPr>
          <w:b/>
        </w:rPr>
        <w:t xml:space="preserve">Excel Exports: </w:t>
      </w:r>
      <w:r>
        <w:t>Export transaction logs, ledger logs, and statements directly into spreadsheet formats for custom reporting.</w:t>
      </w:r>
    </w:p>
    <w:p>
      <w:pPr>
        <w:pStyle w:val="ListBullet"/>
      </w:pPr>
      <w:r>
        <w:rPr>
          <w:b/>
        </w:rPr>
        <w:t xml:space="preserve">Tally Integration: </w:t>
      </w:r>
      <w:r>
        <w:t>Generates standard Tally-compliant XML envelopes. Tally requires master accounts to be defined before transaction entry, so the export compiles Ledger Master declarations first and Vouchers second. It also tags transactions as 'exported' to prevent duplicate postings.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