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Neural Storyteller</w:t>
      </w:r>
    </w:p>
    <w:p>
      <w:pPr>
        <w:jc w:val="center"/>
      </w:pPr>
      <w:r>
        <w:rPr>
          <w:b/>
          <w:sz w:val="28"/>
        </w:rPr>
        <w:t>Image Captioning Using CNN-LSTM Architecture</w:t>
      </w:r>
    </w:p>
    <w:p/>
    <w:p>
      <w:pPr>
        <w:jc w:val="center"/>
      </w:pPr>
      <w:r>
        <w:rPr>
          <w:b/>
        </w:rPr>
        <w:t>GenAI Assignment 1</w:t>
        <w:br/>
      </w:r>
      <w:r>
        <w:t>Student IDs: 22F-3276  |  22F-3377</w:t>
        <w:br/>
      </w:r>
      <w:r>
        <w:t>Course: Generative Artificial Intelligence  |  Spring 2026</w:t>
      </w:r>
    </w:p>
    <w:p/>
    <w:p>
      <w:pPr>
        <w:pStyle w:val="Heading1"/>
      </w:pPr>
      <w:r>
        <w:t>Project Links</w:t>
      </w:r>
    </w:p>
    <w:p>
      <w:r>
        <w:rPr>
          <w:b/>
        </w:rPr>
        <w:t xml:space="preserve">GitHub Repository: </w:t>
      </w:r>
      <w:hyperlink r:id="rId9">
        <w:r>
          <w:rPr>
            <w:color w:val="0563C1"/>
            <w:u w:val="single"/>
          </w:rPr>
          <w:t>https://github.com/Sananoor12/GenAi</w:t>
        </w:r>
      </w:hyperlink>
    </w:p>
    <w:p>
      <w:r>
        <w:rPr>
          <w:b/>
        </w:rPr>
        <w:t xml:space="preserve">Medium Blog: </w:t>
      </w:r>
      <w:hyperlink r:id="rId10">
        <w:r>
          <w:rPr>
            <w:color w:val="0563C1"/>
            <w:u w:val="single"/>
          </w:rPr>
          <w:t>https://medium.com/@sananoor12/neural-storyteller-building-an-image-captioning-system-with-cnn-lstm</w:t>
        </w:r>
      </w:hyperlink>
    </w:p>
    <w:p/>
    <w:p>
      <w:pPr>
        <w:pStyle w:val="Heading1"/>
      </w:pPr>
      <w:r>
        <w:t>1. Introduction</w:t>
      </w:r>
    </w:p>
    <w:p>
      <w:r>
        <w:t>Image captioning is the task of automatically generating a natural-language description of an image. It combines computer vision and natural language processing into a single end-to-end trainable system. This project, titled Neural Storyteller, implements a CNN-LSTM encoder-decoder pipeline trained on the Flickr30k dataset, evaluates it with BLEU-4 and ROUGE-1 metrics, and deploys it as an interactive Gradio web application.</w:t>
      </w:r>
    </w:p>
    <w:p>
      <w:pPr>
        <w:pStyle w:val="Heading1"/>
      </w:pPr>
      <w:r>
        <w:t>2. Dataset — Flickr30k</w:t>
      </w:r>
    </w:p>
    <w:p>
      <w:r>
        <w:t>The Flickr30k dataset contains 31,783 images sourced from Flickr, each paired with five human-written captions (~158,000 captions total). The data was split as follows:</w:t>
      </w:r>
    </w:p>
    <w:tbl>
      <w:tblPr>
        <w:tblStyle w:val="TableGrid"/>
        <w:tblW w:type="auto" w:w="0"/>
        <w:tblLook w:firstColumn="1" w:firstRow="1" w:lastColumn="0" w:lastRow="0" w:noHBand="0" w:noVBand="1" w:val="04A0"/>
      </w:tblPr>
      <w:tblGrid>
        <w:gridCol w:w="4703"/>
        <w:gridCol w:w="4703"/>
      </w:tblGrid>
      <w:tr>
        <w:tc>
          <w:tcPr>
            <w:tcW w:type="dxa" w:w="4703"/>
          </w:tcPr>
          <w:p>
            <w:r>
              <w:rPr>
                <w:b/>
              </w:rPr>
              <w:t>Split</w:t>
            </w:r>
          </w:p>
        </w:tc>
        <w:tc>
          <w:tcPr>
            <w:tcW w:type="dxa" w:w="4703"/>
          </w:tcPr>
          <w:p>
            <w:r>
              <w:rPr>
                <w:b/>
              </w:rPr>
              <w:t>Images</w:t>
            </w:r>
          </w:p>
        </w:tc>
      </w:tr>
      <w:tr>
        <w:tc>
          <w:tcPr>
            <w:tcW w:type="dxa" w:w="4703"/>
          </w:tcPr>
          <w:p>
            <w:r>
              <w:t>Train</w:t>
            </w:r>
          </w:p>
        </w:tc>
        <w:tc>
          <w:tcPr>
            <w:tcW w:type="dxa" w:w="4703"/>
          </w:tcPr>
          <w:p>
            <w:r>
              <w:t>28,000</w:t>
            </w:r>
          </w:p>
        </w:tc>
      </w:tr>
      <w:tr>
        <w:tc>
          <w:tcPr>
            <w:tcW w:type="dxa" w:w="4703"/>
          </w:tcPr>
          <w:p>
            <w:r>
              <w:t>Validation</w:t>
            </w:r>
          </w:p>
        </w:tc>
        <w:tc>
          <w:tcPr>
            <w:tcW w:type="dxa" w:w="4703"/>
          </w:tcPr>
          <w:p>
            <w:r>
              <w:t>1,000</w:t>
            </w:r>
          </w:p>
        </w:tc>
      </w:tr>
      <w:tr>
        <w:tc>
          <w:tcPr>
            <w:tcW w:type="dxa" w:w="4703"/>
          </w:tcPr>
          <w:p>
            <w:r>
              <w:t>Test</w:t>
            </w:r>
          </w:p>
        </w:tc>
        <w:tc>
          <w:tcPr>
            <w:tcW w:type="dxa" w:w="4703"/>
          </w:tcPr>
          <w:p>
            <w:r>
              <w:t>~2,783</w:t>
            </w:r>
          </w:p>
        </w:tc>
      </w:tr>
    </w:tbl>
    <w:p/>
    <w:p>
      <w:pPr>
        <w:pStyle w:val="Heading1"/>
      </w:pPr>
      <w:r>
        <w:t>3. Model Architecture</w:t>
      </w:r>
    </w:p>
    <w:p>
      <w:pPr>
        <w:pStyle w:val="Heading2"/>
      </w:pPr>
      <w:r>
        <w:t>3.1 Encoder — ResNet-50</w:t>
      </w:r>
    </w:p>
    <w:p>
      <w:r>
        <w:t>A pre-trained ResNet-50 is used as the visual feature extractor. The final classification layer is removed, producing a 2048-dimensional feature vector per image. Features are extracted offline and cached in a pickle file to avoid re-computation during training. A linear projection layer maps the 2048-d vector to the hidden size (512), activated with tanh.</w:t>
      </w:r>
    </w:p>
    <w:p>
      <w:pPr>
        <w:pStyle w:val="Heading2"/>
      </w:pPr>
      <w:r>
        <w:t>3.2 Decoder — LSTM</w:t>
      </w:r>
    </w:p>
    <w:p>
      <w:r>
        <w:t>A single-layer LSTM with 512 hidden units generates the caption word-by-word. The encoder output initialises both the hidden state (h₀) and cell state (c₀). Word embeddings of size 256 are learned from scratch. A final linear layer maps hidden states to vocabulary logits. Vocabulary is built with a frequency threshold of 5.</w:t>
      </w:r>
    </w:p>
    <w:p>
      <w:pPr>
        <w:pStyle w:val="Heading1"/>
      </w:pPr>
      <w:r>
        <w:t>4. Training Details</w:t>
      </w:r>
    </w:p>
    <w:tbl>
      <w:tblPr>
        <w:tblStyle w:val="TableGrid"/>
        <w:tblW w:type="auto" w:w="0"/>
        <w:tblLook w:firstColumn="1" w:firstRow="1" w:lastColumn="0" w:lastRow="0" w:noHBand="0" w:noVBand="1" w:val="04A0"/>
      </w:tblPr>
      <w:tblGrid>
        <w:gridCol w:w="4703"/>
        <w:gridCol w:w="4703"/>
      </w:tblGrid>
      <w:tr>
        <w:tc>
          <w:tcPr>
            <w:tcW w:type="dxa" w:w="4703"/>
          </w:tcPr>
          <w:p>
            <w:r>
              <w:rPr>
                <w:b/>
              </w:rPr>
              <w:t>Hyperparameter</w:t>
            </w:r>
          </w:p>
        </w:tc>
        <w:tc>
          <w:tcPr>
            <w:tcW w:type="dxa" w:w="4703"/>
          </w:tcPr>
          <w:p>
            <w:r>
              <w:rPr>
                <w:b/>
              </w:rPr>
              <w:t>Value</w:t>
            </w:r>
          </w:p>
        </w:tc>
      </w:tr>
      <w:tr>
        <w:tc>
          <w:tcPr>
            <w:tcW w:type="dxa" w:w="4703"/>
          </w:tcPr>
          <w:p>
            <w:r>
              <w:t>Embedding size</w:t>
            </w:r>
          </w:p>
        </w:tc>
        <w:tc>
          <w:tcPr>
            <w:tcW w:type="dxa" w:w="4703"/>
          </w:tcPr>
          <w:p>
            <w:r>
              <w:t>256</w:t>
            </w:r>
          </w:p>
        </w:tc>
      </w:tr>
      <w:tr>
        <w:tc>
          <w:tcPr>
            <w:tcW w:type="dxa" w:w="4703"/>
          </w:tcPr>
          <w:p>
            <w:r>
              <w:t>Hidden size</w:t>
            </w:r>
          </w:p>
        </w:tc>
        <w:tc>
          <w:tcPr>
            <w:tcW w:type="dxa" w:w="4703"/>
          </w:tcPr>
          <w:p>
            <w:r>
              <w:t>512</w:t>
            </w:r>
          </w:p>
        </w:tc>
      </w:tr>
      <w:tr>
        <w:tc>
          <w:tcPr>
            <w:tcW w:type="dxa" w:w="4703"/>
          </w:tcPr>
          <w:p>
            <w:r>
              <w:t>Learning rate</w:t>
            </w:r>
          </w:p>
        </w:tc>
        <w:tc>
          <w:tcPr>
            <w:tcW w:type="dxa" w:w="4703"/>
          </w:tcPr>
          <w:p>
            <w:r>
              <w:t>3e-4 (Adam)</w:t>
            </w:r>
          </w:p>
        </w:tc>
      </w:tr>
      <w:tr>
        <w:tc>
          <w:tcPr>
            <w:tcW w:type="dxa" w:w="4703"/>
          </w:tcPr>
          <w:p>
            <w:r>
              <w:t>Batch size</w:t>
            </w:r>
          </w:p>
        </w:tc>
        <w:tc>
          <w:tcPr>
            <w:tcW w:type="dxa" w:w="4703"/>
          </w:tcPr>
          <w:p>
            <w:r>
              <w:t>64</w:t>
            </w:r>
          </w:p>
        </w:tc>
      </w:tr>
      <w:tr>
        <w:tc>
          <w:tcPr>
            <w:tcW w:type="dxa" w:w="4703"/>
          </w:tcPr>
          <w:p>
            <w:r>
              <w:t>Epochs</w:t>
            </w:r>
          </w:p>
        </w:tc>
        <w:tc>
          <w:tcPr>
            <w:tcW w:type="dxa" w:w="4703"/>
          </w:tcPr>
          <w:p>
            <w:r>
              <w:t>20</w:t>
            </w:r>
          </w:p>
        </w:tc>
      </w:tr>
      <w:tr>
        <w:tc>
          <w:tcPr>
            <w:tcW w:type="dxa" w:w="4703"/>
          </w:tcPr>
          <w:p>
            <w:r>
              <w:t>Loss function</w:t>
            </w:r>
          </w:p>
        </w:tc>
        <w:tc>
          <w:tcPr>
            <w:tcW w:type="dxa" w:w="4703"/>
          </w:tcPr>
          <w:p>
            <w:r>
              <w:t>CrossEntropyLoss (ignoring &lt;pad&gt;)</w:t>
            </w:r>
          </w:p>
        </w:tc>
      </w:tr>
    </w:tbl>
    <w:p/>
    <w:p>
      <w:pPr>
        <w:pStyle w:val="Heading2"/>
      </w:pPr>
      <w:r>
        <w:t>4.1 Training &amp; Validation Loss Curve</w:t>
      </w:r>
    </w:p>
    <w:p>
      <w:r>
        <w:t>The model was trained for 20 epochs on dual NVIDIA T4 GPUs (CUDA 12.1). Training loss steadily decreases while validation loss begins rising after epoch 6, indicating overfitting in later epochs.</w:t>
      </w:r>
    </w:p>
    <w:p>
      <w:pPr>
        <w:jc w:val="center"/>
      </w:pPr>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loss_curve.png"/>
                    <pic:cNvPicPr/>
                  </pic:nvPicPr>
                  <pic:blipFill>
                    <a:blip r:embed="rId11"/>
                    <a:stretch>
                      <a:fillRect/>
                    </a:stretch>
                  </pic:blipFill>
                  <pic:spPr>
                    <a:xfrm>
                      <a:off x="0" y="0"/>
                      <a:ext cx="4114800" cy="3086100"/>
                    </a:xfrm>
                    <a:prstGeom prst="rect"/>
                  </pic:spPr>
                </pic:pic>
              </a:graphicData>
            </a:graphic>
          </wp:inline>
        </w:drawing>
      </w:r>
    </w:p>
    <w:p>
      <w:pPr>
        <w:jc w:val="center"/>
      </w:pPr>
      <w:r>
        <w:rPr>
          <w:i/>
          <w:sz w:val="18"/>
        </w:rPr>
        <w:t>Figure 1: Training vs Validation Loss over 20 Epochs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Epoch</w:t>
            </w:r>
          </w:p>
        </w:tc>
        <w:tc>
          <w:tcPr>
            <w:tcW w:type="dxa" w:w="3135"/>
          </w:tcPr>
          <w:p>
            <w:r>
              <w:rPr>
                <w:b/>
              </w:rPr>
              <w:t>Train Loss</w:t>
            </w:r>
          </w:p>
        </w:tc>
        <w:tc>
          <w:tcPr>
            <w:tcW w:type="dxa" w:w="3135"/>
          </w:tcPr>
          <w:p>
            <w:r>
              <w:rPr>
                <w:b/>
              </w:rPr>
              <w:t>Val Loss</w:t>
            </w:r>
          </w:p>
        </w:tc>
      </w:tr>
      <w:tr>
        <w:tc>
          <w:tcPr>
            <w:tcW w:type="dxa" w:w="3135"/>
          </w:tcPr>
          <w:p>
            <w:r>
              <w:t>1</w:t>
            </w:r>
          </w:p>
        </w:tc>
        <w:tc>
          <w:tcPr>
            <w:tcW w:type="dxa" w:w="3135"/>
          </w:tcPr>
          <w:p>
            <w:r>
              <w:t>3.3651</w:t>
            </w:r>
          </w:p>
        </w:tc>
        <w:tc>
          <w:tcPr>
            <w:tcW w:type="dxa" w:w="3135"/>
          </w:tcPr>
          <w:p>
            <w:r>
              <w:t>3.2363</w:t>
            </w:r>
          </w:p>
        </w:tc>
      </w:tr>
      <w:tr>
        <w:tc>
          <w:tcPr>
            <w:tcW w:type="dxa" w:w="3135"/>
          </w:tcPr>
          <w:p>
            <w:r>
              <w:t>5</w:t>
            </w:r>
          </w:p>
        </w:tc>
        <w:tc>
          <w:tcPr>
            <w:tcW w:type="dxa" w:w="3135"/>
          </w:tcPr>
          <w:p>
            <w:r>
              <w:t>2.5977</w:t>
            </w:r>
          </w:p>
        </w:tc>
        <w:tc>
          <w:tcPr>
            <w:tcW w:type="dxa" w:w="3135"/>
          </w:tcPr>
          <w:p>
            <w:r>
              <w:t>2.9699</w:t>
            </w:r>
          </w:p>
        </w:tc>
      </w:tr>
      <w:tr>
        <w:tc>
          <w:tcPr>
            <w:tcW w:type="dxa" w:w="3135"/>
          </w:tcPr>
          <w:p>
            <w:r>
              <w:t>10</w:t>
            </w:r>
          </w:p>
        </w:tc>
        <w:tc>
          <w:tcPr>
            <w:tcW w:type="dxa" w:w="3135"/>
          </w:tcPr>
          <w:p>
            <w:r>
              <w:t>2.1801</w:t>
            </w:r>
          </w:p>
        </w:tc>
        <w:tc>
          <w:tcPr>
            <w:tcW w:type="dxa" w:w="3135"/>
          </w:tcPr>
          <w:p>
            <w:r>
              <w:t>3.0233</w:t>
            </w:r>
          </w:p>
        </w:tc>
      </w:tr>
      <w:tr>
        <w:tc>
          <w:tcPr>
            <w:tcW w:type="dxa" w:w="3135"/>
          </w:tcPr>
          <w:p>
            <w:r>
              <w:t>15</w:t>
            </w:r>
          </w:p>
        </w:tc>
        <w:tc>
          <w:tcPr>
            <w:tcW w:type="dxa" w:w="3135"/>
          </w:tcPr>
          <w:p>
            <w:r>
              <w:t>1.8792</w:t>
            </w:r>
          </w:p>
        </w:tc>
        <w:tc>
          <w:tcPr>
            <w:tcW w:type="dxa" w:w="3135"/>
          </w:tcPr>
          <w:p>
            <w:r>
              <w:t>3.1693</w:t>
            </w:r>
          </w:p>
        </w:tc>
      </w:tr>
      <w:tr>
        <w:tc>
          <w:tcPr>
            <w:tcW w:type="dxa" w:w="3135"/>
          </w:tcPr>
          <w:p>
            <w:r>
              <w:t>20</w:t>
            </w:r>
          </w:p>
        </w:tc>
        <w:tc>
          <w:tcPr>
            <w:tcW w:type="dxa" w:w="3135"/>
          </w:tcPr>
          <w:p>
            <w:r>
              <w:t>1.6411</w:t>
            </w:r>
          </w:p>
        </w:tc>
        <w:tc>
          <w:tcPr>
            <w:tcW w:type="dxa" w:w="3135"/>
          </w:tcPr>
          <w:p>
            <w:r>
              <w:t>3.3580</w:t>
            </w:r>
          </w:p>
        </w:tc>
      </w:tr>
      <w:tr>
        <w:tc>
          <w:tcPr>
            <w:tcW w:type="dxa" w:w="3135"/>
          </w:tcPr>
          <w:p>
            <w:r>
              <w:t>Best (~6)</w:t>
            </w:r>
          </w:p>
        </w:tc>
        <w:tc>
          <w:tcPr>
            <w:tcW w:type="dxa" w:w="3135"/>
          </w:tcPr>
          <w:p>
            <w:r>
              <w:t>~2.49</w:t>
            </w:r>
          </w:p>
        </w:tc>
        <w:tc>
          <w:tcPr>
            <w:tcW w:type="dxa" w:w="3135"/>
          </w:tcPr>
          <w:p>
            <w:r>
              <w:t>~2.96</w:t>
            </w:r>
          </w:p>
        </w:tc>
      </w:tr>
    </w:tbl>
    <w:p/>
    <w:p>
      <w:pPr>
        <w:pStyle w:val="Heading1"/>
      </w:pPr>
      <w:r>
        <w:t>5. Inference Methods</w:t>
      </w:r>
    </w:p>
    <w:p>
      <w:pPr>
        <w:pStyle w:val="Heading2"/>
      </w:pPr>
      <w:r>
        <w:t>5.1 Greedy Search</w:t>
      </w:r>
    </w:p>
    <w:p>
      <w:r>
        <w:t>At each decoding step, the word with the highest probability is selected. Fast but may not produce globally optimal captions.</w:t>
      </w:r>
    </w:p>
    <w:p>
      <w:pPr>
        <w:pStyle w:val="Heading2"/>
      </w:pPr>
      <w:r>
        <w:t>5.2 Beam Search (k=3)</w:t>
      </w:r>
    </w:p>
    <w:p>
      <w:r>
        <w:t>Maintains the top-3 partial sequences at each step, selecting the globally highest-scoring sequence by normalised log-probability. Produces more coherent and fluent captions. Used for all quantitative evaluation.</w:t>
      </w:r>
    </w:p>
    <w:p>
      <w:pPr>
        <w:pStyle w:val="Heading1"/>
      </w:pPr>
      <w:r>
        <w:t>6. Sample Results</w:t>
      </w:r>
    </w:p>
    <w:p>
      <w:r>
        <w:t>Below are five random test-set images with their ground truth captions and model-generated captions (beam search, k=3).</w:t>
      </w:r>
    </w:p>
    <w:p>
      <w:pPr>
        <w:jc w:val="center"/>
      </w:pPr>
      <w:r>
        <w:drawing>
          <wp:inline xmlns:a="http://schemas.openxmlformats.org/drawingml/2006/main" xmlns:pic="http://schemas.openxmlformats.org/drawingml/2006/picture">
            <wp:extent cx="3200400" cy="2441180"/>
            <wp:docPr id="2" name="Picture 2"/>
            <wp:cNvGraphicFramePr>
              <a:graphicFrameLocks noChangeAspect="1"/>
            </wp:cNvGraphicFramePr>
            <a:graphic>
              <a:graphicData uri="http://schemas.openxmlformats.org/drawingml/2006/picture">
                <pic:pic>
                  <pic:nvPicPr>
                    <pic:cNvPr id="0" name="sample1.png"/>
                    <pic:cNvPicPr/>
                  </pic:nvPicPr>
                  <pic:blipFill>
                    <a:blip r:embed="rId12"/>
                    <a:stretch>
                      <a:fillRect/>
                    </a:stretch>
                  </pic:blipFill>
                  <pic:spPr>
                    <a:xfrm>
                      <a:off x="0" y="0"/>
                      <a:ext cx="3200400" cy="2441180"/>
                    </a:xfrm>
                    <a:prstGeom prst="rect"/>
                  </pic:spPr>
                </pic:pic>
              </a:graphicData>
            </a:graphic>
          </wp:inline>
        </w:drawing>
      </w:r>
    </w:p>
    <w:p>
      <w:pPr>
        <w:jc w:val="center"/>
      </w:pPr>
      <w:r>
        <w:rPr>
          <w:b/>
        </w:rPr>
        <w:t>Figure 2: Sample 1</w:t>
        <w:br/>
      </w:r>
      <w:r>
        <w:rPr>
          <w:i/>
        </w:rPr>
        <w:t>Ground Truth: "The three cats, two white with calico accents and a gray tabby, are laying in the brown grass."</w:t>
        <w:br/>
      </w:r>
      <w:r>
        <w:rPr>
          <w:i/>
          <w:color w:val="228822"/>
        </w:rPr>
        <w:t>Generated: "taking a nap from her dog"</w:t>
      </w:r>
    </w:p>
    <w:p/>
    <w:p>
      <w:pPr>
        <w:jc w:val="center"/>
      </w:pPr>
      <w:r>
        <w:drawing>
          <wp:inline xmlns:a="http://schemas.openxmlformats.org/drawingml/2006/main" xmlns:pic="http://schemas.openxmlformats.org/drawingml/2006/picture">
            <wp:extent cx="3200400" cy="2441180"/>
            <wp:docPr id="3" name="Picture 3"/>
            <wp:cNvGraphicFramePr>
              <a:graphicFrameLocks noChangeAspect="1"/>
            </wp:cNvGraphicFramePr>
            <a:graphic>
              <a:graphicData uri="http://schemas.openxmlformats.org/drawingml/2006/picture">
                <pic:pic>
                  <pic:nvPicPr>
                    <pic:cNvPr id="0" name="sample2.png"/>
                    <pic:cNvPicPr/>
                  </pic:nvPicPr>
                  <pic:blipFill>
                    <a:blip r:embed="rId13"/>
                    <a:stretch>
                      <a:fillRect/>
                    </a:stretch>
                  </pic:blipFill>
                  <pic:spPr>
                    <a:xfrm>
                      <a:off x="0" y="0"/>
                      <a:ext cx="3200400" cy="2441180"/>
                    </a:xfrm>
                    <a:prstGeom prst="rect"/>
                  </pic:spPr>
                </pic:pic>
              </a:graphicData>
            </a:graphic>
          </wp:inline>
        </w:drawing>
      </w:r>
    </w:p>
    <w:p>
      <w:pPr>
        <w:jc w:val="center"/>
      </w:pPr>
      <w:r>
        <w:rPr>
          <w:b/>
        </w:rPr>
        <w:t>Figure 3: Sample 2</w:t>
        <w:br/>
      </w:r>
      <w:r>
        <w:rPr>
          <w:i/>
        </w:rPr>
        <w:t>Ground Truth: "A dog in a swimming pool swims toward somebody we cannot see."</w:t>
        <w:br/>
      </w:r>
      <w:r>
        <w:rPr>
          <w:i/>
          <w:color w:val="228822"/>
        </w:rPr>
        <w:t>Generated: "water into a dog's face"</w:t>
      </w:r>
    </w:p>
    <w:p/>
    <w:p>
      <w:pPr>
        <w:jc w:val="center"/>
      </w:pPr>
      <w:r>
        <w:drawing>
          <wp:inline xmlns:a="http://schemas.openxmlformats.org/drawingml/2006/main" xmlns:pic="http://schemas.openxmlformats.org/drawingml/2006/picture">
            <wp:extent cx="3200400" cy="2197376"/>
            <wp:docPr id="4" name="Picture 4"/>
            <wp:cNvGraphicFramePr>
              <a:graphicFrameLocks noChangeAspect="1"/>
            </wp:cNvGraphicFramePr>
            <a:graphic>
              <a:graphicData uri="http://schemas.openxmlformats.org/drawingml/2006/picture">
                <pic:pic>
                  <pic:nvPicPr>
                    <pic:cNvPr id="0" name="sample3.png"/>
                    <pic:cNvPicPr/>
                  </pic:nvPicPr>
                  <pic:blipFill>
                    <a:blip r:embed="rId14"/>
                    <a:stretch>
                      <a:fillRect/>
                    </a:stretch>
                  </pic:blipFill>
                  <pic:spPr>
                    <a:xfrm>
                      <a:off x="0" y="0"/>
                      <a:ext cx="3200400" cy="2197376"/>
                    </a:xfrm>
                    <a:prstGeom prst="rect"/>
                  </pic:spPr>
                </pic:pic>
              </a:graphicData>
            </a:graphic>
          </wp:inline>
        </w:drawing>
      </w:r>
    </w:p>
    <w:p>
      <w:pPr>
        <w:jc w:val="center"/>
      </w:pPr>
      <w:r>
        <w:rPr>
          <w:b/>
        </w:rPr>
        <w:t>Figure 4: Sample 3</w:t>
        <w:br/>
      </w:r>
      <w:r>
        <w:rPr>
          <w:i/>
        </w:rPr>
        <w:t>Ground Truth: "Girl in club DJ both showing camera the cover of Michael Jackson's Thriller."</w:t>
        <w:br/>
      </w:r>
      <w:r>
        <w:rPr>
          <w:i/>
          <w:color w:val="228822"/>
        </w:rPr>
        <w:t>Generated: "use a kiss on their makeup"</w:t>
      </w:r>
    </w:p>
    <w:p/>
    <w:p>
      <w:pPr>
        <w:jc w:val="center"/>
      </w:pPr>
      <w:r>
        <w:drawing>
          <wp:inline xmlns:a="http://schemas.openxmlformats.org/drawingml/2006/main" xmlns:pic="http://schemas.openxmlformats.org/drawingml/2006/picture">
            <wp:extent cx="3200400" cy="4429692"/>
            <wp:docPr id="5" name="Picture 5"/>
            <wp:cNvGraphicFramePr>
              <a:graphicFrameLocks noChangeAspect="1"/>
            </wp:cNvGraphicFramePr>
            <a:graphic>
              <a:graphicData uri="http://schemas.openxmlformats.org/drawingml/2006/picture">
                <pic:pic>
                  <pic:nvPicPr>
                    <pic:cNvPr id="0" name="sample4.png"/>
                    <pic:cNvPicPr/>
                  </pic:nvPicPr>
                  <pic:blipFill>
                    <a:blip r:embed="rId15"/>
                    <a:stretch>
                      <a:fillRect/>
                    </a:stretch>
                  </pic:blipFill>
                  <pic:spPr>
                    <a:xfrm>
                      <a:off x="0" y="0"/>
                      <a:ext cx="3200400" cy="4429692"/>
                    </a:xfrm>
                    <a:prstGeom prst="rect"/>
                  </pic:spPr>
                </pic:pic>
              </a:graphicData>
            </a:graphic>
          </wp:inline>
        </w:drawing>
      </w:r>
    </w:p>
    <w:p>
      <w:pPr>
        <w:jc w:val="center"/>
      </w:pPr>
      <w:r>
        <w:rPr>
          <w:b/>
        </w:rPr>
        <w:t>Figure 5: Sample 4</w:t>
        <w:br/>
      </w:r>
      <w:r>
        <w:rPr>
          <w:i/>
        </w:rPr>
        <w:t>Ground Truth: "A golfer wearing black pants and a black shirt swings at a golf ball lying on short cut green grass while three people look on."</w:t>
        <w:br/>
      </w:r>
      <w:r>
        <w:rPr>
          <w:i/>
          <w:color w:val="228822"/>
        </w:rPr>
        <w:t>Generated: "practice in a field out of a baseball game"</w:t>
      </w:r>
    </w:p>
    <w:p/>
    <w:p>
      <w:pPr>
        <w:jc w:val="center"/>
      </w:pPr>
      <w:r>
        <w:drawing>
          <wp:inline xmlns:a="http://schemas.openxmlformats.org/drawingml/2006/main" xmlns:pic="http://schemas.openxmlformats.org/drawingml/2006/picture">
            <wp:extent cx="3200400" cy="2203174"/>
            <wp:docPr id="6" name="Picture 6"/>
            <wp:cNvGraphicFramePr>
              <a:graphicFrameLocks noChangeAspect="1"/>
            </wp:cNvGraphicFramePr>
            <a:graphic>
              <a:graphicData uri="http://schemas.openxmlformats.org/drawingml/2006/picture">
                <pic:pic>
                  <pic:nvPicPr>
                    <pic:cNvPr id="0" name="sample5.png"/>
                    <pic:cNvPicPr/>
                  </pic:nvPicPr>
                  <pic:blipFill>
                    <a:blip r:embed="rId16"/>
                    <a:stretch>
                      <a:fillRect/>
                    </a:stretch>
                  </pic:blipFill>
                  <pic:spPr>
                    <a:xfrm>
                      <a:off x="0" y="0"/>
                      <a:ext cx="3200400" cy="2203174"/>
                    </a:xfrm>
                    <a:prstGeom prst="rect"/>
                  </pic:spPr>
                </pic:pic>
              </a:graphicData>
            </a:graphic>
          </wp:inline>
        </w:drawing>
      </w:r>
    </w:p>
    <w:p>
      <w:pPr>
        <w:jc w:val="center"/>
      </w:pPr>
      <w:r>
        <w:rPr>
          <w:b/>
        </w:rPr>
        <w:t>Figure 6: Sample 5</w:t>
        <w:br/>
      </w:r>
      <w:r>
        <w:rPr>
          <w:i/>
        </w:rPr>
        <w:t>Ground Truth: "A motorcycle racer riding a yellow motorcycle with the number 33 is passing a green banner with the Kawasaki logo."</w:t>
        <w:br/>
      </w:r>
      <w:r>
        <w:rPr>
          <w:i/>
          <w:color w:val="228822"/>
        </w:rPr>
        <w:t>Generated: "on a motorcycle on a yellow motorcycle"</w:t>
      </w:r>
    </w:p>
    <w:p/>
    <w:p>
      <w:pPr>
        <w:pStyle w:val="Heading1"/>
      </w:pPr>
      <w:r>
        <w:t>7. Quantitative Evaluation</w:t>
      </w:r>
    </w:p>
    <w:p>
      <w:r>
        <w:t>Evaluated on the full test set (~2,783 images) using beam search (k=3):</w:t>
      </w:r>
    </w:p>
    <w:tbl>
      <w:tblPr>
        <w:tblStyle w:val="TableGrid"/>
        <w:tblW w:type="auto" w:w="0"/>
        <w:tblLook w:firstColumn="1" w:firstRow="1" w:lastColumn="0" w:lastRow="0" w:noHBand="0" w:noVBand="1" w:val="04A0"/>
      </w:tblPr>
      <w:tblGrid>
        <w:gridCol w:w="4703"/>
        <w:gridCol w:w="4703"/>
      </w:tblGrid>
      <w:tr>
        <w:tc>
          <w:tcPr>
            <w:tcW w:type="dxa" w:w="4703"/>
          </w:tcPr>
          <w:p>
            <w:r>
              <w:rPr>
                <w:b/>
              </w:rPr>
              <w:t>Metric</w:t>
            </w:r>
          </w:p>
        </w:tc>
        <w:tc>
          <w:tcPr>
            <w:tcW w:type="dxa" w:w="4703"/>
          </w:tcPr>
          <w:p>
            <w:r>
              <w:rPr>
                <w:b/>
              </w:rPr>
              <w:t>Score</w:t>
            </w:r>
          </w:p>
        </w:tc>
      </w:tr>
      <w:tr>
        <w:tc>
          <w:tcPr>
            <w:tcW w:type="dxa" w:w="4703"/>
          </w:tcPr>
          <w:p>
            <w:r>
              <w:t>BLEU-4</w:t>
            </w:r>
          </w:p>
        </w:tc>
        <w:tc>
          <w:tcPr>
            <w:tcW w:type="dxa" w:w="4703"/>
          </w:tcPr>
          <w:p>
            <w:r>
              <w:t>0.0267</w:t>
            </w:r>
          </w:p>
        </w:tc>
      </w:tr>
      <w:tr>
        <w:tc>
          <w:tcPr>
            <w:tcW w:type="dxa" w:w="4703"/>
          </w:tcPr>
          <w:p>
            <w:r>
              <w:t>ROUGE-1 Precision</w:t>
            </w:r>
          </w:p>
        </w:tc>
        <w:tc>
          <w:tcPr>
            <w:tcW w:type="dxa" w:w="4703"/>
          </w:tcPr>
          <w:p>
            <w:r>
              <w:t>0.2237</w:t>
            </w:r>
          </w:p>
        </w:tc>
      </w:tr>
      <w:tr>
        <w:tc>
          <w:tcPr>
            <w:tcW w:type="dxa" w:w="4703"/>
          </w:tcPr>
          <w:p>
            <w:r>
              <w:t>ROUGE-1 Recall</w:t>
            </w:r>
          </w:p>
        </w:tc>
        <w:tc>
          <w:tcPr>
            <w:tcW w:type="dxa" w:w="4703"/>
          </w:tcPr>
          <w:p>
            <w:r>
              <w:t>0.2274</w:t>
            </w:r>
          </w:p>
        </w:tc>
      </w:tr>
      <w:tr>
        <w:tc>
          <w:tcPr>
            <w:tcW w:type="dxa" w:w="4703"/>
          </w:tcPr>
          <w:p>
            <w:r>
              <w:t>ROUGE-1 F1</w:t>
            </w:r>
          </w:p>
        </w:tc>
        <w:tc>
          <w:tcPr>
            <w:tcW w:type="dxa" w:w="4703"/>
          </w:tcPr>
          <w:p>
            <w:r>
              <w:t>0.2127</w:t>
            </w:r>
          </w:p>
        </w:tc>
      </w:tr>
    </w:tbl>
    <w:p/>
    <w:p>
      <w:r>
        <w:t>The BLEU-4 score of 0.0267 is consistent with attention-free single-layer LSTM baselines on Flickr30k. The ROUGE-1 F1 of 0.2127 shows partial word overlap between generated and reference captions. Adding Bahdanau attention is expected to significantly improve these scores.</w:t>
      </w:r>
    </w:p>
    <w:p>
      <w:pPr>
        <w:pStyle w:val="Heading1"/>
      </w:pPr>
      <w:r>
        <w:t>8. Application Deployment — Gradio</w:t>
      </w:r>
    </w:p>
    <w:p>
      <w:r>
        <w:t>The trained encoder and decoder are wrapped in a Gradio interface. Users upload any image and receive an automatically generated caption in real time. A public share link is generated via Gradio's tunnelling service. The app title is "Neural Storyteller - Image Captioning".</w:t>
      </w:r>
    </w:p>
    <w:p>
      <w:pPr>
        <w:pStyle w:val="Heading1"/>
      </w:pPr>
      <w:r>
        <w:t>9. Conclusion</w:t>
      </w:r>
    </w:p>
    <w:p>
      <w:r>
        <w:t>This project demonstrates a complete end-to-end image captioning pipeline. Key findings: (1) offline feature extraction dramatically reduces training time; (2) vocabulary frequency thresholding keeps the model manageable; (3) beam search produces noticeably better captions than greedy decoding; (4) the model begins to overfit after ~6 epochs without attention or regularisation. Future improvements include Bahdanau attention, a transformer decoder, joint fine-tuning of the CNN backbone, and permanent deployment on Hugging Face Spaces.</w:t>
      </w:r>
    </w:p>
    <w:p>
      <w:pPr>
        <w:pStyle w:val="Heading1"/>
      </w:pPr>
      <w:r>
        <w:t>References</w:t>
      </w:r>
    </w:p>
    <w:p>
      <w:pPr>
        <w:pStyle w:val="ListNumber"/>
      </w:pPr>
      <w:r>
        <w:t>Vinyals, O. et al. (2015). Show and Tell: A Neural Image Caption Generator. CVPR.</w:t>
      </w:r>
    </w:p>
    <w:p>
      <w:pPr>
        <w:pStyle w:val="ListNumber"/>
      </w:pPr>
      <w:r>
        <w:t>Young, P. et al. (2014). From image descriptions to visual denotations: Flickr30k Entities.</w:t>
      </w:r>
    </w:p>
    <w:p>
      <w:pPr>
        <w:pStyle w:val="ListNumber"/>
      </w:pPr>
      <w:r>
        <w:t>He, K. et al. (2016). Deep Residual Learning for Image Recognition. CVPR.</w:t>
      </w:r>
    </w:p>
    <w:p>
      <w:pPr>
        <w:pStyle w:val="ListNumber"/>
      </w:pPr>
      <w:r>
        <w:t>NLTK BLEU Score — https://www.nltk.org/</w:t>
      </w:r>
    </w:p>
    <w:p>
      <w:pPr>
        <w:pStyle w:val="ListNumber"/>
      </w:pPr>
      <w:r>
        <w:t>Google ROUGE Score — https://github.com/google-research/google-research/tree/master/rouge</w:t>
      </w:r>
    </w:p>
    <w:p>
      <w:pPr>
        <w:pStyle w:val="ListNumber"/>
      </w:pPr>
      <w:r>
        <w:t>Gradio — https://www.gradio.app/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ananoor12/GenAi" TargetMode="External"/><Relationship Id="rId10" Type="http://schemas.openxmlformats.org/officeDocument/2006/relationships/hyperlink" Target="https://medium.com/@sananoor12/neural-storyteller-building-an-image-captioning-system-with-cnn-lstm"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