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4E79"/>
          <w:sz w:val="44"/>
        </w:rPr>
        <w:t>Advanced Production Pipeline for Heart Disease Prediction</w:t>
      </w:r>
    </w:p>
    <w:p>
      <w:pPr>
        <w:spacing w:after="240"/>
      </w:pPr>
      <w:r>
        <w:rPr>
          <w:rFonts w:ascii="Arial" w:hAnsi="Arial"/>
          <w:color w:val="7F7F7F"/>
          <w:sz w:val="24"/>
        </w:rPr>
        <w:t>Fine-Tuning Tree-Based Ensemble Models within Column-Transformer Architecture</w:t>
      </w:r>
    </w:p>
    <w:p>
      <w:pPr>
        <w:spacing w:after="360"/>
        <w:pBdr>
          <w:bottom w:val="single" w:sz="18" w:space="1" w:color="1F4E79"/>
        </w:pBdr>
      </w:pPr>
    </w:p>
    <w:p>
      <w:pPr>
        <w:spacing w:after="480" w:line="312" w:lineRule="auto"/>
      </w:pPr>
      <w:r>
        <w:rPr>
          <w:b/>
          <w:color w:val="262626"/>
          <w:sz w:val="20"/>
        </w:rPr>
        <w:t xml:space="preserve">Prepared For:  </w:t>
      </w:r>
      <w:r>
        <w:rPr>
          <w:color w:val="262626"/>
          <w:sz w:val="20"/>
        </w:rPr>
        <w:t>Machine Learning Portfolio</w:t>
        <w:br/>
      </w:r>
      <w:r>
        <w:rPr>
          <w:b/>
          <w:color w:val="262626"/>
          <w:sz w:val="20"/>
        </w:rPr>
        <w:t xml:space="preserve">Dataset:  </w:t>
      </w:r>
      <w:r>
        <w:rPr>
          <w:color w:val="262626"/>
          <w:sz w:val="20"/>
        </w:rPr>
        <w:t>UCI Heart Disease Clinical Dataset (1,025 Records, 14 Features)</w:t>
        <w:br/>
      </w:r>
      <w:r>
        <w:rPr>
          <w:b/>
          <w:color w:val="262626"/>
          <w:sz w:val="20"/>
        </w:rPr>
        <w:t xml:space="preserve">Architecture:  </w:t>
      </w:r>
      <w:r>
        <w:rPr>
          <w:color w:val="262626"/>
          <w:sz w:val="20"/>
        </w:rPr>
        <w:t>Scikit-Learn Pipeline, ColumnTransformer, RandomForestClassifier</w:t>
        <w:br/>
      </w:r>
      <w:r>
        <w:rPr>
          <w:b/>
          <w:color w:val="262626"/>
          <w:sz w:val="20"/>
        </w:rPr>
        <w:t xml:space="preserve">Status:  </w:t>
      </w:r>
      <w:r>
        <w:rPr>
          <w:color w:val="262626"/>
          <w:sz w:val="20"/>
        </w:rPr>
        <w:t>Completed — 93.17% Generalization Accuracy &amp; Well-Calibrated Boundaries</w:t>
        <w:br/>
      </w:r>
    </w:p>
    <w:p>
      <w:pPr>
        <w:keepNext/>
        <w:spacing w:before="360" w:after="120"/>
      </w:pPr>
      <w:r>
        <w:rPr>
          <w:rFonts w:ascii="Arial" w:hAnsi="Arial"/>
          <w:b/>
          <w:color w:val="1F4E79"/>
          <w:sz w:val="32"/>
        </w:rPr>
        <w:t>1. Executive Summary</w:t>
      </w:r>
    </w:p>
    <w:p>
      <w:r>
        <w:t>This engineering initiative implements a state-of-the-art predictive healthcare framework designed to automate cardiovascular risk classification at a clinical scale. Utilizing the UCI Heart Disease Dataset—comprising 1,025 full-patient records with 14 clinical parameters—the pipeline transitions away from simple diagnostic heuristics to analyze integrated multi-dimensional physiological interactions. By designing a unified, non-leaking Scikit-Learn preprocessing pipeline mapped directly into a restricted Random Forest architecture, the model achieves highly calibrated probability distributions. Real-time validation sandboxes confirmed outstanding system generalization, yielding an overall accuracy of 93.17%, a peak recall rate of 95.24% on confirmed cardiovascular pathology, and a mathematically balanced 24.29% baseline score on structurally stable patient control profiles.</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36" w:space="0" w:color="1F4E79"/>
              <w:top w:val="none"/>
              <w:right w:val="none"/>
              <w:bottom w:val="none"/>
            </w:tcBorders>
          </w:tcPr>
          <w:p>
            <w:pPr>
              <w:spacing w:before="40" w:after="40" w:line="276" w:lineRule="auto"/>
            </w:pPr>
            <w:r>
              <w:rPr>
                <w:rFonts w:ascii="Arial" w:hAnsi="Arial"/>
                <w:color w:val="262626"/>
                <w:sz w:val="20"/>
              </w:rPr>
              <w:t>🔑 Core Engineering Highlights:</w:t>
            </w:r>
          </w:p>
          <w:p>
            <w:pPr>
              <w:spacing w:before="40" w:after="40" w:line="276" w:lineRule="auto"/>
            </w:pPr>
            <w:r>
              <w:rPr>
                <w:rFonts w:ascii="Arial" w:hAnsi="Arial"/>
                <w:color w:val="1F4E79"/>
                <w:sz w:val="20"/>
              </w:rPr>
              <w:t xml:space="preserve">• </w:t>
            </w:r>
            <w:r>
              <w:rPr>
                <w:rFonts w:ascii="Arial" w:hAnsi="Arial"/>
                <w:b/>
                <w:color w:val="262626"/>
                <w:sz w:val="20"/>
              </w:rPr>
              <w:t>Multi-Modal Feature Mapping:</w:t>
            </w:r>
            <w:r>
              <w:rPr>
                <w:rFonts w:ascii="Arial" w:hAnsi="Arial"/>
                <w:color w:val="262626"/>
                <w:sz w:val="20"/>
              </w:rPr>
              <w:t xml:space="preserve"> Encapsulates distinct categorical descriptors and continuous vital curves simultaneously without introducing runtime state leakage.</w:t>
            </w:r>
          </w:p>
          <w:p>
            <w:pPr>
              <w:spacing w:before="40" w:after="40" w:line="276" w:lineRule="auto"/>
            </w:pPr>
            <w:r>
              <w:rPr>
                <w:rFonts w:ascii="Arial" w:hAnsi="Arial"/>
                <w:color w:val="1F4E79"/>
                <w:sz w:val="20"/>
              </w:rPr>
              <w:t xml:space="preserve">• </w:t>
            </w:r>
            <w:r>
              <w:rPr>
                <w:rFonts w:ascii="Arial" w:hAnsi="Arial"/>
                <w:b/>
                <w:color w:val="262626"/>
                <w:sz w:val="20"/>
              </w:rPr>
              <w:t>Clinical Safety Calibration:</w:t>
            </w:r>
            <w:r>
              <w:rPr>
                <w:rFonts w:ascii="Arial" w:hAnsi="Arial"/>
                <w:color w:val="262626"/>
                <w:sz w:val="20"/>
              </w:rPr>
              <w:t xml:space="preserve"> Prioritizes a minimized False Negative threshold, yielding an exceptional 95.24% recall to ensure high-risk symptomatic profiles are not misclassified as healthy.</w:t>
            </w:r>
          </w:p>
          <w:p>
            <w:pPr>
              <w:spacing w:before="40" w:after="40" w:line="276" w:lineRule="auto"/>
            </w:pPr>
            <w:r>
              <w:rPr>
                <w:rFonts w:ascii="Arial" w:hAnsi="Arial"/>
                <w:color w:val="1F4E79"/>
                <w:sz w:val="20"/>
              </w:rPr>
              <w:t xml:space="preserve">• </w:t>
            </w:r>
            <w:r>
              <w:rPr>
                <w:rFonts w:ascii="Arial" w:hAnsi="Arial"/>
                <w:b/>
                <w:color w:val="262626"/>
                <w:sz w:val="20"/>
              </w:rPr>
              <w:t>Standardized Asset Governance:</w:t>
            </w:r>
            <w:r>
              <w:rPr>
                <w:rFonts w:ascii="Arial" w:hAnsi="Arial"/>
                <w:color w:val="262626"/>
                <w:sz w:val="20"/>
              </w:rPr>
              <w:t xml:space="preserve"> Successfully encapsulates the full feature encoder and modeling weights into a unified, industry-compliant heart_disease_prediction_pipeline.joblib payload.</w:t>
            </w:r>
          </w:p>
        </w:tc>
      </w:tr>
    </w:tbl>
    <w:p>
      <w:pPr>
        <w:keepNext/>
        <w:spacing w:before="360" w:after="120"/>
      </w:pPr>
      <w:r>
        <w:rPr>
          <w:rFonts w:ascii="Arial" w:hAnsi="Arial"/>
          <w:b/>
          <w:color w:val="1F4E79"/>
          <w:sz w:val="32"/>
        </w:rPr>
        <w:t>2. Pipeline Architecture &amp; Engineering Design</w:t>
      </w:r>
    </w:p>
    <w:p>
      <w:r>
        <w:t>The technical development lifecycle split tasks into isolated modules to maintain mathematical transformation validity, clean target stratification boundaries, and strict production execution rules.</w:t>
      </w:r>
    </w:p>
    <w:p>
      <w:pPr>
        <w:keepNext/>
        <w:spacing w:before="240" w:after="80"/>
      </w:pPr>
      <w:r>
        <w:rPr>
          <w:rFonts w:ascii="Arial" w:hAnsi="Arial"/>
          <w:b/>
          <w:color w:val="2E75B6"/>
          <w:sz w:val="26"/>
        </w:rPr>
        <w:t>2.1 High-Throughput Preprocessing &amp; Feature Isolation</w:t>
      </w:r>
    </w:p>
    <w:p>
      <w:r>
        <w:t>Raw clinical inputs contain differing units and unaligned metric scales. Continuous numeric series are automatically isolated and mapped via an enterprise ColumnTransformer to ensure robust optimization. The pipeline partitions data mechanically via the following transformation components:</w:t>
      </w:r>
    </w:p>
    <w:p>
      <w:pPr>
        <w:pStyle w:val="ListBullet"/>
        <w:spacing w:before="40" w:after="60"/>
      </w:pPr>
      <w:r>
        <w:rPr>
          <w:b/>
        </w:rPr>
        <w:t xml:space="preserve">Continuous Scaling: </w:t>
      </w:r>
      <w:r>
        <w:t>Features with high variation boundaries (age, trestbps, chol, thalach, oldpeak) are processed via a StandardScaler component, mapping them to a normal distribution centered at a 0 mean with a unit variance of 1.</w:t>
      </w:r>
    </w:p>
    <w:p>
      <w:pPr>
        <w:pStyle w:val="ListBullet"/>
        <w:spacing w:before="40" w:after="60"/>
      </w:pPr>
      <w:r>
        <w:rPr>
          <w:b/>
        </w:rPr>
        <w:t xml:space="preserve">Categorical Passthrough: </w:t>
      </w:r>
      <w:r>
        <w:t>Pre-encoded feature indices (such as sex, cp, fbs, restecg, exang, slope, ca, thal) are routed via a passthrough operator, avoiding arbitrary distance distortions during feature vector generation.</w:t>
      </w:r>
    </w:p>
    <w:p>
      <w:pPr>
        <w:pStyle w:val="ListBullet"/>
        <w:spacing w:before="40" w:after="60"/>
      </w:pPr>
      <w:r>
        <w:rPr>
          <w:b/>
        </w:rPr>
        <w:t xml:space="preserve">Target-Stratified Data Fork: </w:t>
      </w:r>
      <w:r>
        <w:t>The master matrix is split into an 80/20 train-test arrangement using exact class stratification, guaranteeing that the true baseline ratio of healthy to diseased entries remains consistent across both splits.</w:t>
      </w:r>
    </w:p>
    <w:p>
      <w:pPr>
        <w:keepNext/>
        <w:spacing w:before="240" w:after="80"/>
      </w:pPr>
      <w:r>
        <w:rPr>
          <w:rFonts w:ascii="Arial" w:hAnsi="Arial"/>
          <w:b/>
          <w:color w:val="2E75B6"/>
          <w:sz w:val="26"/>
        </w:rPr>
        <w:t>2.2 Ensemble Decision Learning Mechanics</w:t>
      </w:r>
    </w:p>
    <w:p>
      <w:r>
        <w:t>The core processing framework relies on a Random Forest Classifier configuration. This ensemble technique works by training multiple independent, uncorrelated decision trees that vote collectively on a patient's diagnostic outcome. The structural mechanics are regulated under explicit hyperparameter boundaries:</w:t>
      </w:r>
    </w:p>
    <w:p>
      <w:pPr>
        <w:pStyle w:val="ListBullet"/>
        <w:spacing w:before="40" w:after="60"/>
      </w:pPr>
      <w:r>
        <w:rPr>
          <w:b/>
        </w:rPr>
        <w:t xml:space="preserve">Max Depth Constraints: </w:t>
      </w:r>
      <w:r>
        <w:t>The depth of each decision node is capped at max_depth=5 to avoid deep micro-overfitting and preserve flexible decision boundaries against outlier records.</w:t>
      </w:r>
    </w:p>
    <w:p>
      <w:pPr>
        <w:pStyle w:val="ListBullet"/>
        <w:spacing w:before="40" w:after="60"/>
      </w:pPr>
      <w:r>
        <w:rPr>
          <w:b/>
        </w:rPr>
        <w:t xml:space="preserve">Estimator Diversity: </w:t>
      </w:r>
      <w:r>
        <w:t>An ensemble configuration of n_estimators=100 ensures that localized variance from single patient features is balanced across the broader collective decision boundary.</w:t>
      </w:r>
    </w:p>
    <w:p>
      <w:pPr>
        <w:keepNext/>
        <w:spacing w:before="360" w:after="120"/>
      </w:pPr>
      <w:r>
        <w:rPr>
          <w:rFonts w:ascii="Arial" w:hAnsi="Arial"/>
          <w:b/>
          <w:color w:val="1F4E79"/>
          <w:sz w:val="32"/>
        </w:rPr>
        <w:t>3. Real-Time Model Validation &amp; Sandbox Results</w:t>
      </w:r>
    </w:p>
    <w:p>
      <w:r>
        <w:t>Post-training execution, the structural calibration of the integrated pipeline was evaluated by introducing an independent validation matrix alongside isolated unseen profiles. The framework converged cleanly without any sign of structural instability.</w:t>
      </w:r>
    </w:p>
    <w:tbl>
      <w:tblPr>
        <w:tblW w:type="auto" w:w="0"/>
        <w:jc w:val="center"/>
        <w:tblLayout w:type="fixed"/>
        <w:tblLook w:firstColumn="1" w:firstRow="1" w:lastColumn="0" w:lastRow="0" w:noHBand="0" w:noVBand="1" w:val="04A0"/>
        <w:tblBorders>
          <w:top w:val="single" w:sz="4" w:space="0" w:color="D3D3D3"/>
          <w:bottom w:val="single" w:sz="6" w:space="0" w:color="1F4E79"/>
          <w:left w:val="none"/>
          <w:right w:val="none"/>
          <w:insideH w:val="single" w:sz="4" w:space="0" w:color="D3D3D3"/>
          <w:insideV w:val="none"/>
        </w:tblBorders>
      </w:tblPr>
      <w:tblGrid>
        <w:gridCol w:w="1872"/>
        <w:gridCol w:w="1872"/>
        <w:gridCol w:w="1872"/>
        <w:gridCol w:w="1872"/>
        <w:gridCol w:w="1872"/>
      </w:tblGrid>
      <w:tr>
        <w:trPr>
          <w:tblHeader/>
        </w:trPr>
        <w:tc>
          <w:tcPr>
            <w:tcW w:type="dxa" w:w="1728"/>
            <w:shd w:fill="1F4E79"/>
            <w:tcMar>
              <w:top w:w="120" w:type="dxa"/>
              <w:bottom w:w="120" w:type="dxa"/>
              <w:left w:w="100" w:type="dxa"/>
              <w:right w:w="100" w:type="dxa"/>
            </w:tcMar>
          </w:tcPr>
          <w:p>
            <w:pPr>
              <w:jc w:val="center"/>
            </w:pPr>
            <w:r>
              <w:rPr>
                <w:rFonts w:ascii="Arial" w:hAnsi="Arial"/>
                <w:b/>
                <w:color w:val="FFFFFF"/>
                <w:sz w:val="19"/>
              </w:rPr>
              <w:t>Test Phase</w:t>
            </w:r>
          </w:p>
        </w:tc>
        <w:tc>
          <w:tcPr>
            <w:tcW w:type="dxa" w:w="3168"/>
            <w:shd w:fill="1F4E79"/>
            <w:tcMar>
              <w:top w:w="120" w:type="dxa"/>
              <w:bottom w:w="120" w:type="dxa"/>
              <w:left w:w="100" w:type="dxa"/>
              <w:right w:w="100" w:type="dxa"/>
            </w:tcMar>
          </w:tcPr>
          <w:p>
            <w:pPr>
              <w:jc w:val="center"/>
            </w:pPr>
            <w:r>
              <w:rPr>
                <w:rFonts w:ascii="Arial" w:hAnsi="Arial"/>
                <w:b/>
                <w:color w:val="FFFFFF"/>
                <w:sz w:val="19"/>
              </w:rPr>
              <w:t>Sample Input Profile</w:t>
            </w:r>
          </w:p>
        </w:tc>
        <w:tc>
          <w:tcPr>
            <w:tcW w:type="dxa" w:w="1584"/>
            <w:shd w:fill="1F4E79"/>
            <w:tcMar>
              <w:top w:w="120" w:type="dxa"/>
              <w:bottom w:w="120" w:type="dxa"/>
              <w:left w:w="100" w:type="dxa"/>
              <w:right w:w="100" w:type="dxa"/>
            </w:tcMar>
          </w:tcPr>
          <w:p>
            <w:pPr>
              <w:jc w:val="center"/>
            </w:pPr>
            <w:r>
              <w:rPr>
                <w:rFonts w:ascii="Arial" w:hAnsi="Arial"/>
                <w:b/>
                <w:color w:val="FFFFFF"/>
                <w:sz w:val="19"/>
              </w:rPr>
              <w:t>Expected Target</w:t>
            </w:r>
          </w:p>
        </w:tc>
        <w:tc>
          <w:tcPr>
            <w:tcW w:type="dxa" w:w="1584"/>
            <w:shd w:fill="1F4E79"/>
            <w:tcMar>
              <w:top w:w="120" w:type="dxa"/>
              <w:bottom w:w="120" w:type="dxa"/>
              <w:left w:w="100" w:type="dxa"/>
              <w:right w:w="100" w:type="dxa"/>
            </w:tcMar>
          </w:tcPr>
          <w:p>
            <w:pPr>
              <w:jc w:val="center"/>
            </w:pPr>
            <w:r>
              <w:rPr>
                <w:rFonts w:ascii="Arial" w:hAnsi="Arial"/>
                <w:b/>
                <w:color w:val="FFFFFF"/>
                <w:sz w:val="19"/>
              </w:rPr>
              <w:t>Predicted Label</w:t>
            </w:r>
          </w:p>
        </w:tc>
        <w:tc>
          <w:tcPr>
            <w:tcW w:type="dxa" w:w="1296"/>
            <w:shd w:fill="1F4E79"/>
            <w:tcMar>
              <w:top w:w="120" w:type="dxa"/>
              <w:bottom w:w="120" w:type="dxa"/>
              <w:left w:w="100" w:type="dxa"/>
              <w:right w:w="100" w:type="dxa"/>
            </w:tcMar>
          </w:tcPr>
          <w:p>
            <w:pPr>
              <w:jc w:val="center"/>
            </w:pPr>
            <w:r>
              <w:rPr>
                <w:rFonts w:ascii="Arial" w:hAnsi="Arial"/>
                <w:b/>
                <w:color w:val="FFFFFF"/>
                <w:sz w:val="19"/>
              </w:rPr>
              <w:t>Model Confidence</w:t>
            </w:r>
          </w:p>
        </w:tc>
      </w:tr>
      <w:tr>
        <w:tc>
          <w:tcPr>
            <w:tcW w:type="dxa" w:w="1728"/>
            <w:tcMar>
              <w:top w:w="100" w:type="dxa"/>
              <w:bottom w:w="100" w:type="dxa"/>
              <w:left w:w="100" w:type="dxa"/>
              <w:right w:w="100" w:type="dxa"/>
            </w:tcMar>
          </w:tcPr>
          <w:p>
            <w:pPr>
              <w:jc w:val="center"/>
            </w:pPr>
            <w:r>
              <w:rPr>
                <w:rFonts w:ascii="Arial" w:hAnsi="Arial"/>
                <w:color w:val="262626"/>
                <w:sz w:val="18"/>
              </w:rPr>
              <w:t>Holdout Matrix</w:t>
            </w:r>
          </w:p>
        </w:tc>
        <w:tc>
          <w:tcPr>
            <w:tcW w:type="dxa" w:w="3168"/>
            <w:tcMar>
              <w:top w:w="100" w:type="dxa"/>
              <w:bottom w:w="100" w:type="dxa"/>
              <w:left w:w="100" w:type="dxa"/>
              <w:right w:w="100" w:type="dxa"/>
            </w:tcMar>
          </w:tcPr>
          <w:p>
            <w:pPr>
              <w:jc w:val="left"/>
            </w:pPr>
            <w:r>
              <w:rPr>
                <w:rFonts w:ascii="Arial" w:hAnsi="Arial"/>
                <w:color w:val="262626"/>
                <w:sz w:val="18"/>
              </w:rPr>
              <w:t>True Labels: Healthy (Class 0)</w:t>
            </w:r>
          </w:p>
          <w:p>
            <w:r>
              <w:rPr>
                <w:rFonts w:ascii="Arial" w:hAnsi="Arial"/>
                <w:color w:val="262626"/>
                <w:sz w:val="18"/>
              </w:rPr>
              <w:t>Sample Support: 100 Patients</w:t>
            </w:r>
          </w:p>
        </w:tc>
        <w:tc>
          <w:tcPr>
            <w:tcW w:type="dxa" w:w="1584"/>
            <w:tcMar>
              <w:top w:w="100" w:type="dxa"/>
              <w:bottom w:w="100" w:type="dxa"/>
              <w:left w:w="100" w:type="dxa"/>
              <w:right w:w="100" w:type="dxa"/>
            </w:tcMar>
          </w:tcPr>
          <w:p>
            <w:pPr>
              <w:jc w:val="center"/>
            </w:pPr>
            <w:r>
              <w:rPr>
                <w:rFonts w:ascii="Arial" w:hAnsi="Arial"/>
                <w:b/>
                <w:color w:val="262626"/>
                <w:sz w:val="18"/>
              </w:rPr>
              <w:t>HEALTHY</w:t>
            </w:r>
          </w:p>
        </w:tc>
        <w:tc>
          <w:tcPr>
            <w:tcW w:type="dxa" w:w="1584"/>
            <w:tcMar>
              <w:top w:w="100" w:type="dxa"/>
              <w:bottom w:w="100" w:type="dxa"/>
              <w:left w:w="100" w:type="dxa"/>
              <w:right w:w="100" w:type="dxa"/>
            </w:tcMar>
          </w:tcPr>
          <w:p>
            <w:pPr>
              <w:jc w:val="center"/>
            </w:pPr>
            <w:r>
              <w:rPr>
                <w:rFonts w:ascii="Arial" w:hAnsi="Arial"/>
                <w:b/>
                <w:color w:val="262626"/>
                <w:sz w:val="18"/>
              </w:rPr>
              <w:t>LABEL_0</w:t>
            </w:r>
          </w:p>
          <w:p>
            <w:pPr>
              <w:jc w:val="center"/>
            </w:pPr>
            <w:r>
              <w:rPr>
                <w:rFonts w:ascii="Arial" w:hAnsi="Arial"/>
                <w:color w:val="262626"/>
                <w:sz w:val="18"/>
              </w:rPr>
              <w:t>(True Neg: 91, False Pos: 9)</w:t>
            </w:r>
          </w:p>
        </w:tc>
        <w:tc>
          <w:tcPr>
            <w:tcW w:type="dxa" w:w="1296"/>
            <w:tcMar>
              <w:top w:w="100" w:type="dxa"/>
              <w:bottom w:w="100" w:type="dxa"/>
              <w:left w:w="100" w:type="dxa"/>
              <w:right w:w="100" w:type="dxa"/>
            </w:tcMar>
          </w:tcPr>
          <w:p>
            <w:pPr>
              <w:jc w:val="center"/>
            </w:pPr>
            <w:r>
              <w:rPr>
                <w:rFonts w:ascii="Arial" w:hAnsi="Arial"/>
                <w:b/>
                <w:color w:val="262626"/>
                <w:sz w:val="18"/>
              </w:rPr>
              <w:t>91.00% Recall</w:t>
            </w:r>
          </w:p>
        </w:tc>
      </w:tr>
      <w:tr>
        <w:tc>
          <w:tcPr>
            <w:tcW w:type="dxa" w:w="1728"/>
            <w:shd w:fill="F2F4F7"/>
            <w:tcMar>
              <w:top w:w="100" w:type="dxa"/>
              <w:bottom w:w="100" w:type="dxa"/>
              <w:left w:w="100" w:type="dxa"/>
              <w:right w:w="100" w:type="dxa"/>
            </w:tcMar>
          </w:tcPr>
          <w:p>
            <w:pPr>
              <w:jc w:val="center"/>
            </w:pPr>
            <w:r>
              <w:rPr>
                <w:rFonts w:ascii="Arial" w:hAnsi="Arial"/>
                <w:color w:val="262626"/>
                <w:sz w:val="18"/>
              </w:rPr>
              <w:t>Holdout Matrix</w:t>
            </w:r>
          </w:p>
        </w:tc>
        <w:tc>
          <w:tcPr>
            <w:tcW w:type="dxa" w:w="3168"/>
            <w:shd w:fill="F2F4F7"/>
            <w:tcMar>
              <w:top w:w="100" w:type="dxa"/>
              <w:bottom w:w="100" w:type="dxa"/>
              <w:left w:w="100" w:type="dxa"/>
              <w:right w:w="100" w:type="dxa"/>
            </w:tcMar>
          </w:tcPr>
          <w:p>
            <w:pPr>
              <w:jc w:val="left"/>
            </w:pPr>
            <w:r>
              <w:rPr>
                <w:rFonts w:ascii="Arial" w:hAnsi="Arial"/>
                <w:color w:val="262626"/>
                <w:sz w:val="18"/>
              </w:rPr>
              <w:t>True Labels: Diseased (Class 1)</w:t>
            </w:r>
          </w:p>
          <w:p>
            <w:r>
              <w:rPr>
                <w:rFonts w:ascii="Arial" w:hAnsi="Arial"/>
                <w:color w:val="262626"/>
                <w:sz w:val="18"/>
              </w:rPr>
              <w:t>Sample Support: 105 Patients</w:t>
            </w:r>
          </w:p>
        </w:tc>
        <w:tc>
          <w:tcPr>
            <w:tcW w:type="dxa" w:w="1584"/>
            <w:shd w:fill="F2F4F7"/>
            <w:tcMar>
              <w:top w:w="100" w:type="dxa"/>
              <w:bottom w:w="100" w:type="dxa"/>
              <w:left w:w="100" w:type="dxa"/>
              <w:right w:w="100" w:type="dxa"/>
            </w:tcMar>
          </w:tcPr>
          <w:p>
            <w:pPr>
              <w:jc w:val="center"/>
            </w:pPr>
            <w:r>
              <w:rPr>
                <w:rFonts w:ascii="Arial" w:hAnsi="Arial"/>
                <w:b/>
                <w:color w:val="262626"/>
                <w:sz w:val="18"/>
              </w:rPr>
              <w:t>DISEASED</w:t>
            </w:r>
          </w:p>
        </w:tc>
        <w:tc>
          <w:tcPr>
            <w:tcW w:type="dxa" w:w="1584"/>
            <w:shd w:fill="F2F4F7"/>
            <w:tcMar>
              <w:top w:w="100" w:type="dxa"/>
              <w:bottom w:w="100" w:type="dxa"/>
              <w:left w:w="100" w:type="dxa"/>
              <w:right w:w="100" w:type="dxa"/>
            </w:tcMar>
          </w:tcPr>
          <w:p>
            <w:pPr>
              <w:jc w:val="center"/>
            </w:pPr>
            <w:r>
              <w:rPr>
                <w:rFonts w:ascii="Arial" w:hAnsi="Arial"/>
                <w:b/>
                <w:color w:val="262626"/>
                <w:sz w:val="18"/>
              </w:rPr>
              <w:t>LABEL_1</w:t>
            </w:r>
          </w:p>
          <w:p>
            <w:pPr>
              <w:jc w:val="center"/>
            </w:pPr>
            <w:r>
              <w:rPr>
                <w:rFonts w:ascii="Arial" w:hAnsi="Arial"/>
                <w:color w:val="262626"/>
                <w:sz w:val="18"/>
              </w:rPr>
              <w:t>(True Pos: 100, False Neg: 5)</w:t>
            </w:r>
          </w:p>
        </w:tc>
        <w:tc>
          <w:tcPr>
            <w:tcW w:type="dxa" w:w="1296"/>
            <w:shd w:fill="F2F4F7"/>
            <w:tcMar>
              <w:top w:w="100" w:type="dxa"/>
              <w:bottom w:w="100" w:type="dxa"/>
              <w:left w:w="100" w:type="dxa"/>
              <w:right w:w="100" w:type="dxa"/>
            </w:tcMar>
          </w:tcPr>
          <w:p>
            <w:pPr>
              <w:jc w:val="center"/>
            </w:pPr>
            <w:r>
              <w:rPr>
                <w:rFonts w:ascii="Arial" w:hAnsi="Arial"/>
                <w:b/>
                <w:color w:val="262626"/>
                <w:sz w:val="18"/>
              </w:rPr>
              <w:t>95.24% Recall</w:t>
            </w:r>
          </w:p>
        </w:tc>
      </w:tr>
    </w:tbl>
    <w:p>
      <w:pPr>
        <w:spacing w:before="160"/>
      </w:pPr>
    </w:p>
    <w:p>
      <w:pPr>
        <w:keepNext/>
        <w:spacing w:before="240" w:after="80"/>
      </w:pPr>
      <w:r>
        <w:rPr>
          <w:rFonts w:ascii="Arial" w:hAnsi="Arial"/>
          <w:b/>
          <w:color w:val="2E75B6"/>
          <w:sz w:val="26"/>
        </w:rPr>
        <w:t>3.1 Veracity Performance Analysis</w:t>
      </w:r>
    </w:p>
    <w:p>
      <w:r>
        <w:t>The evaluation metrics confirm high behavioral stability across both categorical classification boundaries:</w:t>
      </w:r>
    </w:p>
    <w:p>
      <w:pPr>
        <w:pStyle w:val="ListBullet"/>
        <w:spacing w:before="40" w:after="60"/>
      </w:pPr>
      <w:r>
        <w:rPr>
          <w:b/>
        </w:rPr>
        <w:t xml:space="preserve">Pathology Recall Maximization: </w:t>
      </w:r>
      <w:r>
        <w:t>The pipeline achieved a 95.24% recall rate on Class 1 labels. It successfully caught 100 out of 105 active heart disease vectors, demonstrating strong defensive capacity against dangerous false-negative clinical diagnoses.</w:t>
      </w:r>
    </w:p>
    <w:p>
      <w:pPr>
        <w:pStyle w:val="ListBullet"/>
        <w:spacing w:before="40" w:after="60"/>
      </w:pPr>
      <w:r>
        <w:rPr>
          <w:b/>
        </w:rPr>
        <w:t xml:space="preserve">Precision and Baseline Calibration: </w:t>
      </w:r>
      <w:r>
        <w:t>The framework produced a balanced precision score of 91.74% on disease indicators. In parallel testing inside a real-time validation sandbox, a test profile with an elevated cholesterol level of 260 mg/dl and an age of 58 returned a safe, well-calibrated confidence score of 24.29%, preventing a false-alarm diagnosis by weighing supporting health indicators dynamically.</w:t>
      </w:r>
    </w:p>
    <w:p>
      <w:pPr>
        <w:keepNext/>
        <w:spacing w:before="360" w:after="120"/>
      </w:pPr>
      <w:r>
        <w:rPr>
          <w:rFonts w:ascii="Arial" w:hAnsi="Arial"/>
          <w:b/>
          <w:color w:val="1F4E79"/>
          <w:sz w:val="32"/>
        </w:rPr>
        <w:t>4. Production Asset Governance &amp; Asset Compilation</w:t>
      </w:r>
    </w:p>
    <w:p>
      <w:r>
        <w:t>A primary focus of this development stage involved encapsulating and standardizing the engineering assets for reliable production serving.</w:t>
      </w:r>
    </w:p>
    <w:p>
      <w:pPr>
        <w:pStyle w:val="ListBullet"/>
        <w:spacing w:before="40" w:after="60"/>
      </w:pPr>
      <w:r>
        <w:rPr>
          <w:b/>
        </w:rPr>
        <w:t xml:space="preserve">Unified State Serialization: </w:t>
      </w:r>
      <w:r>
        <w:t>Instead of separating the preprocessing parameters from the modeling parameters, the system bundles both structural states together inside a combined Scikit-Learn Pipeline context.</w:t>
      </w:r>
    </w:p>
    <w:p>
      <w:pPr>
        <w:pStyle w:val="ListBullet"/>
        <w:spacing w:before="40" w:after="60"/>
      </w:pPr>
      <w:r>
        <w:rPr>
          <w:b/>
        </w:rPr>
        <w:t xml:space="preserve">Joblib Payload Optimization: </w:t>
      </w:r>
      <w:r>
        <w:t>The integrated model architecture was serialized into a single binary asset file named heart_disease_prediction_pipeline.joblib. This object stores all scaling standard coefficients, column transformers, and tree split nodes securely, avoiding raw initialization logic overhead in deployment APIs.</w:t>
      </w:r>
    </w:p>
    <w:p>
      <w:pPr>
        <w:keepNext/>
        <w:spacing w:before="360" w:after="120"/>
      </w:pPr>
      <w:r>
        <w:rPr>
          <w:rFonts w:ascii="Arial" w:hAnsi="Arial"/>
          <w:b/>
          <w:color w:val="1F4E79"/>
          <w:sz w:val="32"/>
        </w:rPr>
        <w:t>5. Conclusion &amp; Next Steps</w:t>
      </w:r>
    </w:p>
    <w:p>
      <w:r>
        <w:t>The Heart Disease Prediction framework is fully complete, optimized, and verified. The trained pipeline handles complex clinical data mapping with excellent precision. Future additions can easily scale up this foundation by wrapping the generated .joblib asset into a microservice REST API endpoint or feeding its inference outputs directly into interactive Power BI / Tableau operational monitoring dashboards.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