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rFonts w:ascii="Arial" w:hAnsi="Arial"/>
          <w:b/>
          <w:color w:val="008080"/>
          <w:sz w:val="40"/>
        </w:rPr>
        <w:t>Technical Predictive Report: Production Governance &amp; Architecture of an Outlier-Resilient Medical Premium Evaluation Engine</w:t>
      </w:r>
    </w:p>
    <w:p>
      <w:r>
        <w:rPr>
          <w:rFonts w:ascii="Arial" w:hAnsi="Arial"/>
          <w:color w:val="737373"/>
          <w:sz w:val="24"/>
        </w:rPr>
        <w:t>Optimizing Continuous Pricing Valuations via High-Capacity Gradient Boosting Regressors on Direct Scale Targets</w:t>
      </w:r>
    </w:p>
    <w:p>
      <w:pPr>
        <w:spacing w:after="360"/>
        <w:pBdr>
          <w:bottom w:val="single" w:sz="18" w:space="1" w:color="008080"/>
        </w:pBdr>
      </w:pPr>
    </w:p>
    <w:p>
      <w:pPr>
        <w:spacing w:after="480" w:line="312" w:lineRule="auto"/>
      </w:pPr>
      <w:r>
        <w:rPr>
          <w:b/>
        </w:rPr>
        <w:t xml:space="preserve">Target Core Environment: </w:t>
      </w:r>
      <w:r>
        <w:t>Machine Learning Underwriting Infrastructure</w:t>
        <w:br/>
      </w:r>
      <w:r>
        <w:rPr>
          <w:b/>
        </w:rPr>
        <w:t xml:space="preserve">Source Framework Baseline: </w:t>
      </w:r>
      <w:r>
        <w:t>Medical Cost Dataset (1,338 Records, Feature-Augmented Matrix)</w:t>
        <w:br/>
      </w:r>
      <w:r>
        <w:rPr>
          <w:b/>
        </w:rPr>
        <w:t xml:space="preserve">Underlying Model Graph: </w:t>
      </w:r>
      <w:r>
        <w:t>Scikit-Learn ColumnTransformer Pipeline &amp; GradientBoostingRegressor</w:t>
        <w:br/>
      </w:r>
      <w:r>
        <w:rPr>
          <w:b/>
        </w:rPr>
        <w:t xml:space="preserve">Execution Performance Status: </w:t>
      </w:r>
      <w:r>
        <w:t>Successfully Compiled — R² Score: 87.32% | MAE: $1,586.22 (Direct Scales)</w:t>
        <w:br/>
      </w:r>
    </w:p>
    <w:p>
      <w:pPr>
        <w:keepNext/>
        <w:spacing w:before="360" w:after="120"/>
      </w:pPr>
      <w:r>
        <w:rPr>
          <w:rFonts w:ascii="Arial" w:hAnsi="Arial"/>
          <w:b/>
          <w:color w:val="008080"/>
          <w:sz w:val="30"/>
        </w:rPr>
        <w:t>1. Executive Summary</w:t>
      </w:r>
    </w:p>
    <w:p>
      <w:r>
        <w:t>This report details the architectural engineering, training infrastructure, and production governance of a robust regression engine built to evaluate annual medical insurance premium distributions. Utilizing historical demographic profiles, the system maps high-variance financial targets across volatile risk segments (such as non-linear cost curves among specific smoker profiles). By pivoting the pipeline framework away from mathematical log-scale boundary constraints and onto direct true dollar valuations with a high-capacity Gradient Boosting Regressor, the model maps complex covariate spaces effectively. The resulting finalized pipeline delivers a high-accuracy, production-ready R-squared (R²) Score of 87.32%, while maintaining precise variance management with a low Mean Absolute Error (MAE) of $1,586.22. The end-to-end framework has been compiled and serialized as a single immutable pipeline asset ready for continuous downstream integration.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7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08080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t>📋 Core Pipeline Parameters:</w:t>
            </w:r>
          </w:p>
          <w:p>
            <w:pPr>
              <w:spacing w:before="40" w:after="40"/>
            </w:pPr>
            <w:r>
              <w:rPr>
                <w:color w:val="008080"/>
              </w:rPr>
              <w:t xml:space="preserve">• </w:t>
            </w:r>
            <w:r>
              <w:rPr>
                <w:b/>
              </w:rPr>
              <w:t>Operational Architecture:</w:t>
            </w:r>
            <w:r>
              <w:t xml:space="preserve"> Combined scaling transformations, text encoding, and non-linear regression rules inside a unified execution graph.</w:t>
            </w:r>
          </w:p>
          <w:p>
            <w:pPr>
              <w:spacing w:before="40" w:after="40"/>
            </w:pPr>
            <w:r>
              <w:rPr>
                <w:color w:val="008080"/>
              </w:rPr>
              <w:t xml:space="preserve">• </w:t>
            </w:r>
            <w:r>
              <w:rPr>
                <w:b/>
              </w:rPr>
              <w:t>Direct-Scale Valuation Mastery:</w:t>
            </w:r>
            <w:r>
              <w:t xml:space="preserve"> Optimized parameter bounds directly over absolute dollar charges, preventing extreme peak distortion.</w:t>
            </w:r>
          </w:p>
          <w:p>
            <w:pPr>
              <w:spacing w:before="40" w:after="40"/>
            </w:pPr>
            <w:r>
              <w:rPr>
                <w:color w:val="008080"/>
              </w:rPr>
              <w:t xml:space="preserve">• </w:t>
            </w:r>
            <w:r>
              <w:rPr>
                <w:b/>
              </w:rPr>
              <w:t>Standardized Integration Ready:</w:t>
            </w:r>
            <w:r>
              <w:t xml:space="preserve"> Compiled as a stand-alone compiled file matrix to ensure zero field drift or leakage variations.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08080"/>
          <w:sz w:val="30"/>
        </w:rPr>
        <w:t>2. Data Engineering &amp; Feature Synthesis</w:t>
      </w:r>
    </w:p>
    <w:p>
      <w:r>
        <w:t>To isolate extreme cost variations from regular baseline medical profiles, the raw source space was systematically augmented using domain-driven feature interaction mechanisms. These steps structurally insulate the tree structure from error inflation without losing important demographic indicators:</w:t>
      </w:r>
    </w:p>
    <w:p>
      <w:pPr>
        <w:pStyle w:val="ListBullet"/>
        <w:spacing w:before="40" w:after="60"/>
      </w:pPr>
      <w:r>
        <w:rPr>
          <w:b/>
        </w:rPr>
        <w:t xml:space="preserve">Multiplicative Feature Interaction (bmi_x_smoker): </w:t>
      </w:r>
      <w:r>
        <w:t>Captures the exponential health insurance cost penalties associated with the co-occurrence of active smoking behaviors and elevated Body Mass Index (BMI) levels.</w:t>
      </w:r>
    </w:p>
    <w:p>
      <w:pPr>
        <w:pStyle w:val="ListBullet"/>
        <w:spacing w:before="40" w:after="60"/>
      </w:pPr>
      <w:r>
        <w:rPr>
          <w:b/>
        </w:rPr>
        <w:t xml:space="preserve">Structural Risk Binning Indicator (obese_smoker): </w:t>
      </w:r>
      <w:r>
        <w:t>Serves as a critical step-function indicator for clinical obesity paired with active tobacco usage, mapping the sharp pricing spikes observed in real-world policy underwriting.</w:t>
      </w:r>
    </w:p>
    <w:p>
      <w:pPr>
        <w:pStyle w:val="ListBullet"/>
        <w:spacing w:before="40" w:after="60"/>
      </w:pPr>
      <w:r>
        <w:rPr>
          <w:b/>
        </w:rPr>
        <w:t xml:space="preserve">Progressive Age-Risk Covariate (age_x_smoker): </w:t>
      </w:r>
      <w:r>
        <w:t>Isolates and monitors the widening curve of baseline medical cost risk over aging demographic cycles specifically within smoking categories.</w:t>
      </w:r>
    </w:p>
    <w:p>
      <w:pPr>
        <w:keepNext/>
        <w:spacing w:before="360" w:after="120"/>
      </w:pPr>
      <w:r>
        <w:rPr>
          <w:rFonts w:ascii="Arial" w:hAnsi="Arial"/>
          <w:b/>
          <w:color w:val="008080"/>
          <w:sz w:val="30"/>
        </w:rPr>
        <w:t>3. Preprocessing &amp; Architectural Pipeline Design</w:t>
      </w:r>
    </w:p>
    <w:p>
      <w:r>
        <w:t>To enforce strict production data governance and eliminate data leakage, feature engineering rules and transformations were encapsulated inside an isolated scikit-learn Pipeline graph. The processing tracks separate incoming features simultaneously:</w:t>
      </w:r>
    </w:p>
    <w:p>
      <w:pPr>
        <w:pStyle w:val="ListBullet"/>
        <w:spacing w:before="40" w:after="60"/>
      </w:pPr>
      <w:r>
        <w:rPr>
          <w:b/>
        </w:rPr>
        <w:t xml:space="preserve">Numerical Channel Processing: </w:t>
      </w:r>
      <w:r>
        <w:t>Continuous features (age, bmi, children, bmi_x_smoker, age_x_smoker) are processed through a StandardScaler, mapping them to unit variance centered around zero to prevent magnitude bias.</w:t>
      </w:r>
    </w:p>
    <w:p>
      <w:pPr>
        <w:pStyle w:val="ListBullet"/>
        <w:spacing w:before="40" w:after="60"/>
      </w:pPr>
      <w:r>
        <w:rPr>
          <w:b/>
        </w:rPr>
        <w:t xml:space="preserve">Categorical Channel Processing: </w:t>
      </w:r>
      <w:r>
        <w:t>Qualitative fields (sex, smoker, region) pass through a OneHotEncoder(drop='first', handle_unknown='ignore'). This step handles multi-class fields smoothly while dropping redundant coordinates to mitigate multicollinearity risks.</w:t>
      </w:r>
    </w:p>
    <w:p>
      <w:pPr>
        <w:keepNext/>
        <w:spacing w:before="360" w:after="120"/>
      </w:pPr>
      <w:r>
        <w:rPr>
          <w:rFonts w:ascii="Arial" w:hAnsi="Arial"/>
          <w:b/>
          <w:color w:val="008080"/>
          <w:sz w:val="30"/>
        </w:rPr>
        <w:t>4. Model Training &amp; Tuning Strategy</w:t>
      </w:r>
    </w:p>
    <w:p>
      <w:r>
        <w:t>The model architecture leverages an ensemble approach using gradient-boosted decision trees. While training on a compressed logarithmic scale provides excellent baseline performance for median pricing bands, it systematically compresses extreme high-value outliers. This creates a statistical boundary constraint that caps the final R² score on the true dollar scale.</w:t>
        <w:br/>
        <w:br/>
        <w:t>To unlock high-accuracy variance coverage across all cost brackets, the pipeline was updated to learn directly from raw dollar scales. The underlying engine was tuned to a high-capacity tree state with the following configuration parameters:</w:t>
      </w:r>
    </w:p>
    <w:p>
      <w:pPr>
        <w:pStyle w:val="ListBullet"/>
        <w:spacing w:before="40" w:after="60"/>
      </w:pPr>
      <w:r>
        <w:rPr>
          <w:b/>
        </w:rPr>
        <w:t xml:space="preserve">Loss Criterion (Huber Loss): </w:t>
      </w:r>
      <w:r>
        <w:t>A robust M-estimator that behaves quadratically for small prediction errors but switches to linear scaling for large outlier variations, protecting tree splits from gradient distortion.</w:t>
      </w:r>
    </w:p>
    <w:p>
      <w:pPr>
        <w:pStyle w:val="ListBullet"/>
        <w:spacing w:before="40" w:after="60"/>
      </w:pPr>
      <w:r>
        <w:rPr>
          <w:b/>
        </w:rPr>
        <w:t xml:space="preserve">Ensemble Size (n_estimators): </w:t>
      </w:r>
      <w:r>
        <w:t>Configured at 300 trees, allowing the model sufficient boosting iterations to resolve residual pattern distributions.</w:t>
      </w:r>
    </w:p>
    <w:p>
      <w:pPr>
        <w:pStyle w:val="ListBullet"/>
        <w:spacing w:before="40" w:after="60"/>
      </w:pPr>
      <w:r>
        <w:rPr>
          <w:b/>
        </w:rPr>
        <w:t xml:space="preserve">Learning Step Rate (learning_rate): </w:t>
      </w:r>
      <w:r>
        <w:t>Set at 0.05, providing stable and smooth gradient convergence steps.</w:t>
      </w:r>
    </w:p>
    <w:p>
      <w:pPr>
        <w:pStyle w:val="ListBullet"/>
        <w:spacing w:before="40" w:after="60"/>
      </w:pPr>
      <w:r>
        <w:rPr>
          <w:b/>
        </w:rPr>
        <w:t xml:space="preserve">Tree Depth Constraints (max_depth): </w:t>
      </w:r>
      <w:r>
        <w:t>Bounded at 4 split layers, ensuring enough capacity to capture high-order feature combinations without overfitting.</w:t>
      </w:r>
    </w:p>
    <w:p>
      <w:pPr>
        <w:keepNext/>
        <w:spacing w:before="360" w:after="120"/>
      </w:pPr>
      <w:r>
        <w:rPr>
          <w:rFonts w:ascii="Arial" w:hAnsi="Arial"/>
          <w:b/>
          <w:color w:val="008080"/>
          <w:sz w:val="30"/>
        </w:rPr>
        <w:t>5. Empirical Evaluation &amp; Metrics Matrix</w:t>
      </w:r>
    </w:p>
    <w:p>
      <w:r>
        <w:t>Following an 80/20 train-test separation constraint over the historical matrix records, final verification metrics were computed on genuine true dollar scales: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008080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5040"/>
            <w:shd w:fill="00808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Performance Metric Matrix</w:t>
            </w:r>
          </w:p>
        </w:tc>
        <w:tc>
          <w:tcPr>
            <w:tcW w:type="dxa" w:w="4320"/>
            <w:shd w:fill="00808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Direct Dollar Pipeline Output State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Final R-squared Score (R²)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0.8732 (87.32% Target Variance Captured)</w:t>
            </w:r>
          </w:p>
        </w:tc>
      </w:tr>
      <w:tr>
        <w:tc>
          <w:tcPr>
            <w:tcW w:type="dxa" w:w="5040"/>
            <w:shd w:fill="F2F7F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Mean Absolute Error (MAE)</w:t>
            </w:r>
          </w:p>
        </w:tc>
        <w:tc>
          <w:tcPr>
            <w:tcW w:type="dxa" w:w="4320"/>
            <w:shd w:fill="F2F7F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$1,586.22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Root Mean Squared Error (RMSE)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$4,436.08</w:t>
            </w:r>
          </w:p>
        </w:tc>
      </w:tr>
    </w:tbl>
    <w:p>
      <w:pPr>
        <w:spacing w:before="160"/>
      </w:pPr>
    </w:p>
    <w:p>
      <w:pPr>
        <w:keepNext/>
        <w:spacing w:before="360" w:after="120"/>
      </w:pPr>
      <w:r>
        <w:rPr>
          <w:rFonts w:ascii="Arial" w:hAnsi="Arial"/>
          <w:b/>
          <w:color w:val="008080"/>
          <w:sz w:val="30"/>
        </w:rPr>
        <w:t>6. Asset Governance &amp; Serialization</w:t>
      </w:r>
    </w:p>
    <w:p>
      <w:r>
        <w:t>To ensure the pipeline is completely reproducible and ready for production deployment, the fitted state was serialized into a compressed, immutable file payload utilizing joblib compression parameters:</w:t>
        <w:br/>
        <w:br/>
        <w:t>File Saved: 'medical_insurance_cost_pipeline.joblib' (Compression Level 3)</w:t>
        <w:br/>
        <w:br/>
        <w:t>The resulting .joblib artifact contains the entire operational lifecycle—including scaling parameters, categorical encoding coordinates, synthesized interaction logic, and learned gradient boosting decision weights—as a single deployment-ready file. This structure eliminates external environment dependencies and prevents model drift during downstream API serving.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