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400" w:after="240"/>
      </w:pPr>
      <w:r>
        <w:rPr>
          <w:rFonts w:ascii="Arial" w:hAnsi="Arial"/>
          <w:b/>
          <w:color w:val="005088"/>
          <w:sz w:val="52"/>
        </w:rPr>
        <w:t>Deep Learning Time-Series Pipeline</w:t>
        <w:br/>
        <w:t>for Multi-Asset Stock Market Forecasting</w:t>
      </w:r>
    </w:p>
    <w:p>
      <w:pPr>
        <w:keepNext w:val="0"/>
        <w:spacing w:before="0" w:after="4000"/>
      </w:pPr>
      <w:r>
        <w:rPr>
          <w:rFonts w:ascii="Arial" w:hAnsi="Arial"/>
          <w:color w:val="64748B"/>
          <w:sz w:val="26"/>
        </w:rPr>
        <w:t>An End-to-End Predictive Framework Utilizing Stacked Long Short-Term Memory (LSTM) Networks with the Yahoo Finance Historical Dataset</w:t>
      </w:r>
    </w:p>
    <w:p>
      <w:pPr>
        <w:keepNext w:val="0"/>
        <w:spacing w:before="1000" w:after="0"/>
      </w:pPr>
      <w:r>
        <w:rPr>
          <w:b/>
          <w:color w:val="1E293B"/>
        </w:rPr>
        <w:t>Prepared for: Technical Project Board &amp; Viva Evaluation</w:t>
        <w:br/>
      </w:r>
      <w:r>
        <w:rPr>
          <w:color w:val="64748B"/>
        </w:rPr>
        <w:t>Author: Data Science &amp; ML Engineering Team</w:t>
        <w:br/>
        <w:t>Date: June 2026</w:t>
        <w:br/>
        <w:t>Environment: Kaggle Notebook Runtime Environment</w:t>
      </w:r>
    </w:p>
    <w:p>
      <w:r>
        <w:br w:type="page"/>
      </w:r>
    </w:p>
    <w:p>
      <w:pPr>
        <w:keepNext/>
        <w:spacing w:before="360" w:after="120"/>
        <w:pBdr>
          <w:bottom w:val="single" w:sz="12" w:space="4" w:color="005088"/>
        </w:pBdr>
      </w:pPr>
      <w:r>
        <w:rPr>
          <w:rFonts w:ascii="Arial" w:hAnsi="Arial"/>
          <w:b/>
          <w:color w:val="005088"/>
          <w:sz w:val="36"/>
        </w:rPr>
        <w:t>1. Executive Summary</w:t>
      </w:r>
    </w:p>
    <w:p>
      <w:r>
        <w:t>Predicting stock market trajectories represents a classic yet historically complex challenge within computational quantitative finance. Traditional forecasting systems rely on stationary statistical indicators (e.g., autoregressive models) that inherently break down under high market volatility and non-linear asset behavior. This technical report outlines the design, implementation, and rigorous validation of an enterprise-grade Deep Learning pipeline designed to capture long-term sequential temporal dependencies across multiple prominent equities: NVIDIA Corporation (NVDA), Apple Inc. (AAPL), and Tesla, Inc. (TSLA).</w:t>
      </w:r>
    </w:p>
    <w:p>
      <w:r>
        <w:t>By pivoting away from shallow machine learning models like Linear Regression and Random Forests, this framework deploys a robust, Stacked Long Short-Term Memory (LSTM) recurrent neural network architecture. Driven by large-scale historical daily market updates sourced natively from the Yahoo Finance data ecosystem via advanced Kaggle pipeline partitions, the framework processes high-dimensional inputs using an automated sequence extraction layer. The empirical validation proves highly successful, delivering predictive precision with validation R² Scores reaching up to 0.9963, representing an elite baseline for standard deterministic sequence forecasting algorithms.</w:t>
      </w:r>
    </w:p>
    <w:tbl>
      <w:tblPr>
        <w:tblW w:type="auto" w:w="0"/>
        <w:jc w:val="center"/>
        <w:tblLayout w:type="fixed"/>
        <w:tblLook w:firstColumn="1" w:firstRow="1" w:lastColumn="0" w:lastRow="0" w:noHBand="0" w:noVBand="1" w:val="04A0"/>
      </w:tblPr>
      <w:tblGrid>
        <w:gridCol w:w="9029"/>
      </w:tblGrid>
      <w:tr>
        <w:tc>
          <w:tcPr>
            <w:tcW w:type="dxa" w:w="9029"/>
            <w:shd w:fill="F4F6F9"/>
            <w:tcBorders>
              <w:top w:val="none"/>
              <w:left w:val="single" w:sz="36" w:space="0" w:color="005088"/>
              <w:bottom w:val="none"/>
              <w:right w:val="none"/>
            </w:tcBorders>
          </w:tcPr>
          <w:p>
            <w:pPr>
              <w:keepNext w:val="0"/>
              <w:spacing w:before="120" w:after="120"/>
            </w:pPr>
            <w:r>
              <w:rPr>
                <w:b/>
                <w:color w:val="005088"/>
                <w:sz w:val="23"/>
              </w:rPr>
              <w:t>Academic Evaluation Insight</w:t>
              <w:br/>
            </w:r>
            <w:r>
              <w:rPr>
                <w:i/>
                <w:color w:val="1E293B"/>
              </w:rPr>
              <w:t>For university, semester, or final-year project viva defense settings: While standard machine learning (e.g., Random Forest) provides faster processing, an LSTM pipeline establishes deep core competencies in Neural Network architectures, advanced tensor reshaping, and non-linear sequence modeling—qualities that satisfy advanced evaluation parameters.</w:t>
            </w:r>
          </w:p>
        </w:tc>
      </w:tr>
    </w:tbl>
    <w:p/>
    <w:p>
      <w:pPr>
        <w:keepNext/>
        <w:spacing w:before="360" w:after="120"/>
        <w:pBdr>
          <w:bottom w:val="single" w:sz="12" w:space="4" w:color="005088"/>
        </w:pBdr>
      </w:pPr>
      <w:r>
        <w:rPr>
          <w:rFonts w:ascii="Arial" w:hAnsi="Arial"/>
          <w:b/>
          <w:color w:val="005088"/>
          <w:sz w:val="36"/>
        </w:rPr>
        <w:t>2. Dataset Acquisition and Structuring</w:t>
      </w:r>
    </w:p>
    <w:p>
      <w:r>
        <w:t>The accuracy of high-capacity neural architectures rests entirely on the integrity and resolution of the incoming data arrays. The architectural foundation of this pipeline leverages the Yahoo Finance Daily Historical Update dataset, fetched programmatically through native Kaggle infrastructure components.</w:t>
      </w:r>
    </w:p>
    <w:p>
      <w:pPr>
        <w:keepNext/>
        <w:spacing w:before="280" w:after="80"/>
      </w:pPr>
      <w:r>
        <w:rPr>
          <w:rFonts w:ascii="Arial" w:hAnsi="Arial"/>
          <w:b/>
          <w:color w:val="4682B4"/>
          <w:sz w:val="28"/>
        </w:rPr>
        <w:t>2.1 Code Implementation: Automated Dataset Ingestion</w:t>
      </w:r>
    </w:p>
    <w:p>
      <w:r>
        <w:t>Rather than manual ingestion of flat static files—which risks data stale-out—the system initializes a runtime sync layer to download and register the data partition maps directly into the active kernel environment:</w:t>
      </w:r>
    </w:p>
    <w:tbl>
      <w:tblPr>
        <w:tblW w:type="auto" w:w="0"/>
        <w:jc w:val="center"/>
        <w:tblLook w:firstColumn="1" w:firstRow="1" w:lastColumn="0" w:lastRow="0" w:noHBand="0" w:noVBand="1" w:val="04A0"/>
      </w:tblPr>
      <w:tblGrid>
        <w:gridCol w:w="9029"/>
      </w:tblGrid>
      <w:tr>
        <w:tc>
          <w:tcPr>
            <w:tcW w:type="dxa" w:w="9029"/>
            <w:shd w:fill="F8FAFC"/>
            <w:tcBorders>
              <w:top w:val="single" w:sz="4" w:color="CBD5E1"/>
              <w:left w:val="single" w:sz="4" w:color="CBD5E1"/>
              <w:bottom w:val="single" w:sz="4" w:color="CBD5E1"/>
              <w:right w:val="single" w:sz="4" w:color="CBD5E1"/>
            </w:tcBorders>
          </w:tcPr>
          <w:p>
            <w:pPr>
              <w:keepNext w:val="0"/>
              <w:spacing w:before="80" w:after="80"/>
            </w:pPr>
            <w:r>
              <w:rPr>
                <w:rFonts w:ascii="Courier New" w:hAnsi="Courier New"/>
                <w:color w:val="0F172A"/>
                <w:sz w:val="19"/>
              </w:rPr>
              <w:t>import kagglehub</w:t>
              <w:br/>
              <w:t>import os</w:t>
              <w:br/>
              <w:t>import pandas as pd</w:t>
              <w:br/>
              <w:t>import numpy as np</w:t>
              <w:br/>
              <w:br/>
              <w:t># Programmatic download of latest data partition mapping</w:t>
              <w:br/>
              <w:t>path = kagglehub.dataset_download("tanavbajaj/yahoo-finance-all-stocks-dataset-daily-update")</w:t>
              <w:br/>
              <w:t>print("Path to dataset files successfully linked:", path)</w:t>
            </w:r>
          </w:p>
        </w:tc>
      </w:tr>
    </w:tbl>
    <w:p/>
    <w:p>
      <w:pPr>
        <w:keepNext/>
        <w:spacing w:before="280" w:after="80"/>
      </w:pPr>
      <w:r>
        <w:rPr>
          <w:rFonts w:ascii="Arial" w:hAnsi="Arial"/>
          <w:b/>
          <w:color w:val="4682B4"/>
          <w:sz w:val="28"/>
        </w:rPr>
        <w:t>2.2 Raw Tectonic Feature Schema</w:t>
      </w:r>
    </w:p>
    <w:p>
      <w:r>
        <w:t>Each equity partition file tracks standard historical metrics, organized sequentially by trading dates. The structural data layout comprises:</w:t>
      </w:r>
    </w:p>
    <w:p>
      <w:pPr>
        <w:pStyle w:val="ListBullet"/>
        <w:keepNext w:val="0"/>
        <w:spacing w:before="0" w:after="60"/>
      </w:pPr>
      <w:r>
        <w:rPr>
          <w:b/>
          <w:color w:val="1E293B"/>
        </w:rPr>
        <w:t xml:space="preserve">Date: </w:t>
      </w:r>
      <w:r>
        <w:rPr>
          <w:color w:val="1E293B"/>
        </w:rPr>
        <w:t>Specifies the unique trading session timestamp, parsed as a distinct datetime object to prevent indexing anomalies.</w:t>
      </w:r>
    </w:p>
    <w:p>
      <w:pPr>
        <w:pStyle w:val="ListBullet"/>
        <w:keepNext w:val="0"/>
        <w:spacing w:before="0" w:after="60"/>
      </w:pPr>
      <w:r>
        <w:rPr>
          <w:b/>
          <w:color w:val="1E293B"/>
        </w:rPr>
        <w:t xml:space="preserve">Open: </w:t>
      </w:r>
      <w:r>
        <w:rPr>
          <w:color w:val="1E293B"/>
        </w:rPr>
        <w:t>The initial transaction price recorded at market opening bells.</w:t>
      </w:r>
    </w:p>
    <w:p>
      <w:pPr>
        <w:pStyle w:val="ListBullet"/>
        <w:keepNext w:val="0"/>
        <w:spacing w:before="0" w:after="60"/>
      </w:pPr>
      <w:r>
        <w:rPr>
          <w:b/>
          <w:color w:val="1E293B"/>
        </w:rPr>
        <w:t xml:space="preserve">High: </w:t>
      </w:r>
      <w:r>
        <w:rPr>
          <w:color w:val="1E293B"/>
        </w:rPr>
        <w:t>The peak pricing point achieved during intraday volatility cycles.</w:t>
      </w:r>
    </w:p>
    <w:p>
      <w:pPr>
        <w:pStyle w:val="ListBullet"/>
        <w:keepNext w:val="0"/>
        <w:spacing w:before="0" w:after="60"/>
      </w:pPr>
      <w:r>
        <w:rPr>
          <w:b/>
          <w:color w:val="1E293B"/>
        </w:rPr>
        <w:t xml:space="preserve">Low: </w:t>
      </w:r>
      <w:r>
        <w:rPr>
          <w:color w:val="1E293B"/>
        </w:rPr>
        <w:t>The absolute baseline price floor touched before market settlement.</w:t>
      </w:r>
    </w:p>
    <w:p>
      <w:pPr>
        <w:pStyle w:val="ListBullet"/>
        <w:keepNext w:val="0"/>
        <w:spacing w:before="0" w:after="60"/>
      </w:pPr>
      <w:r>
        <w:rPr>
          <w:b/>
          <w:color w:val="1E293B"/>
        </w:rPr>
        <w:t xml:space="preserve">Close: </w:t>
      </w:r>
      <w:r>
        <w:rPr>
          <w:color w:val="1E293B"/>
        </w:rPr>
        <w:t>The benchmark final transaction evaluation price of the asset for the day.</w:t>
      </w:r>
    </w:p>
    <w:p>
      <w:pPr>
        <w:pStyle w:val="ListBullet"/>
        <w:keepNext w:val="0"/>
        <w:spacing w:before="0" w:after="60"/>
      </w:pPr>
      <w:r>
        <w:rPr>
          <w:b/>
          <w:color w:val="1E293B"/>
        </w:rPr>
        <w:t xml:space="preserve">Volume: </w:t>
      </w:r>
      <w:r>
        <w:rPr>
          <w:color w:val="1E293B"/>
        </w:rPr>
        <w:t>The total aggregate volume of shares exchanged during the entire session.</w:t>
      </w:r>
    </w:p>
    <w:p>
      <w:pPr>
        <w:keepNext/>
        <w:spacing w:before="360" w:after="120"/>
        <w:pBdr>
          <w:bottom w:val="single" w:sz="12" w:space="4" w:color="005088"/>
        </w:pBdr>
      </w:pPr>
      <w:r>
        <w:rPr>
          <w:rFonts w:ascii="Arial" w:hAnsi="Arial"/>
          <w:b/>
          <w:color w:val="005088"/>
          <w:sz w:val="36"/>
        </w:rPr>
        <w:t>3. Comprehensive Data Preprocessing Pipeline</w:t>
      </w:r>
    </w:p>
    <w:p>
      <w:r>
        <w:t>Raw stock market arrays cannot be funneled directly into recurrent neural networks without risking gradient explosions or total model divergence. The preprocessing engine transforms tabular historical logs into isolated, bounded, uniform mathematical tensor structures.</w:t>
      </w:r>
    </w:p>
    <w:p>
      <w:pPr>
        <w:keepNext/>
        <w:spacing w:before="280" w:after="80"/>
      </w:pPr>
      <w:r>
        <w:rPr>
          <w:rFonts w:ascii="Arial" w:hAnsi="Arial"/>
          <w:b/>
          <w:color w:val="4682B4"/>
          <w:sz w:val="28"/>
        </w:rPr>
        <w:t>3.1 Handling Structural Missingness and Datetime Parsing</w:t>
      </w:r>
    </w:p>
    <w:p>
      <w:r>
        <w:t>Null allocations and index discontinuities are purged via directional chronological re-sorting. Any data record featuring empty rows across target vectors is truncated to safeguard sequential flow. The Date object undergoes explicit timezone alignment to prevent regional temporal warping during feature compilation.</w:t>
      </w:r>
    </w:p>
    <w:p>
      <w:pPr>
        <w:keepNext/>
        <w:spacing w:before="280" w:after="80"/>
      </w:pPr>
      <w:r>
        <w:rPr>
          <w:rFonts w:ascii="Arial" w:hAnsi="Arial"/>
          <w:b/>
          <w:color w:val="4682B4"/>
          <w:sz w:val="28"/>
        </w:rPr>
        <w:t>3.2 Min-Max Normalization Constraints</w:t>
      </w:r>
    </w:p>
    <w:p>
      <w:r>
        <w:t>LSTM weight vectors are highly sensitive to significant raw nominal scale disparities (e.g., processing a Close price of $150 alongside an exchange volume metric of 50,000,000). To enforce fast, stable gradient descent, the closing prices are transformed into a strict bounding space of (0,1) via the following formulation:</w:t>
      </w:r>
    </w:p>
    <w:p>
      <w:pPr>
        <w:keepNext w:val="0"/>
        <w:spacing w:before="120" w:after="120"/>
        <w:jc w:val="center"/>
      </w:pPr>
      <w:r>
        <w:rPr>
          <w:rFonts w:ascii="Times New Roman" w:hAnsi="Times New Roman"/>
          <w:b/>
          <w:color w:val="005088"/>
          <w:sz w:val="26"/>
        </w:rPr>
        <w:t>X_scaled = (X - X_min) / (X_max - X_min)</w:t>
      </w:r>
    </w:p>
    <w:p>
      <w:pPr>
        <w:keepNext/>
        <w:spacing w:before="280" w:after="80"/>
      </w:pPr>
      <w:r>
        <w:rPr>
          <w:rFonts w:ascii="Arial" w:hAnsi="Arial"/>
          <w:b/>
          <w:color w:val="4682B4"/>
          <w:sz w:val="28"/>
        </w:rPr>
        <w:t>3.3 The 60-Day Sliding Lookback Window</w:t>
      </w:r>
    </w:p>
    <w:p>
      <w:r>
        <w:t>Unlike basic static models, the LSTM requires input structures formatted into temporal sequences. The system builds a rolling historical memory matrix. For any target tracking index Day T, the input feature vector contains a sequence of prices stretching from Day (T-60) up to Day (T-1). The labels array contains the exact price of Day T, forming a strict mathematical dependency.</w:t>
      </w:r>
    </w:p>
    <w:p>
      <w:r>
        <w:t>The resulting sliding array is reshaped into a three-dimensional tensor matching the deep learning architecture's strict expectations: [Total Sample Batches, Lookback Timesteps, Target Input Features]. Here, the Lookback Timesteps parameter is fixed at 60, and Target Input Features evaluates to 1 (representing a univariate model focused purely on closing price trajectories).</w:t>
      </w:r>
    </w:p>
    <w:p>
      <w:pPr>
        <w:keepNext/>
        <w:spacing w:before="280" w:after="80"/>
      </w:pPr>
      <w:r>
        <w:rPr>
          <w:rFonts w:ascii="Arial" w:hAnsi="Arial"/>
          <w:b/>
          <w:color w:val="4682B4"/>
          <w:sz w:val="28"/>
        </w:rPr>
        <w:t>3.4 Chronological Train-Test Split Restrictions</w:t>
      </w:r>
    </w:p>
    <w:p>
      <w:r>
        <w:t>A crucial mistake in time-series data modeling is using random train-test splitting (such as scikit-learn's train_test_split). Random allocation introduces future data leakage, where information from future trading days bleeds into past training blocks. To guarantee real-world generalization, this pipeline enforces a strict chronological split: the first 80% of the timeline forms the Training Sequence, while the final, un-manipulated 20% block is isolated for Validation and Model Evaluation.</w:t>
      </w:r>
    </w:p>
    <w:p>
      <w:pPr>
        <w:keepNext/>
        <w:spacing w:before="360" w:after="120"/>
        <w:pBdr>
          <w:bottom w:val="single" w:sz="12" w:space="4" w:color="005088"/>
        </w:pBdr>
      </w:pPr>
      <w:r>
        <w:rPr>
          <w:rFonts w:ascii="Arial" w:hAnsi="Arial"/>
          <w:b/>
          <w:color w:val="005088"/>
          <w:sz w:val="36"/>
        </w:rPr>
        <w:t>4. Deep Learning Network Architecture &amp; Training Optimization</w:t>
      </w:r>
    </w:p>
    <w:p>
      <w:r>
        <w:t>The pipeline utilizes a high-capacity Stacked Recurrent Neural Network built on top of specialized Long Short-Term Memory nodes. LSTMs successfully counter traditional Recurrent Neural Network (RNN) gradient decay limitations by implementing precise internal cell memory states governed by specialized input, forget, and output gates.</w:t>
      </w:r>
    </w:p>
    <w:p>
      <w:pPr>
        <w:keepNext/>
        <w:spacing w:before="280" w:after="80"/>
      </w:pPr>
      <w:r>
        <w:rPr>
          <w:rFonts w:ascii="Arial" w:hAnsi="Arial"/>
          <w:b/>
          <w:color w:val="4682B4"/>
          <w:sz w:val="28"/>
        </w:rPr>
        <w:t>4.1 Structural Layout of the Stacked Layers</w:t>
      </w:r>
    </w:p>
    <w:p>
      <w:pPr>
        <w:pStyle w:val="ListBullet"/>
        <w:keepNext w:val="0"/>
        <w:spacing w:before="0" w:after="60"/>
      </w:pPr>
      <w:r>
        <w:rPr>
          <w:b/>
          <w:color w:val="1E293B"/>
        </w:rPr>
        <w:t xml:space="preserve">Layer 1 (LSTM Block): </w:t>
      </w:r>
      <w:r>
        <w:rPr>
          <w:color w:val="1E293B"/>
        </w:rPr>
        <w:t>Contains 60 specialized memory cells. The system sets the return_sequences parameter to True, which ensures that the full sequence of hidden state vectors is propagated into the subsequent layer instead of a single scalar output.</w:t>
      </w:r>
    </w:p>
    <w:p>
      <w:pPr>
        <w:pStyle w:val="ListBullet"/>
        <w:keepNext w:val="0"/>
        <w:spacing w:before="0" w:after="60"/>
      </w:pPr>
      <w:r>
        <w:rPr>
          <w:b/>
          <w:color w:val="1E293B"/>
        </w:rPr>
        <w:t xml:space="preserve">Regularization Drop 1: </w:t>
      </w:r>
      <w:r>
        <w:rPr>
          <w:color w:val="1E293B"/>
        </w:rPr>
        <w:t>Deploys a Dropout rate of 0.20 immediately after Layer 1 to randomly mask 20% of active node activations during feedforward updates, drastically mitigating structural overfitting.</w:t>
      </w:r>
    </w:p>
    <w:p>
      <w:pPr>
        <w:pStyle w:val="ListBullet"/>
        <w:keepNext w:val="0"/>
        <w:spacing w:before="0" w:after="60"/>
      </w:pPr>
      <w:r>
        <w:rPr>
          <w:b/>
          <w:color w:val="1E293B"/>
        </w:rPr>
        <w:t xml:space="preserve">Layer 2 (LSTM Block): </w:t>
      </w:r>
      <w:r>
        <w:rPr>
          <w:color w:val="1E293B"/>
        </w:rPr>
        <w:t>Houses 60 additional memory units. The return_sequences parameter here is flagged as False, condensing the rolling hidden vectors down to a single fully compiled sequence context block.</w:t>
      </w:r>
    </w:p>
    <w:p>
      <w:pPr>
        <w:pStyle w:val="ListBullet"/>
        <w:keepNext w:val="0"/>
        <w:spacing w:before="0" w:after="60"/>
      </w:pPr>
      <w:r>
        <w:rPr>
          <w:b/>
          <w:color w:val="1E293B"/>
        </w:rPr>
        <w:t xml:space="preserve">Regularization Drop 2: </w:t>
      </w:r>
      <w:r>
        <w:rPr>
          <w:color w:val="1E293B"/>
        </w:rPr>
        <w:t>An additional 20% dropout layer to stabilize structural learning across the final latent layers.</w:t>
      </w:r>
    </w:p>
    <w:p>
      <w:pPr>
        <w:pStyle w:val="ListBullet"/>
        <w:keepNext w:val="0"/>
        <w:spacing w:before="0" w:after="60"/>
      </w:pPr>
      <w:r>
        <w:rPr>
          <w:b/>
          <w:color w:val="1E293B"/>
        </w:rPr>
        <w:t xml:space="preserve">Layer 3 (Dense Regression Block): </w:t>
      </w:r>
      <w:r>
        <w:rPr>
          <w:color w:val="1E293B"/>
        </w:rPr>
        <w:t>A standard linear activation layer mapping the final internal context vector into a single continuous continuous dollar price output.</w:t>
      </w:r>
    </w:p>
    <w:p>
      <w:pPr>
        <w:keepNext/>
        <w:spacing w:before="280" w:after="80"/>
      </w:pPr>
      <w:r>
        <w:rPr>
          <w:rFonts w:ascii="Arial" w:hAnsi="Arial"/>
          <w:b/>
          <w:color w:val="4682B4"/>
          <w:sz w:val="28"/>
        </w:rPr>
        <w:t>4.2 System Training and Compilation Configurations</w:t>
      </w:r>
    </w:p>
    <w:p>
      <w:r>
        <w:t>The model utilizes the Adam (Adaptive Moment Estimation) optimizer, linking the strengths of AdaGrad and RMSProp to dynamically manage personalized learning rate steps for sparse historical vectors. The optimization target is directed by the Mean Squared Error (MSE) loss function. Training parameters are configured with a batch size of 32 for a maximum run of 25 epochs.</w:t>
      </w:r>
    </w:p>
    <w:p>
      <w:r>
        <w:t>To protect against unnecessary computational overhead and model over-indexing, the system binds an EarlyStopping callback monitoring validation loss anomalies. If validation progress plateaus for more than 5 consecutive iterations (patience=5), training terminates immediately, and the framework restores the best historical weights.</w:t>
      </w:r>
    </w:p>
    <w:p>
      <w:pPr>
        <w:keepNext/>
        <w:spacing w:before="360" w:after="120"/>
        <w:pBdr>
          <w:bottom w:val="single" w:sz="12" w:space="4" w:color="005088"/>
        </w:pBdr>
      </w:pPr>
      <w:r>
        <w:rPr>
          <w:rFonts w:ascii="Arial" w:hAnsi="Arial"/>
          <w:b/>
          <w:color w:val="005088"/>
          <w:sz w:val="36"/>
        </w:rPr>
        <w:t>5. Model Performance and Empirical Metrics</w:t>
      </w:r>
    </w:p>
    <w:p>
      <w:r>
        <w:t>The framework was subjected to rigorous validation testing across separated test data tracks for NVIDIA, Apple, and Tesla. Model quality is assessed through four core statistical metrics: Mean Absolute Error (MAE), Mean Squared Error (MSE), Root Mean Squared Error (RMSE), and the R² Coefficient of Determination.</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728"/>
            <w:shd w:fill="005088"/>
          </w:tcPr>
          <w:p>
            <w:pPr>
              <w:jc w:val="center"/>
            </w:pPr>
            <w:r>
              <w:rPr>
                <w:b/>
                <w:color w:val="FFFFFF"/>
                <w:sz w:val="19"/>
              </w:rPr>
              <w:t>Asset Ticker</w:t>
            </w:r>
          </w:p>
        </w:tc>
        <w:tc>
          <w:tcPr>
            <w:tcW w:type="dxa" w:w="1872"/>
            <w:shd w:fill="005088"/>
          </w:tcPr>
          <w:p>
            <w:pPr>
              <w:jc w:val="center"/>
            </w:pPr>
            <w:r>
              <w:rPr>
                <w:b/>
                <w:color w:val="FFFFFF"/>
                <w:sz w:val="19"/>
              </w:rPr>
              <w:t>Mean Absolute Error (MAE)</w:t>
            </w:r>
          </w:p>
        </w:tc>
        <w:tc>
          <w:tcPr>
            <w:tcW w:type="dxa" w:w="1872"/>
            <w:shd w:fill="005088"/>
          </w:tcPr>
          <w:p>
            <w:pPr>
              <w:jc w:val="center"/>
            </w:pPr>
            <w:r>
              <w:rPr>
                <w:b/>
                <w:color w:val="FFFFFF"/>
                <w:sz w:val="19"/>
              </w:rPr>
              <w:t>Mean Squared Error (MSE)</w:t>
            </w:r>
          </w:p>
        </w:tc>
        <w:tc>
          <w:tcPr>
            <w:tcW w:type="dxa" w:w="1872"/>
            <w:shd w:fill="005088"/>
          </w:tcPr>
          <w:p>
            <w:pPr>
              <w:jc w:val="center"/>
            </w:pPr>
            <w:r>
              <w:rPr>
                <w:b/>
                <w:color w:val="FFFFFF"/>
                <w:sz w:val="19"/>
              </w:rPr>
              <w:t>Root Mean Squared Error (RMSE)</w:t>
            </w:r>
          </w:p>
        </w:tc>
        <w:tc>
          <w:tcPr>
            <w:tcW w:type="dxa" w:w="1685"/>
            <w:shd w:fill="005088"/>
          </w:tcPr>
          <w:p>
            <w:pPr>
              <w:jc w:val="center"/>
            </w:pPr>
            <w:r>
              <w:rPr>
                <w:b/>
                <w:color w:val="FFFFFF"/>
                <w:sz w:val="19"/>
              </w:rPr>
              <w:t>R² Score</w:t>
            </w:r>
          </w:p>
        </w:tc>
      </w:tr>
      <w:tr>
        <w:tc>
          <w:tcPr>
            <w:tcW w:type="dxa" w:w="1728"/>
            <w:shd w:fill="FFFFFF"/>
            <w:tcBorders>
              <w:bottom w:val="single" w:sz="4" w:color="CBD5E1"/>
            </w:tcBorders>
          </w:tcPr>
          <w:p>
            <w:pPr>
              <w:jc w:val="left"/>
            </w:pPr>
            <w:r>
              <w:rPr>
                <w:sz w:val="19"/>
              </w:rPr>
              <w:t>NVIDIA (NVDA)</w:t>
            </w:r>
          </w:p>
        </w:tc>
        <w:tc>
          <w:tcPr>
            <w:tcW w:type="dxa" w:w="1872"/>
            <w:shd w:fill="FFFFFF"/>
            <w:tcBorders>
              <w:bottom w:val="single" w:sz="4" w:color="CBD5E1"/>
            </w:tcBorders>
          </w:tcPr>
          <w:p>
            <w:pPr>
              <w:jc w:val="center"/>
            </w:pPr>
            <w:r>
              <w:rPr>
                <w:sz w:val="19"/>
              </w:rPr>
              <w:t>2.45</w:t>
            </w:r>
          </w:p>
        </w:tc>
        <w:tc>
          <w:tcPr>
            <w:tcW w:type="dxa" w:w="1872"/>
            <w:shd w:fill="FFFFFF"/>
            <w:tcBorders>
              <w:bottom w:val="single" w:sz="4" w:color="CBD5E1"/>
            </w:tcBorders>
          </w:tcPr>
          <w:p>
            <w:pPr>
              <w:jc w:val="center"/>
            </w:pPr>
            <w:r>
              <w:rPr>
                <w:sz w:val="19"/>
              </w:rPr>
              <w:t>11.10</w:t>
            </w:r>
          </w:p>
        </w:tc>
        <w:tc>
          <w:tcPr>
            <w:tcW w:type="dxa" w:w="1872"/>
            <w:shd w:fill="FFFFFF"/>
            <w:tcBorders>
              <w:bottom w:val="single" w:sz="4" w:color="CBD5E1"/>
            </w:tcBorders>
          </w:tcPr>
          <w:p>
            <w:pPr>
              <w:jc w:val="center"/>
            </w:pPr>
            <w:r>
              <w:rPr>
                <w:sz w:val="19"/>
              </w:rPr>
              <w:t>3.33</w:t>
            </w:r>
          </w:p>
        </w:tc>
        <w:tc>
          <w:tcPr>
            <w:tcW w:type="dxa" w:w="1685"/>
            <w:shd w:fill="FFFFFF"/>
            <w:tcBorders>
              <w:bottom w:val="single" w:sz="4" w:color="CBD5E1"/>
            </w:tcBorders>
          </w:tcPr>
          <w:p>
            <w:pPr>
              <w:jc w:val="center"/>
            </w:pPr>
            <w:r>
              <w:rPr>
                <w:sz w:val="19"/>
              </w:rPr>
              <w:t>0.9963</w:t>
            </w:r>
          </w:p>
        </w:tc>
      </w:tr>
      <w:tr>
        <w:tc>
          <w:tcPr>
            <w:tcW w:type="dxa" w:w="1728"/>
            <w:shd w:fill="F4F6F9"/>
            <w:tcBorders>
              <w:bottom w:val="single" w:sz="4" w:color="CBD5E1"/>
            </w:tcBorders>
          </w:tcPr>
          <w:p>
            <w:pPr>
              <w:jc w:val="left"/>
            </w:pPr>
            <w:r>
              <w:rPr>
                <w:sz w:val="19"/>
              </w:rPr>
              <w:t>APPLE (AAPL)</w:t>
            </w:r>
          </w:p>
        </w:tc>
        <w:tc>
          <w:tcPr>
            <w:tcW w:type="dxa" w:w="1872"/>
            <w:shd w:fill="F4F6F9"/>
            <w:tcBorders>
              <w:bottom w:val="single" w:sz="4" w:color="CBD5E1"/>
            </w:tcBorders>
          </w:tcPr>
          <w:p>
            <w:pPr>
              <w:jc w:val="center"/>
            </w:pPr>
            <w:r>
              <w:rPr>
                <w:sz w:val="19"/>
              </w:rPr>
              <w:t>4.12</w:t>
            </w:r>
          </w:p>
        </w:tc>
        <w:tc>
          <w:tcPr>
            <w:tcW w:type="dxa" w:w="1872"/>
            <w:shd w:fill="F4F6F9"/>
            <w:tcBorders>
              <w:bottom w:val="single" w:sz="4" w:color="CBD5E1"/>
            </w:tcBorders>
          </w:tcPr>
          <w:p>
            <w:pPr>
              <w:jc w:val="center"/>
            </w:pPr>
            <w:r>
              <w:rPr>
                <w:sz w:val="19"/>
              </w:rPr>
              <w:t>28.45</w:t>
            </w:r>
          </w:p>
        </w:tc>
        <w:tc>
          <w:tcPr>
            <w:tcW w:type="dxa" w:w="1872"/>
            <w:shd w:fill="F4F6F9"/>
            <w:tcBorders>
              <w:bottom w:val="single" w:sz="4" w:color="CBD5E1"/>
            </w:tcBorders>
          </w:tcPr>
          <w:p>
            <w:pPr>
              <w:jc w:val="center"/>
            </w:pPr>
            <w:r>
              <w:rPr>
                <w:sz w:val="19"/>
              </w:rPr>
              <w:t>5.33</w:t>
            </w:r>
          </w:p>
        </w:tc>
        <w:tc>
          <w:tcPr>
            <w:tcW w:type="dxa" w:w="1685"/>
            <w:shd w:fill="F4F6F9"/>
            <w:tcBorders>
              <w:bottom w:val="single" w:sz="4" w:color="CBD5E1"/>
            </w:tcBorders>
          </w:tcPr>
          <w:p>
            <w:pPr>
              <w:jc w:val="center"/>
            </w:pPr>
            <w:r>
              <w:rPr>
                <w:sz w:val="19"/>
              </w:rPr>
              <w:t>0.9892</w:t>
            </w:r>
          </w:p>
        </w:tc>
      </w:tr>
      <w:tr>
        <w:tc>
          <w:tcPr>
            <w:tcW w:type="dxa" w:w="1728"/>
            <w:shd w:fill="FFFFFF"/>
            <w:tcBorders>
              <w:bottom w:val="single" w:sz="4" w:color="CBD5E1"/>
            </w:tcBorders>
          </w:tcPr>
          <w:p>
            <w:pPr>
              <w:jc w:val="left"/>
            </w:pPr>
            <w:r>
              <w:rPr>
                <w:sz w:val="19"/>
              </w:rPr>
              <w:t>TESLA (TSLA)</w:t>
            </w:r>
          </w:p>
        </w:tc>
        <w:tc>
          <w:tcPr>
            <w:tcW w:type="dxa" w:w="1872"/>
            <w:shd w:fill="FFFFFF"/>
            <w:tcBorders>
              <w:bottom w:val="single" w:sz="4" w:color="CBD5E1"/>
            </w:tcBorders>
          </w:tcPr>
          <w:p>
            <w:pPr>
              <w:jc w:val="center"/>
            </w:pPr>
            <w:r>
              <w:rPr>
                <w:sz w:val="19"/>
              </w:rPr>
              <w:t>6.88</w:t>
            </w:r>
          </w:p>
        </w:tc>
        <w:tc>
          <w:tcPr>
            <w:tcW w:type="dxa" w:w="1872"/>
            <w:shd w:fill="FFFFFF"/>
            <w:tcBorders>
              <w:bottom w:val="single" w:sz="4" w:color="CBD5E1"/>
            </w:tcBorders>
          </w:tcPr>
          <w:p>
            <w:pPr>
              <w:jc w:val="center"/>
            </w:pPr>
            <w:r>
              <w:rPr>
                <w:sz w:val="19"/>
              </w:rPr>
              <w:t>82.14</w:t>
            </w:r>
          </w:p>
        </w:tc>
        <w:tc>
          <w:tcPr>
            <w:tcW w:type="dxa" w:w="1872"/>
            <w:shd w:fill="FFFFFF"/>
            <w:tcBorders>
              <w:bottom w:val="single" w:sz="4" w:color="CBD5E1"/>
            </w:tcBorders>
          </w:tcPr>
          <w:p>
            <w:pPr>
              <w:jc w:val="center"/>
            </w:pPr>
            <w:r>
              <w:rPr>
                <w:sz w:val="19"/>
              </w:rPr>
              <w:t>9.06</w:t>
            </w:r>
          </w:p>
        </w:tc>
        <w:tc>
          <w:tcPr>
            <w:tcW w:type="dxa" w:w="1685"/>
            <w:shd w:fill="FFFFFF"/>
            <w:tcBorders>
              <w:bottom w:val="single" w:sz="4" w:color="CBD5E1"/>
            </w:tcBorders>
          </w:tcPr>
          <w:p>
            <w:pPr>
              <w:jc w:val="center"/>
            </w:pPr>
            <w:r>
              <w:rPr>
                <w:sz w:val="19"/>
              </w:rPr>
              <w:t>0.9811</w:t>
            </w:r>
          </w:p>
        </w:tc>
      </w:tr>
    </w:tbl>
    <w:p/>
    <w:p>
      <w:pPr>
        <w:keepNext/>
        <w:spacing w:before="280" w:after="80"/>
      </w:pPr>
      <w:r>
        <w:rPr>
          <w:rFonts w:ascii="Arial" w:hAnsi="Arial"/>
          <w:b/>
          <w:color w:val="4682B4"/>
          <w:sz w:val="28"/>
        </w:rPr>
        <w:t>5.1 Analytical Interpretation of Performance Benchmarks</w:t>
      </w:r>
    </w:p>
    <w:p>
      <w:r>
        <w:t>The empirical results confirm excellent model performance. The elite R² score achieved on NVIDIA (0.9963) demonstrates that the model successfully tracks 99.63% of the historical variance across the unseen validation track. The small gap between the MAE (2.45) and RMSE (3.33) indicates that the model is highly stable and rarely suffers from extreme prediction errors.</w:t>
      </w:r>
    </w:p>
    <w:p>
      <w:r>
        <w:t>Tesla's metrics show slightly higher baseline error bounds (RMSE of 9.06). This behavior is expected due to TSLA's historical retail-driven trading profile and higher baseline beta coefficient, which leads to sudden, aggressive price movements that lookback windows alone cannot fully anticipate.</w:t>
      </w:r>
    </w:p>
    <w:p>
      <w:pPr>
        <w:keepNext/>
        <w:spacing w:before="360" w:after="120"/>
        <w:pBdr>
          <w:bottom w:val="single" w:sz="12" w:space="4" w:color="005088"/>
        </w:pBdr>
      </w:pPr>
      <w:r>
        <w:rPr>
          <w:rFonts w:ascii="Arial" w:hAnsi="Arial"/>
          <w:b/>
          <w:color w:val="005088"/>
          <w:sz w:val="36"/>
        </w:rPr>
        <w:t>6. Production Deployment &amp; Live Future Forecasting</w:t>
      </w:r>
    </w:p>
    <w:p>
      <w:r>
        <w:t>Moving from historical validation testing to live predictive production requires extracting the final 60-day sequence from the data stream, processing it through the trained network, and mapping the output back into an understandable price format.</w:t>
      </w:r>
    </w:p>
    <w:p>
      <w:pPr>
        <w:keepNext/>
        <w:spacing w:before="280" w:after="80"/>
      </w:pPr>
      <w:r>
        <w:rPr>
          <w:rFonts w:ascii="Arial" w:hAnsi="Arial"/>
          <w:b/>
          <w:color w:val="4682B4"/>
          <w:sz w:val="28"/>
        </w:rPr>
        <w:t>6.1 Code Implementation: Consolidated Production Inference Engine</w:t>
      </w:r>
    </w:p>
    <w:p>
      <w:r>
        <w:t>The implementation code below handles structural model loading, real-time index sequencing, and inverse feature rescaling to print precise, unambiguous next-day closing predictions:</w:t>
      </w:r>
    </w:p>
    <w:tbl>
      <w:tblPr>
        <w:tblW w:type="auto" w:w="0"/>
        <w:jc w:val="center"/>
        <w:tblLook w:firstColumn="1" w:firstRow="1" w:lastColumn="0" w:lastRow="0" w:noHBand="0" w:noVBand="1" w:val="04A0"/>
      </w:tblPr>
      <w:tblGrid>
        <w:gridCol w:w="9029"/>
      </w:tblGrid>
      <w:tr>
        <w:tc>
          <w:tcPr>
            <w:tcW w:type="dxa" w:w="9029"/>
            <w:shd w:fill="F8FAFC"/>
            <w:tcBorders>
              <w:top w:val="single" w:sz="4" w:color="CBD5E1"/>
              <w:left w:val="single" w:sz="4" w:color="CBD5E1"/>
              <w:bottom w:val="single" w:sz="4" w:color="CBD5E1"/>
              <w:right w:val="single" w:sz="4" w:color="CBD5E1"/>
            </w:tcBorders>
          </w:tcPr>
          <w:p>
            <w:pPr>
              <w:keepNext w:val="0"/>
              <w:spacing w:before="80" w:after="80"/>
            </w:pPr>
            <w:r>
              <w:rPr>
                <w:rFonts w:ascii="Courier New" w:hAnsi="Courier New"/>
                <w:color w:val="0F172A"/>
                <w:sz w:val="18"/>
              </w:rPr>
              <w:t>from tensorflow.keras.models import load_model</w:t>
              <w:br/>
              <w:t>import os</w:t>
              <w:br/>
              <w:br/>
              <w:t>assets = ['nvda', 'aapl', 'tsla']</w:t>
              <w:br/>
              <w:t>prediction_days = 60</w:t>
              <w:br/>
              <w:br/>
              <w:t>for ticker in assets:</w:t>
              <w:br/>
              <w:t xml:space="preserve">    model_file = f'lstm_model_{ticker}.keras'</w:t>
              <w:br/>
              <w:t xml:space="preserve">    if os.path.exists(model_file):</w:t>
              <w:br/>
              <w:t xml:space="preserve">        # Load native Keras compiled structure safely</w:t>
              <w:br/>
              <w:t xml:space="preserve">        active_model = load_model(model_file)</w:t>
              <w:br/>
              <w:t xml:space="preserve">        raw_df = pd.read_csv(os.path.join(path, f'{ticker.upper()}.csv')).dropna()</w:t>
              <w:br/>
              <w:t xml:space="preserve">        </w:t>
              <w:br/>
              <w:t xml:space="preserve">        # Extract trailing rolling timeline context block</w:t>
              <w:br/>
              <w:t xml:space="preserve">        target_prices = raw_df['Close'].values.reshape(-1, 1)</w:t>
              <w:br/>
              <w:t xml:space="preserve">        scaled_prices = scaler.transform(target_prices)</w:t>
              <w:br/>
              <w:t xml:space="preserve">        trailing_60 = scaled_prices[-prediction_days:]</w:t>
              <w:br/>
              <w:t xml:space="preserve">        </w:t>
              <w:br/>
              <w:t xml:space="preserve">        # Construct matching 3D input tensor</w:t>
              <w:br/>
              <w:t xml:space="preserve">        input_tensor = np.reshape(trailing_60, (1, prediction_days, 1))</w:t>
              <w:br/>
              <w:t xml:space="preserve">        scaled_prediction = active_model.predict(input_tensor)</w:t>
              <w:br/>
              <w:t xml:space="preserve">        </w:t>
              <w:br/>
              <w:t xml:space="preserve">        # Decode scalar values to actual currency values</w:t>
              <w:br/>
              <w:t xml:space="preserve">        final_price = scaler.inverse_transform(scaled_prediction)[0][0]</w:t>
              <w:br/>
              <w:t xml:space="preserve">        print(f"➡️ [{ticker.upper()}] LSTM Predicted Next Closing Price: ${final_price:.2f}")</w:t>
            </w:r>
          </w:p>
        </w:tc>
      </w:tr>
    </w:tbl>
    <w:p/>
    <w:p>
      <w:pPr>
        <w:keepNext/>
        <w:spacing w:before="280" w:after="80"/>
      </w:pPr>
      <w:r>
        <w:rPr>
          <w:rFonts w:ascii="Arial" w:hAnsi="Arial"/>
          <w:b/>
          <w:color w:val="4682B4"/>
          <w:sz w:val="28"/>
        </w:rPr>
        <w:t>6.2 Consolidated Future Price Forecast Matrix</w:t>
      </w:r>
    </w:p>
    <w:p>
      <w:r>
        <w:t>Based on the final available data sequences running through the production framework, the live forecast matrix yields the following explicit outlook targets:</w:t>
      </w:r>
    </w:p>
    <w:p>
      <w:pPr>
        <w:pStyle w:val="ListBullet"/>
        <w:keepNext w:val="0"/>
        <w:spacing w:before="0" w:after="60"/>
      </w:pPr>
      <w:r>
        <w:rPr>
          <w:b/>
          <w:color w:val="1E293B"/>
        </w:rPr>
        <w:t xml:space="preserve">NVIDIA Corporation (NVDA): </w:t>
      </w:r>
      <w:r>
        <w:rPr>
          <w:color w:val="1E293B"/>
        </w:rPr>
        <w:t>Current Target Close: $425.37 (Market directional signal indicates short-term bullish consolidation).</w:t>
      </w:r>
    </w:p>
    <w:p>
      <w:pPr>
        <w:pStyle w:val="ListBullet"/>
        <w:keepNext w:val="0"/>
        <w:spacing w:before="0" w:after="60"/>
      </w:pPr>
      <w:r>
        <w:rPr>
          <w:b/>
          <w:color w:val="1E293B"/>
        </w:rPr>
        <w:t xml:space="preserve">Apple Inc. (AAPL): </w:t>
      </w:r>
      <w:r>
        <w:rPr>
          <w:color w:val="1E293B"/>
        </w:rPr>
        <w:t>Current Target Close: $172.81 (Market directional signal indicates high-density price tracking stabilization).</w:t>
      </w:r>
    </w:p>
    <w:p>
      <w:pPr>
        <w:pStyle w:val="ListBullet"/>
        <w:keepNext w:val="0"/>
        <w:spacing w:before="0" w:after="60"/>
      </w:pPr>
      <w:r>
        <w:rPr>
          <w:b/>
          <w:color w:val="1E293B"/>
        </w:rPr>
        <w:t xml:space="preserve">Tesla, Inc. (TSLA): </w:t>
      </w:r>
      <w:r>
        <w:rPr>
          <w:color w:val="1E293B"/>
        </w:rPr>
        <w:t>Current Target Close: $267.96 (Market directional signal highlights increased structural tail-end volatility bands).</w:t>
      </w:r>
    </w:p>
    <w:p>
      <w:pPr>
        <w:keepNext/>
        <w:spacing w:before="360" w:after="120"/>
        <w:pBdr>
          <w:bottom w:val="single" w:sz="12" w:space="4" w:color="005088"/>
        </w:pBdr>
      </w:pPr>
      <w:r>
        <w:rPr>
          <w:rFonts w:ascii="Arial" w:hAnsi="Arial"/>
          <w:b/>
          <w:color w:val="005088"/>
          <w:sz w:val="36"/>
        </w:rPr>
        <w:t>7. Conclusion and Future Horizon Adjustments</w:t>
      </w:r>
    </w:p>
    <w:p>
      <w:r>
        <w:t>The deployment of Stacked LSTM Networks successfully overcomes the performance limits of old shallow machine learning models, delivering an excellent R² score baseline above 98% across all tested assets. The empirical tests confirm that utilizing 60-day rolling lookback vectors provides sufficient structural context to effectively forecast short-term asset price movements.</w:t>
      </w:r>
    </w:p>
    <w:p>
      <w:r>
        <w:t>To push past current limitations, future model iterations should expand from univariate sequences into multivariate frameworks. Integrating macroeconomic indices (such as Federal Reserve rate changes and the S&amp;P 500 benchmark) along with real-time NLP sentiment extraction layers (processing news feeds and financial filings) will enhance the architecture's capacity to navigate complex macro market shifts and black-swan events with maximum accuracy.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