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7A1C1C"/>
          <w:sz w:val="48"/>
        </w:rPr>
        <w:t>Applied Machine Learning Report</w:t>
      </w:r>
    </w:p>
    <w:p>
      <w:pPr>
        <w:spacing w:after="320"/>
      </w:pPr>
      <w:r>
        <w:rPr>
          <w:color w:val="555555"/>
          <w:sz w:val="26"/>
        </w:rPr>
        <w:t>Credit Card Fraud Detection: Scaling Class-Imbalanced Classifiers for Financial Risk Mitigation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5F5"/>
            <w:tcBorders>
              <w:left w:val="single" w:sz="24" w:space="0" w:color="7A1C1C"/>
            </w:tcBorders>
          </w:tcPr>
          <w:p>
            <w:pPr>
              <w:spacing w:before="100" w:after="100"/>
              <w:ind w:left="144"/>
            </w:pPr>
            <w:r>
              <w:rPr>
                <w:b/>
                <w:sz w:val="19"/>
              </w:rPr>
              <w:t>Prepared by: Sanaullah Tareen, Data Scientist &amp; ML Engineer</w:t>
              <w:br/>
            </w:r>
            <w:r>
              <w:rPr>
                <w:color w:val="555555"/>
                <w:sz w:val="19"/>
              </w:rPr>
              <w:t>Methodology: Synthetic Minority Over-sampling Technique (SMOTE) + Bounded Validation</w:t>
              <w:br/>
              <w:t>Architectures: Logistic Regression, Keras Multi-Layer Perceptron (MLP), XGBoost Ensemble</w:t>
            </w:r>
          </w:p>
        </w:tc>
      </w:tr>
    </w:tbl>
    <w:p>
      <w:pPr>
        <w:keepNext/>
        <w:spacing w:before="360" w:after="120"/>
        <w:pBdr>
          <w:bottom w:val="single" w:sz="12" w:space="4" w:color="7A1C1C"/>
        </w:pBdr>
      </w:pPr>
      <w:r>
        <w:rPr>
          <w:rFonts w:ascii="Arial" w:hAnsi="Arial"/>
          <w:b/>
          <w:color w:val="7A1C1C"/>
          <w:sz w:val="32"/>
        </w:rPr>
        <w:t>1. Executive Summary</w:t>
      </w:r>
    </w:p>
    <w:p>
      <w:r>
        <w:t>This technical report presents the structural design, leakage-safe validation, and comparative analysis of a machine learning framework engineered to isolate fraudulent credit card transactions within high-throughput transactional environments. In electronic banking networks, asymmetric distribution profiles represent a classic problem where normal baseline actions eclipse malicious activity, making specialized sampling strategies a necessity.</w:t>
      </w:r>
    </w:p>
    <w:p>
      <w:r>
        <w:t>The project uses a standard dataset tracking 284,807 transactions where an extreme imbalance is present—only 492 instances (0.17%) represent validated fraud. To address this, three distinct classification frameworks were developed and audited: an optimized Logistic Regression classifier, a Keras Multi-Layer Perceptron (MLP), and an XGBoost Gradient Boosted Decision Tree ensemble. Traditional evaluation based on overall accuracy was discarded because a native majority-class model yields an uninformative 99.83% score while completely missing active threats. Instead, models were trained using Area Under the Precision-Recall Curve (AUPRC) as the primary indicator.</w:t>
      </w:r>
    </w:p>
    <w:p>
      <w:r>
        <w:t>XGBoost delivered the best overall results, achieving an out-of-sample AUPRC of 0.879 and a ROC-AUC score of 0.978. Following business-driven threshold optimization across the Precision-Recall frontier, the deployment model captured 82% of active fraud instances with an explicit precision rate of 96%. This constrained false positives to just 3 cases out of roughly 57,000 legitimate validation events, demonstrating an excellent operational balance between fraud protection and customer convenience.</w:t>
      </w:r>
    </w:p>
    <w:p>
      <w:pPr>
        <w:keepNext/>
        <w:spacing w:before="360" w:after="120"/>
        <w:pBdr>
          <w:bottom w:val="single" w:sz="12" w:space="4" w:color="7A1C1C"/>
        </w:pBdr>
      </w:pPr>
      <w:r>
        <w:rPr>
          <w:rFonts w:ascii="Arial" w:hAnsi="Arial"/>
          <w:b/>
          <w:color w:val="7A1C1C"/>
          <w:sz w:val="32"/>
        </w:rPr>
        <w:t>2. Core Dataset Dynamics &amp; Asymmetric Distribution</w:t>
      </w:r>
    </w:p>
    <w:p>
      <w:r>
        <w:t>The underlying asset matrix tracks financial records spanning a multi-day timeline. Because transaction features are masked using a Principal Component Analysis (PCA) transform into 28 unlabelled continuous dimensions (V1 through V28) alongside raw transaction amounts, statistical modeling focuses heavily on geometric separation rather than direct descriptive heuristics.</w:t>
      </w:r>
    </w:p>
    <w:p>
      <w:pPr>
        <w:pStyle w:val="ListBullet"/>
      </w:pPr>
      <w:r>
        <w:rPr>
          <w:b/>
        </w:rPr>
        <w:t xml:space="preserve">Legitimate Transactions (Majority Class): </w:t>
      </w:r>
      <w:r>
        <w:t>284,315 checked events (99.83% of total data records).</w:t>
      </w:r>
    </w:p>
    <w:p>
      <w:pPr>
        <w:pStyle w:val="ListBullet"/>
      </w:pPr>
      <w:r>
        <w:rPr>
          <w:b/>
        </w:rPr>
        <w:t xml:space="preserve">Fraudulent Transactions (Minority Target): </w:t>
      </w:r>
      <w:r>
        <w:t>492 checked events (0.17% of total data records).</w:t>
      </w:r>
    </w:p>
    <w:p>
      <w:r>
        <w:t>This acute structural skew introduces a high risk of gradient collapse or uninformative convergence if standard loss functions are applied directly. The models would simply opt to predict the majority class uniformly.</w:t>
      </w:r>
    </w:p>
    <w:p>
      <w:pPr>
        <w:keepNext/>
        <w:spacing w:before="360" w:after="120"/>
        <w:pBdr>
          <w:bottom w:val="single" w:sz="12" w:space="4" w:color="7A1C1C"/>
        </w:pBdr>
      </w:pPr>
      <w:r>
        <w:rPr>
          <w:rFonts w:ascii="Arial" w:hAnsi="Arial"/>
          <w:b/>
          <w:color w:val="7A1C1C"/>
          <w:sz w:val="32"/>
        </w:rPr>
        <w:t>3. Leakage-Safe Data Engineering &amp; Resampling Workflow</w:t>
      </w:r>
    </w:p>
    <w:p>
      <w:r>
        <w:t>Achieving valid performance indicators on heavily skewed data requires careful validation design to prevent data leakage during preprocessing and sampling stages.</w:t>
      </w:r>
    </w:p>
    <w:p>
      <w:pPr>
        <w:keepNext/>
        <w:spacing w:before="280" w:after="80"/>
      </w:pPr>
      <w:r>
        <w:rPr>
          <w:rFonts w:ascii="Arial" w:hAnsi="Arial"/>
          <w:b/>
          <w:color w:val="5C6B73"/>
          <w:sz w:val="26"/>
        </w:rPr>
        <w:t>Stratified Test Deconstruction</w:t>
      </w:r>
    </w:p>
    <w:p>
      <w:r>
        <w:t>The full dataset matrix was divided using a stratified 80/20 train/test split. Stratification ensures that both the training and verification splits retain the original 0.17% fraud ratio precisely, protecting the validation sample from artificial inflation or deflation of the target class.</w:t>
      </w:r>
    </w:p>
    <w:p>
      <w:pPr>
        <w:keepNext/>
        <w:spacing w:before="280" w:after="80"/>
      </w:pPr>
      <w:r>
        <w:rPr>
          <w:rFonts w:ascii="Arial" w:hAnsi="Arial"/>
          <w:b/>
          <w:color w:val="5C6B73"/>
          <w:sz w:val="26"/>
        </w:rPr>
        <w:t>Isolated SMOTE Augmentation Logic</w:t>
      </w:r>
    </w:p>
    <w:p>
      <w:r>
        <w:t>Synthetic Minority Over-sampling Technique (SMOTE) was used to address the class imbalance. A common data-science pitfall is applying SMOTE to the entire dataset before splitting, which causes information from the validation split to leak into the training data through synthetic nearest-neighbor interpolation. To maintain strict isolation, SMOTE was fitted and executed exclusively within the training matrix partitions:</w:t>
      </w:r>
    </w:p>
    <w:p>
      <w:pPr>
        <w:jc w:val="center"/>
      </w:pPr>
      <w:r>
        <w:rPr>
          <w:rFonts w:ascii="Consolas" w:hAnsi="Consolas"/>
          <w:color w:val="7A1C1C"/>
          <w:sz w:val="19"/>
        </w:rPr>
        <w:t>Raw Data Matrix ──&gt; Stratified Split ──&gt; [ Training Split Only ] ──&gt; Apply SMOTE ──&gt; Balanced Train Set</w:t>
        <w:br/>
        <w:t xml:space="preserve">                                      └──&gt; [ Validation Split ] ──&gt; No Over-sampling ──&gt; Real-World Distribution</w:t>
      </w:r>
    </w:p>
    <w:p>
      <w:r>
        <w:t>This pipeline configuration keeps the validation split completely untouched by synthetic manipulation, providing an accurate representation of true system behavior on unmanipulated production data streams.</w:t>
      </w:r>
    </w:p>
    <w:p>
      <w:pPr>
        <w:keepNext/>
        <w:spacing w:before="360" w:after="120"/>
        <w:pBdr>
          <w:bottom w:val="single" w:sz="12" w:space="4" w:color="7A1C1C"/>
        </w:pBdr>
      </w:pPr>
      <w:r>
        <w:rPr>
          <w:rFonts w:ascii="Arial" w:hAnsi="Arial"/>
          <w:b/>
          <w:color w:val="7A1C1C"/>
          <w:sz w:val="32"/>
        </w:rPr>
        <w:t>4. Classifier Framework Comparison</w:t>
      </w:r>
    </w:p>
    <w:p>
      <w:r>
        <w:t>Three distinct model types were compiled and evaluated under identical validation conditions to identify the most effective architecture for this class-imbalanced problem.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7A1C1C"/>
          </w:tcPr>
          <w:p>
            <w:r>
              <w:rPr>
                <w:b/>
                <w:color w:val="FFFFFF"/>
                <w:sz w:val="20"/>
              </w:rPr>
              <w:t>Model Type</w:t>
            </w:r>
          </w:p>
        </w:tc>
        <w:tc>
          <w:tcPr>
            <w:tcW w:type="dxa" w:w="1440"/>
            <w:shd w:fill="7A1C1C"/>
          </w:tcPr>
          <w:p>
            <w:r>
              <w:rPr>
                <w:b/>
                <w:color w:val="FFFFFF"/>
                <w:sz w:val="20"/>
              </w:rPr>
              <w:t>AUPRC</w:t>
            </w:r>
          </w:p>
        </w:tc>
        <w:tc>
          <w:tcPr>
            <w:tcW w:type="dxa" w:w="1440"/>
            <w:shd w:fill="7A1C1C"/>
          </w:tcPr>
          <w:p>
            <w:r>
              <w:rPr>
                <w:b/>
                <w:color w:val="FFFFFF"/>
                <w:sz w:val="20"/>
              </w:rPr>
              <w:t>ROC-AUC</w:t>
            </w:r>
          </w:p>
        </w:tc>
        <w:tc>
          <w:tcPr>
            <w:tcW w:type="dxa" w:w="4320"/>
            <w:shd w:fill="7A1C1C"/>
          </w:tcPr>
          <w:p>
            <w:r>
              <w:rPr>
                <w:b/>
                <w:color w:val="FFFFFF"/>
                <w:sz w:val="20"/>
              </w:rPr>
              <w:t>Architectural Summary / Structural Profile</w:t>
            </w:r>
          </w:p>
        </w:tc>
      </w:tr>
      <w:tr>
        <w:tc>
          <w:tcPr>
            <w:tcW w:type="dxa" w:w="216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Logistic Regression</w:t>
            </w:r>
          </w:p>
        </w:tc>
        <w:tc>
          <w:tcPr>
            <w:tcW w:type="dxa" w:w="144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0.762</w:t>
            </w:r>
          </w:p>
        </w:tc>
        <w:tc>
          <w:tcPr>
            <w:tcW w:type="dxa" w:w="144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0.964</w:t>
            </w:r>
          </w:p>
        </w:tc>
        <w:tc>
          <w:tcPr>
            <w:tcW w:type="dxa" w:w="432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Baseline model optimized via L2 regularization. Fast and highly interpretable but limited by linear decision boundaries.</w:t>
            </w:r>
          </w:p>
        </w:tc>
      </w:tr>
      <w:tr>
        <w:tc>
          <w:tcPr>
            <w:tcW w:type="dxa" w:w="2160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Keras Neural MLP</w:t>
            </w:r>
          </w:p>
        </w:tc>
        <w:tc>
          <w:tcPr>
            <w:tcW w:type="dxa" w:w="1440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0.824</w:t>
            </w:r>
          </w:p>
        </w:tc>
        <w:tc>
          <w:tcPr>
            <w:tcW w:type="dxa" w:w="1440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0.971</w:t>
            </w:r>
          </w:p>
        </w:tc>
        <w:tc>
          <w:tcPr>
            <w:tcW w:type="dxa" w:w="4320"/>
            <w:shd w:fill="FFFFFF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Deep Feed-Forward Multi-Layer Perceptron using Batch Normalization, Dropout (rate=0.30), and localized Binary Cross-Entropy loss scaling.</w:t>
            </w:r>
          </w:p>
        </w:tc>
      </w:tr>
      <w:tr>
        <w:tc>
          <w:tcPr>
            <w:tcW w:type="dxa" w:w="216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b/>
                <w:sz w:val="19"/>
              </w:rPr>
              <w:t>XGBoost Ensemble</w:t>
            </w:r>
          </w:p>
        </w:tc>
        <w:tc>
          <w:tcPr>
            <w:tcW w:type="dxa" w:w="144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0.879</w:t>
            </w:r>
          </w:p>
        </w:tc>
        <w:tc>
          <w:tcPr>
            <w:tcW w:type="dxa" w:w="144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0.978</w:t>
            </w:r>
          </w:p>
        </w:tc>
        <w:tc>
          <w:tcPr>
            <w:tcW w:type="dxa" w:w="4320"/>
            <w:shd w:fill="FAF5F5"/>
            <w:tcBorders>
              <w:top w:val="single" w:sz="2" w:space="0" w:color="D3D3D3"/>
              <w:bottom w:val="single" w:sz="2" w:space="0" w:color="D3D3D3"/>
            </w:tcBorders>
          </w:tcPr>
          <w:p>
            <w:pPr>
              <w:spacing w:before="80" w:after="80"/>
            </w:pPr>
            <w:r>
              <w:rPr>
                <w:sz w:val="19"/>
              </w:rPr>
              <w:t>Gradient Boosted Decision Tree network built with max_depth=6 and scale_pos_weight tuning to balance minority gradients.</w:t>
            </w:r>
          </w:p>
        </w:tc>
      </w:tr>
    </w:tbl>
    <w:p>
      <w:pPr>
        <w:spacing w:after="120"/>
      </w:pPr>
    </w:p>
    <w:p>
      <w:pPr>
        <w:keepNext/>
        <w:spacing w:before="360" w:after="120"/>
        <w:pBdr>
          <w:bottom w:val="single" w:sz="12" w:space="4" w:color="7A1C1C"/>
        </w:pBdr>
      </w:pPr>
      <w:r>
        <w:rPr>
          <w:rFonts w:ascii="Arial" w:hAnsi="Arial"/>
          <w:b/>
          <w:color w:val="7A1C1C"/>
          <w:sz w:val="32"/>
        </w:rPr>
        <w:t>5. Quantitative Evaluation &amp; Threshold Optimization</w:t>
      </w:r>
    </w:p>
    <w:p>
      <w:r>
        <w:t>The XGBoost model out-performed the other models across all target metrics. However, relying on the default classification threshold (0.50) is rarely optimal for highly skewed data. A business-driven threshold optimization sweep was conducted across the Precision-Recall curve to locate the ideal operating point.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04"/>
            <w:shd w:fill="FAF5F5"/>
            <w:tcBorders>
              <w:top w:val="single" w:sz="4" w:space="0" w:color="5C6B73"/>
              <w:bottom w:val="single" w:sz="4" w:space="0" w:color="5C6B73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7A1C1C"/>
                <w:sz w:val="30"/>
              </w:rPr>
              <w:t>0.879</w:t>
            </w:r>
          </w:p>
          <w:p>
            <w:pPr>
              <w:spacing w:before="0" w:after="80"/>
              <w:jc w:val="center"/>
            </w:pPr>
            <w:r>
              <w:rPr>
                <w:color w:val="555555"/>
                <w:sz w:val="17"/>
              </w:rPr>
              <w:t>AUPRC Metric</w:t>
              <w:br/>
              <w:t>Primary Performance Metric</w:t>
            </w:r>
          </w:p>
        </w:tc>
        <w:tc>
          <w:tcPr>
            <w:tcW w:type="dxa" w:w="2304"/>
            <w:shd w:fill="FAF5F5"/>
            <w:tcBorders>
              <w:top w:val="single" w:sz="4" w:space="0" w:color="5C6B73"/>
              <w:bottom w:val="single" w:sz="4" w:space="0" w:color="5C6B73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7A1C1C"/>
                <w:sz w:val="30"/>
              </w:rPr>
              <w:t>96.00%</w:t>
            </w:r>
          </w:p>
          <w:p>
            <w:pPr>
              <w:spacing w:before="0" w:after="80"/>
              <w:jc w:val="center"/>
            </w:pPr>
            <w:r>
              <w:rPr>
                <w:color w:val="555555"/>
                <w:sz w:val="17"/>
              </w:rPr>
              <w:t>Model Precision</w:t>
              <w:br/>
              <w:t>True Positive Forecast Rate</w:t>
            </w:r>
          </w:p>
        </w:tc>
        <w:tc>
          <w:tcPr>
            <w:tcW w:type="dxa" w:w="2304"/>
            <w:shd w:fill="FAF5F5"/>
            <w:tcBorders>
              <w:top w:val="single" w:sz="4" w:space="0" w:color="5C6B73"/>
              <w:bottom w:val="single" w:sz="4" w:space="0" w:color="5C6B73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7A1C1C"/>
                <w:sz w:val="30"/>
              </w:rPr>
              <w:t>82.00%</w:t>
            </w:r>
          </w:p>
          <w:p>
            <w:pPr>
              <w:spacing w:before="0" w:after="80"/>
              <w:jc w:val="center"/>
            </w:pPr>
            <w:r>
              <w:rPr>
                <w:color w:val="555555"/>
                <w:sz w:val="17"/>
              </w:rPr>
              <w:t>Model Recall</w:t>
              <w:br/>
              <w:t>Target Capture Capability</w:t>
            </w:r>
          </w:p>
        </w:tc>
        <w:tc>
          <w:tcPr>
            <w:tcW w:type="dxa" w:w="2448"/>
            <w:shd w:fill="FAF5F5"/>
            <w:tcBorders>
              <w:top w:val="single" w:sz="4" w:space="0" w:color="5C6B73"/>
              <w:bottom w:val="single" w:sz="4" w:space="0" w:color="5C6B73"/>
            </w:tcBorders>
          </w:tcPr>
          <w:p>
            <w:pPr>
              <w:spacing w:before="80" w:after="40"/>
              <w:jc w:val="center"/>
            </w:pPr>
            <w:r>
              <w:rPr>
                <w:b/>
                <w:color w:val="7A1C1C"/>
                <w:sz w:val="30"/>
              </w:rPr>
              <w:t>3 / 57,000</w:t>
            </w:r>
          </w:p>
          <w:p>
            <w:pPr>
              <w:spacing w:before="0" w:after="80"/>
              <w:jc w:val="center"/>
            </w:pPr>
            <w:r>
              <w:rPr>
                <w:color w:val="555555"/>
                <w:sz w:val="17"/>
              </w:rPr>
              <w:t>False Positives</w:t>
              <w:br/>
              <w:t>Customer Friction Count</w:t>
            </w:r>
          </w:p>
        </w:tc>
      </w:tr>
    </w:tbl>
    <w:p>
      <w:pPr>
        <w:spacing w:after="120"/>
      </w:pPr>
    </w:p>
    <w:p>
      <w:r>
        <w:t>By shifting the decision threshold to align with the Precision-Recall curve peak, the model caught 82% of true fraud cases while maintaining a 96% precision rate. Crucially, it generated only 3 false positives out of approximately 57,000 legitimate validation transactions, minimizing unnecessary customer account freezes and transaction friction.</w:t>
      </w:r>
    </w:p>
    <w:p>
      <w:pPr>
        <w:keepNext/>
        <w:spacing w:before="360" w:after="120"/>
        <w:pBdr>
          <w:bottom w:val="single" w:sz="12" w:space="4" w:color="7A1C1C"/>
        </w:pBdr>
      </w:pPr>
      <w:r>
        <w:rPr>
          <w:rFonts w:ascii="Arial" w:hAnsi="Arial"/>
          <w:b/>
          <w:color w:val="7A1C1C"/>
          <w:sz w:val="32"/>
        </w:rPr>
        <w:t>6. Enterprise Deployment Roadmap</w:t>
      </w:r>
    </w:p>
    <w:p>
      <w:r>
        <w:t>To scale this ensemble classifier from an offline script into a real-time financial transaction scoring engine, the following production steps are recommended:</w:t>
      </w:r>
    </w:p>
    <w:p>
      <w:pPr>
        <w:pStyle w:val="ListBullet"/>
      </w:pPr>
      <w:r>
        <w:rPr>
          <w:b/>
        </w:rPr>
        <w:t xml:space="preserve">Asynchronous Stream Scoring Topology: </w:t>
      </w:r>
      <w:r>
        <w:t>Deploy the optimized XGBoost model binary within a low-latency execution wrapper. Connect it to data streaming pipelines, such as Apache Kafka or AWS Kinesis, to score incoming financial messages in milliseconds.</w:t>
      </w:r>
    </w:p>
    <w:p>
      <w:pPr>
        <w:pStyle w:val="ListBullet"/>
      </w:pPr>
      <w:r>
        <w:rPr>
          <w:b/>
        </w:rPr>
        <w:t xml:space="preserve">Dynamic Two-Tier Action Routing: </w:t>
      </w:r>
      <w:r>
        <w:t>Use a multi-threshold routing strategy. Transactions with risk scores above 0.90 trigger an immediate account hold, while intermediate scores (e.g., 0.65 to 0.90) route to an automated SMS multi-factor confirmation flow to balance safety and user friction.</w:t>
      </w:r>
    </w:p>
    <w:p>
      <w:pPr>
        <w:pStyle w:val="ListBullet"/>
      </w:pPr>
      <w:r>
        <w:rPr>
          <w:b/>
        </w:rPr>
        <w:t xml:space="preserve">Feedback Loops &amp; Concept Drift Management: </w:t>
      </w:r>
      <w:r>
        <w:t>Financial fraud patterns shift rapidly to evade detection systems. Establish an automated database feedback pipeline to ingest newly confirmed fraud patterns, combined with drift-detection monitoring on incoming feature distributions, to trigger scheduled model updates safely.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Arial" w:hAnsi="Arial"/>
      <w:color w:val="2225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