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002D62"/>
          <w:sz w:val="48"/>
        </w:rPr>
        <w:t>TECHNICAL PROJECT REPORT:</w:t>
        <w:br/>
        <w:t>BLACK AND WHITE IMAGE COLORIZATION VIA TRANSFER LEARNING</w:t>
      </w:r>
    </w:p>
    <w:p>
      <w:pPr>
        <w:spacing w:after="720"/>
        <w:jc w:val="center"/>
      </w:pPr>
      <w:r>
        <w:rPr>
          <w:color w:val="4682B4"/>
          <w:sz w:val="26"/>
        </w:rPr>
        <w:t>An End-to-End Deep Learning Pipeline Utilizing a Pre-trained ResNet-18 Encoder and Symmetric Skip-Connected U-Net Decoder in CIE Lab Color Space</w:t>
      </w:r>
    </w:p>
    <w:p/>
    <w:p/>
    <w:p/>
    <w:p/>
    <w:p/>
    <w:p>
      <w:pPr>
        <w:jc w:val="center"/>
      </w:pPr>
      <w:r>
        <w:t>Prepared By:</w:t>
        <w:br/>
      </w:r>
      <w:r>
        <w:rPr>
          <w:b/>
          <w:sz w:val="24"/>
        </w:rPr>
        <w:t>Sanaullah Tareen</w:t>
        <w:br/>
      </w:r>
      <w:r>
        <w:rPr>
          <w:i/>
        </w:rPr>
        <w:t>Machine Learning Engineer &amp; Data Scientist</w:t>
        <w:br/>
        <w:t>6th Semester Undergraduate Specialist</w:t>
        <w:br/>
        <w:br/>
      </w:r>
      <w:r>
        <w:rPr>
          <w:color w:val="7F8C8D"/>
          <w:sz w:val="20"/>
        </w:rPr>
        <w:t>Date: June 2026</w:t>
        <w:br/>
        <w:t>Academic &amp; Research Division</w:t>
      </w:r>
    </w:p>
    <w:p>
      <w:r>
        <w:br w:type="page"/>
      </w:r>
    </w:p>
    <w:p>
      <w:pPr>
        <w:keepNext/>
        <w:spacing w:before="0" w:after="120"/>
      </w:pPr>
      <w:r>
        <w:rPr>
          <w:rFonts w:ascii="Arial" w:hAnsi="Arial"/>
          <w:b/>
          <w:color w:val="002D62"/>
          <w:sz w:val="36"/>
        </w:rPr>
        <w:t>Executive Summary</w:t>
      </w:r>
    </w:p>
    <w:p>
      <w:pPr>
        <w:jc w:val="both"/>
      </w:pPr>
      <w:r>
        <w:t>Automated grayscale image colorization represents a classic, highly constrained, ill-posed inverse problem within computer vision. Because a single independent luminance value can physically map to an infinite combination of chrominance vectors, traditional deep convolutional networks optimized with spatial standard pixel losses frequently generate blurry, desaturated, or spatially inconsistent chromatic distributions. This technical report presents a high-performance end-to-end machine learning pipeline that mitigates these limitations by isolating structural features from chromatic variables using the CIE Lab color space. By uncoupling luminance (L) from the dual chrominance axes (a and b), the problem is successfully framed as a localized mapping task where a single-channel input is mapped to a dual-channel continuous output layer.</w:t>
      </w:r>
    </w:p>
    <w:p>
      <w:pPr>
        <w:jc w:val="both"/>
      </w:pPr>
      <w:r>
        <w:t>The underlying core framework deploys an advanced hybrid deep learning architecture. It integrates a state-of-the-art pre-trained ResNet-18 convolutional network as a feature extraction encoder, coupled via spatial skip connections to a symmetrical, multi-stage convolutional decoder block structured after the U-Net design pattern. The network's primary input layers are modified via aggregate channel weight summation to accept single-channel structural tensors, ensuring the transfer of highly optimized spatial edge filters from ImageNet pre-training. The training pipeline was executed on a rich, comprehensive dataset consisting of multi-regional high-resolution landscape images loaded dynamically using custom KaggleHub infrastructure. Optimization was guided by an L1 Mean Absolute Error loss routine paired with an AdamW optimizer, forcing the generation of highly localized chromatic structures.</w:t>
      </w:r>
    </w:p>
    <w:p>
      <w:pPr>
        <w:jc w:val="both"/>
      </w:pPr>
      <w:r>
        <w:t>Quantitative and qualitative evaluation confirms that this framework exhibits exceptional performance in reconstructing authentic color fields across various natural classes—such as vegetation greens, atmospheric and water blues, and complex rock textures. Furthermore, a production-ready interactive sandbox testing module was constructed to evaluate the model's structural generalization capacity on completely unseen, out-of-distribution (OOD) internet imagery. This report provides full architectural descriptions, formal mathematical justifications, detailed data preprocessing pipelines, explicit optimization paradigms, and comparative evaluation results.</w:t>
      </w:r>
    </w:p>
    <w:p>
      <w:r>
        <w:br w:type="page"/>
      </w:r>
    </w:p>
    <w:p>
      <w:pPr>
        <w:keepNext/>
        <w:spacing w:before="240" w:after="120"/>
      </w:pPr>
      <w:r>
        <w:rPr>
          <w:rFonts w:ascii="Arial" w:hAnsi="Arial"/>
          <w:b/>
          <w:color w:val="002D62"/>
          <w:sz w:val="36"/>
        </w:rPr>
        <w:t>1. Introduction and Architectural Background</w:t>
      </w:r>
    </w:p>
    <w:p>
      <w:r>
        <w:t>The process of image colorization involves taking a monochrome or grayscale image as input and predicting a visually convincing, continuous color representation as output. Historically, this required intensive human labor. Digital artists spent dozens of hours manually applying color masks, selecting historical reference palettes, and rotoscoping moving frames or static photographs layer by layer. Aside from being incredibly time-consuming, manual colorization is inherently subjective and prone to inconsistencies across spatial regions and lighting gradients.</w:t>
      </w:r>
    </w:p>
    <w:p>
      <w:r>
        <w:t>With the emergence of deep convolutional neural networks (CNNs), automated image colorization has shifted from heuristic, rule-based algorithmic structures to data-driven semantic mapping pipelines. However, from a computer vision standpoint, colorization remains an inherently ill-posed problem. For any given grayscale pixel, there is no single 'correct' color answer. An isolated gray value representing a round structure could be a bright red apple, a green granny smith, or a yellow tennis ball. The network cannot rely on pixel intensities alone; it must develop a deep hierarchical understanding of semantic context, spatial textures, global lighting fields, and object classification boundaries to synthesize believable colors.</w:t>
      </w:r>
    </w:p>
    <w:p>
      <w:r>
        <w:t>The application domains for automated colorization are broad and highly impactful. In historical archival and museum conservation, it revitalizes century-old vintage photographic plates and cinema reels, making shared cultural histories more accessible to modern audiences. In satellite and geospatial imaging, colorizing multi-spectral infrared or panchromatic radar captures aids analysts in identifying land cover, vegetation health, and urban density grids. In medical diagnostics, applying pseudo-coloring pipelines to monochrome ultrasound, X-ray, or magnetic resonance scans dramatically enhances visual contrast, enabling medical practitioners to detect structural abnormalities with greater precision. This report outlines a complete, production-grade deep learning pipeline designed to solve this complex problem, detailing the entire cycle from data ingestion to sandbox verification.</w:t>
      </w:r>
    </w:p>
    <w:p>
      <w:pPr>
        <w:keepNext/>
        <w:spacing w:before="240" w:after="120"/>
      </w:pPr>
      <w:r>
        <w:rPr>
          <w:rFonts w:ascii="Arial" w:hAnsi="Arial"/>
          <w:b/>
          <w:color w:val="002D62"/>
          <w:sz w:val="36"/>
        </w:rPr>
        <w:t>2. Color Space Dynamics and Mathematical Mechanics</w:t>
      </w:r>
    </w:p>
    <w:p>
      <w:r>
        <w:t>Standard digital cameras and display monitors operate primarily within the RGB (Red, Green, Blue) color space. While RGB is excellent for screen rendering and hardware sensory collection, it is highly suboptimal for deep learning colorization tasks. In the RGB color paradigm, all three channels are deeply coupled with lighting, brightness, and structure. If an image's overall illumination changes, the numerical values across the Red, Green, and Blue matrices shift simultaneously. Attempting to train a neural network to predict three independent channels from a single grayscale input forces the model to learn both structural lighting variations and color distribution properties at the same time, leading to severe gradient instability and muddy, desaturated outputs.</w:t>
      </w:r>
    </w:p>
    <w:p>
      <w:r>
        <w:t>To overcome this channel coupling, our pipeline shifts the images into the CIE Lab color space. The Lab color space is a tri-axial coordinate framework designed to approximate human visual perception. It completely uncouples structural intensity from chrominance information across three mathematically isolated channels:</w:t>
      </w:r>
    </w:p>
    <w:p>
      <w:pPr>
        <w:pStyle w:val="ListBullet"/>
      </w:pPr>
      <w:r>
        <w:rPr>
          <w:b/>
        </w:rPr>
        <w:t xml:space="preserve">L Channel (Lightness): </w:t>
      </w:r>
      <w:r>
        <w:t>Represents the perceptual brightness and structural grayscale profile of the image, ranging from 0 (absolute black) to 100 (pure white). This channel matches our black-and-white input image exactly.</w:t>
      </w:r>
    </w:p>
    <w:p>
      <w:pPr>
        <w:pStyle w:val="ListBullet"/>
      </w:pPr>
      <w:r>
        <w:rPr>
          <w:b/>
        </w:rPr>
        <w:t xml:space="preserve">a Channel (Green-Red Axis): </w:t>
      </w:r>
      <w:r>
        <w:t>Defines the color position along the opponent green-to-red spectrum, typically ranging from -128 (pure green) to +127 (pure red).</w:t>
      </w:r>
    </w:p>
    <w:p>
      <w:pPr>
        <w:pStyle w:val="ListBullet"/>
      </w:pPr>
      <w:r>
        <w:rPr>
          <w:b/>
        </w:rPr>
        <w:t xml:space="preserve">b Channel (Blue-Yellow Axis): </w:t>
      </w:r>
      <w:r>
        <w:t>Defines the color position along the opponent blue-to-yellow spectrum, typically ranging from -128 (pure blue) to +127 (pure yellow).</w:t>
      </w:r>
    </w:p>
    <w:p>
      <w:r>
        <w:t>By reframing the colorization task within the Lab color space, we simplify the network's objective. Instead of predicting three complex channels from scratch, the pre-existing, structurally complete L channel is extracted directly from the input and passed forward unchanged. The machine learning model is then tasked solely with predicting the remaining two hidden channels: a and b. Once the model outputs these predicted chrominance matrices, they are concatenated with the original, unaltered L channel to form a complete Lab matrix. This unified matrix is then converted back to standard RGB space for visualization and deployment.</w:t>
      </w:r>
    </w:p>
    <w:p>
      <w:r>
        <w:t>To ensure stable numerical gradients and prevent exploding loss values during backpropagation, the extracted Lab channels must undergo precise normalization. Raw L values [0, 100] and ab coordinates [-128, 127] are rescaled into a strict, unified [0, 1] range using the following vector mapping transformations:</w:t>
      </w:r>
    </w:p>
    <w:tbl>
      <w:tblPr>
        <w:tblW w:type="auto" w:w="0"/>
        <w:jc w:val="center"/>
        <w:tblLayout w:type="fixed"/>
        <w:tblLook w:firstColumn="1" w:firstRow="1" w:lastColumn="0" w:lastRow="0" w:noHBand="0" w:noVBand="1" w:val="04A0"/>
      </w:tblPr>
      <w:tblGrid>
        <w:gridCol w:w="7920"/>
      </w:tblGrid>
      <w:tr>
        <w:tc>
          <w:tcPr>
            <w:tcW w:type="dxa" w:w="9360"/>
            <w:shd w:fill="F4F6F9"/>
            <w:tcMar>
              <w:top w:w="140" w:type="dxa"/>
              <w:bottom w:w="140" w:type="dxa"/>
              <w:left w:w="200" w:type="dxa"/>
              <w:right w:w="200" w:type="dxa"/>
            </w:tcMar>
            <w:tcBorders>
              <w:top w:val="none"/>
              <w:left w:val="single" w:sz="24" w:space="0" w:color="002D62"/>
              <w:bottom w:val="none"/>
              <w:right w:val="none"/>
            </w:tcBorders>
          </w:tcPr>
          <w:p>
            <w:r>
              <w:rPr>
                <w:b/>
              </w:rPr>
              <w:t>Mathematical Normalization Vectors:</w:t>
              <w:br/>
            </w:r>
            <w:r>
              <w:rPr>
                <w:i/>
              </w:rPr>
              <w:t>L_normalized = L_raw / 100.0</w:t>
              <w:br/>
            </w:r>
            <w:r>
              <w:rPr>
                <w:i/>
              </w:rPr>
              <w:t>a_normalized = (a_raw + 128.0) / 255.0</w:t>
              <w:br/>
            </w:r>
            <w:r>
              <w:rPr>
                <w:i/>
              </w:rPr>
              <w:t>b_normalized = (b_raw + 128.0) / 255.0</w:t>
            </w:r>
          </w:p>
        </w:tc>
      </w:tr>
    </w:tbl>
    <w:p>
      <w:pPr>
        <w:spacing w:before="160"/>
      </w:pPr>
      <w:r>
        <w:t>This bounded scaling aligns perfectly with standard neural network weight initializations and ensures that the final layer's Sigmoid activation function can map directly to the targeted chrominance boundaries without numerical saturation.</w:t>
      </w:r>
    </w:p>
    <w:p>
      <w:r>
        <w:br w:type="page"/>
      </w:r>
    </w:p>
    <w:p>
      <w:pPr>
        <w:keepNext/>
        <w:spacing w:before="240" w:after="120"/>
      </w:pPr>
      <w:r>
        <w:rPr>
          <w:rFonts w:ascii="Arial" w:hAnsi="Arial"/>
          <w:b/>
          <w:color w:val="002D62"/>
          <w:sz w:val="36"/>
        </w:rPr>
        <w:t>3. Dataset Architecture and Ingestion Pipeline</w:t>
      </w:r>
    </w:p>
    <w:p>
      <w:r>
        <w:t>A deep learning model is only as robust as the data it trains on. For image colorization, the network needs a dataset rich in diverse textures, clear object boundaries, and realistic color variations. For this pipeline, we utilized the 'Landscape Pictures Dataset' hosted on Kaggle. This dataset contains thousands of high-resolution outdoor landscape photos capturing a wide array of natural features, including skies, dense forests, reflective water bodies, mountains, and seasonal lighting conditions. Landscapes are ideal for colorization training because they present clear semantic associations (e.g., sky is blue, grass is green) alongside challenging gradients and lighting mixtures.</w:t>
      </w:r>
    </w:p>
    <w:p>
      <w:r>
        <w:t>To build a streamlined, reproducible workflow, the dataset ingestion layer integrates `kagglehub`. This programmatic wrapper downloads the latest version of the dataset directly into the local sandbox environment, removing the need for manual browser downloads or static file path configurations. Once downloaded, the pipeline uses recursive globbing patterns to locate all standard image formats (`.jpg`, `.jpeg`, `.png`) across all nested subdirectories, mapping the discovered files into a flat list of absolute file paths.</w:t>
      </w:r>
    </w:p>
    <w:p>
      <w:r>
        <w:t>To accurately monitor performance and check for overfitting during training, the global image list is split into training and validation subsets using a strict 90/10 ratio. The training partition drives the model's weight updates, while the validation partition remains entirely unseen, providing an independent metric for testing generalization capability. The core dataset management is handled by a custom PyTorch `Dataset` subclass, which performs three operations on every image request:</w:t>
      </w:r>
    </w:p>
    <w:p>
      <w:pPr>
        <w:pStyle w:val="ListBullet"/>
      </w:pPr>
      <w:r>
        <w:rPr>
          <w:b/>
        </w:rPr>
        <w:t xml:space="preserve">Dynamic RGB Enforcement: </w:t>
      </w:r>
      <w:r>
        <w:t>Images are loaded via the Pillow library and explicitly converted to RGB format. This step strips out any existing alpha transparency channels and ensures that native grayscale images are properly expanded to three channels, maintaining a uniform input structure.</w:t>
      </w:r>
    </w:p>
    <w:p>
      <w:pPr>
        <w:pStyle w:val="ListBullet"/>
      </w:pPr>
      <w:r>
        <w:rPr>
          <w:b/>
        </w:rPr>
        <w:t xml:space="preserve">Bicubic Spatial Resizing: </w:t>
      </w:r>
      <w:r>
        <w:t>Images are resized to a uniform 256x256 pixel grid using bicubic interpolation. This resolution balances spatial detail with computational efficiency, preventing out-of-memory errors on GPU instances while preserving clear textural boundaries.</w:t>
      </w:r>
    </w:p>
    <w:p>
      <w:pPr>
        <w:pStyle w:val="ListBullet"/>
      </w:pPr>
      <w:r>
        <w:rPr>
          <w:b/>
        </w:rPr>
        <w:t xml:space="preserve">On-the-Fly Lab Extraction: </w:t>
      </w:r>
      <w:r>
        <w:t>The resized RGB numpy array is transformed into Lab space using `skimage.color.rgb2lab`. The channels are isolated, normalized to the [0, 1] range, and reshaped into standard PyTorch PyTorch tensors with dimensions of (1, 256, 256) for the L channel and (2, 256, 256) for the combined ab channels.</w:t>
      </w:r>
    </w:p>
    <w:p>
      <w:r>
        <w:t>These preprocessed tensors are then wrapped in PyTorch `DataLoader` instances. The training loader uses an automated batch size of 16, enables parallel multi-worker data loading, shuffles the samples at every epoch to break up localized sequence biases, and drops incomplete trailing batches to ensure stable gradient updates across the entire training run.</w:t>
      </w:r>
    </w:p>
    <w:p>
      <w:pPr>
        <w:keepNext/>
        <w:spacing w:before="240" w:after="120"/>
      </w:pPr>
      <w:r>
        <w:rPr>
          <w:rFonts w:ascii="Arial" w:hAnsi="Arial"/>
          <w:b/>
          <w:color w:val="002D62"/>
          <w:sz w:val="36"/>
        </w:rPr>
        <w:t>4. Hybrid Neural Network Architecture Deep-Dive</w:t>
      </w:r>
    </w:p>
    <w:p>
      <w:r>
        <w:t>Building an image colorization model completely from scratch requires massive datasets and long training runs just for the network to learn low-level visual features like edges, textures, and basic shapes. To bypass this initial bottleneck, our pipeline leverages transfer learning by combining a pre-trained feature extraction encoder with a custom, skip-connected convolutional decoder.</w:t>
      </w:r>
    </w:p>
    <w:p>
      <w:r>
        <w:t>The encoder backbone is built on the ResNet-18 architecture, pre-trained on the 1.2-million-image ImageNet corpus. This gives the model a strong starting foundation of robust visual representations, ranging from basic edge detection filters in the early layers to complex semantic part identifiers in the deeper layers. However, standard ResNet models expect a 3-channel RGB input, whereas our colorization task feeds the model a single-channel grayscale L tensor. To resolve this mismatch without losing the pre-trained weights, the model modifies the initial convolutional layer (`resnet.conv1`). The original 3-channel weight tensor is summed across its input channels along the channel dimension and re-assigned to a new 1-channel convolutional layer:</w:t>
      </w:r>
    </w:p>
    <w:tbl>
      <w:tblPr>
        <w:tblW w:type="auto" w:w="0"/>
        <w:jc w:val="center"/>
        <w:tblLayout w:type="fixed"/>
        <w:tblLook w:firstColumn="1" w:firstRow="1" w:lastColumn="0" w:lastRow="0" w:noHBand="0" w:noVBand="1" w:val="04A0"/>
      </w:tblPr>
      <w:tblGrid>
        <w:gridCol w:w="7920"/>
      </w:tblGrid>
      <w:tr>
        <w:tc>
          <w:tcPr>
            <w:tcW w:type="dxa" w:w="9360"/>
            <w:shd w:fill="F4F6F9"/>
            <w:tcMar>
              <w:top w:w="100" w:type="dxa"/>
              <w:bottom w:w="100" w:type="dxa"/>
              <w:left w:w="200" w:type="dxa"/>
              <w:right w:w="200" w:type="dxa"/>
            </w:tcMar>
            <w:tcBorders>
              <w:top w:val="none"/>
              <w:left w:val="single" w:sz="24" w:space="0" w:color="002D62"/>
              <w:bottom w:val="none"/>
              <w:right w:val="none"/>
            </w:tcBorders>
          </w:tcPr>
          <w:p>
            <w:r>
              <w:rPr>
                <w:b/>
              </w:rPr>
              <w:t>Weights Mapping Equation:</w:t>
              <w:br/>
            </w:r>
            <w:r>
              <w:rPr>
                <w:i/>
              </w:rPr>
              <w:t>new_layer.weight.data = resnet.conv1.weight.data.sum(dim=1, keepdim=True)</w:t>
            </w:r>
          </w:p>
        </w:tc>
      </w:tr>
    </w:tbl>
    <w:p>
      <w:pPr>
        <w:spacing w:before="160"/>
      </w:pPr>
      <w:r>
        <w:t>This mathematical adaptation compresses the three independent RGB filters into a single, unified luminance filter. This preserves the structural feature extraction capabilities of the pre-trained weights, allowing the model to process single-channel grayscale inputs right from the start.</w:t>
      </w:r>
    </w:p>
    <w:p>
      <w:r>
        <w:t>As the input tensor flows through successive ResNet downsampling blocks, its spatial resolution is halved at key stages while its feature channel depth expands from 64 to 256. While this downsampling helps capture high-level semantic context (such as identifying an entire region as a 'forest canopy'), it discards fine-grained, localized spatial details. If the network relies solely on this low-resolution feature map to generate colors, the resulting outputs will be blurry and exhibit severe color bleeding across boundaries.</w:t>
      </w:r>
    </w:p>
    <w:p>
      <w:r>
        <w:t>To prevent this loss of detail, the architecture incorporates a symmetrical U-Net style decoder pathway. The decoder uses a series of upsampling blocks that gradually restore the spatial resolution of the feature maps. At each stage of the decoder, the upsampled feature maps are concatenated with the corresponding high-resolution feature maps saved from the encoder stage via lateral skip connections. This hybrid structure ensures that the final layers have access to both high-level semantic context and precise spatial edge coordinates, enabling clean, well-bounded color assignments.</w:t>
      </w:r>
    </w:p>
    <w:p>
      <w:r>
        <w:t>Each upsampling stage uses a bilinear upsampling layer that doubles the spatial dimensions, followed by a standard concatenation step and a dual-convolution convolutional block (`ConvBlock`). These convolutional blocks feature 3x3 convolutions, batch normalization layers to stabilize training gradients, and inplace ReLU activation functions to introduce non-linearity. The final layer of the decoder uses a 1x1 convolution that compresses the 32 remaining feature channels into a final 2-channel output tensor representing the predicted a and b chrominance values. A Sigmoid activation function restricts these output values to a strict [0, 1] range, matching our normalized target values.</w:t>
      </w:r>
    </w:p>
    <w:p>
      <w:r>
        <w:br w:type="page"/>
      </w:r>
    </w:p>
    <w:p>
      <w:pPr>
        <w:keepNext/>
        <w:spacing w:before="240" w:after="120"/>
      </w:pPr>
      <w:r>
        <w:rPr>
          <w:rFonts w:ascii="Arial" w:hAnsi="Arial"/>
          <w:b/>
          <w:color w:val="002D62"/>
          <w:sz w:val="36"/>
        </w:rPr>
        <w:t>5. Training Strategy and Optimization Hyperparameters</w:t>
      </w:r>
    </w:p>
    <w:p>
      <w:r>
        <w:t>Choosing an appropriate objective loss function is a critical design step for image colorization networks. Many early colorization architectures used Mean Squared Error (L2 / MSE Loss) as their primary training metric. While MSE is mathematically straightforward, it behaves poorly when applied to multi-modal color distributions. Because MSE squares the errors on mismatch penalties, it heavily penalizes large deviations and rewards safe, middle-of-the-road averages. In a colorization context, if an object has a 50% probability of being vibrant red and a 50% probability of being vibrant blue, an MSE loss function will force the model to output a dull gray-brown average to minimize the risk of a high penalty. This results in desaturated, muddy images.</w:t>
      </w:r>
    </w:p>
    <w:p>
      <w:r>
        <w:t>To counter this blending effect, our pipeline uses the L1 Loss function (Mean Absolute Error). L1 loss penalizes errors linearly, which encourages the network to produce sharper, more distinct color boundaries and helps prevent desaturation artifacts. The optimization process is driven by the AdamW optimizer, an advanced variant of Adam that separates weight decay from the moving gradient averages. This decoupled weight decay ensures proper regularization, preventing the model's weights from exploding and reducing the risk of overfitting on the training set.</w:t>
      </w:r>
    </w:p>
    <w:p>
      <w:r>
        <w:t>The table below details the exact hyperparameter configurations used to stabilize and optimize the training run:</w:t>
      </w:r>
    </w:p>
    <w:tbl>
      <w:tblPr>
        <w:tblStyle w:val="LightShading-Accent1"/>
        <w:tblW w:type="auto" w:w="0"/>
        <w:jc w:val="center"/>
        <w:tblLook w:firstColumn="1" w:firstRow="1" w:lastColumn="0" w:lastRow="0" w:noHBand="0" w:noVBand="1" w:val="04A0"/>
      </w:tblPr>
      <w:tblGrid>
        <w:gridCol w:w="4680"/>
        <w:gridCol w:w="4680"/>
      </w:tblGrid>
      <w:tr>
        <w:tc>
          <w:tcPr>
            <w:tcW w:type="dxa" w:w="4680"/>
            <w:shd w:fill="002D62"/>
          </w:tcPr>
          <w:p>
            <w:pPr>
              <w:jc w:val="center"/>
            </w:pPr>
            <w:r>
              <w:rPr>
                <w:b/>
                <w:color w:val="FFFFFF"/>
              </w:rPr>
              <w:t>Hyperparameter Parameter</w:t>
            </w:r>
          </w:p>
        </w:tc>
        <w:tc>
          <w:tcPr>
            <w:tcW w:type="dxa" w:w="4680"/>
            <w:shd w:fill="002D62"/>
          </w:tcPr>
          <w:p>
            <w:pPr>
              <w:jc w:val="center"/>
            </w:pPr>
            <w:r>
              <w:rPr>
                <w:b/>
                <w:color w:val="FFFFFF"/>
              </w:rPr>
              <w:t>Configured Pipeline Value</w:t>
            </w:r>
          </w:p>
        </w:tc>
      </w:tr>
      <w:tr>
        <w:tc>
          <w:tcPr>
            <w:tcW w:type="dxa" w:w="4680"/>
            <w:tcMar>
              <w:top w:w="80" w:type="dxa"/>
              <w:bottom w:w="80" w:type="dxa"/>
              <w:left w:w="120" w:type="dxa"/>
              <w:right w:w="120" w:type="dxa"/>
            </w:tcMar>
          </w:tcPr>
          <w:p>
            <w:r>
              <w:t>Base Batch Size</w:t>
            </w:r>
          </w:p>
        </w:tc>
        <w:tc>
          <w:tcPr>
            <w:tcW w:type="dxa" w:w="4680"/>
            <w:tcMar>
              <w:top w:w="80" w:type="dxa"/>
              <w:bottom w:w="80" w:type="dxa"/>
              <w:left w:w="120" w:type="dxa"/>
              <w:right w:w="120" w:type="dxa"/>
            </w:tcMar>
          </w:tcPr>
          <w:p>
            <w:r>
              <w:t>16 Tensors per Step</w:t>
            </w:r>
          </w:p>
        </w:tc>
      </w:tr>
      <w:tr>
        <w:tc>
          <w:tcPr>
            <w:tcW w:type="dxa" w:w="4680"/>
            <w:shd w:fill="F9FAFB"/>
            <w:tcMar>
              <w:top w:w="80" w:type="dxa"/>
              <w:bottom w:w="80" w:type="dxa"/>
              <w:left w:w="120" w:type="dxa"/>
              <w:right w:w="120" w:type="dxa"/>
            </w:tcMar>
          </w:tcPr>
          <w:p>
            <w:r>
              <w:t>Target Image Resolution</w:t>
            </w:r>
          </w:p>
        </w:tc>
        <w:tc>
          <w:tcPr>
            <w:tcW w:type="dxa" w:w="4680"/>
            <w:shd w:fill="F9FAFB"/>
            <w:tcMar>
              <w:top w:w="80" w:type="dxa"/>
              <w:bottom w:w="80" w:type="dxa"/>
              <w:left w:w="120" w:type="dxa"/>
              <w:right w:w="120" w:type="dxa"/>
            </w:tcMar>
          </w:tcPr>
          <w:p>
            <w:r>
              <w:t>256 x 256 Pixels (Square Grid)</w:t>
            </w:r>
          </w:p>
        </w:tc>
      </w:tr>
      <w:tr>
        <w:tc>
          <w:tcPr>
            <w:tcW w:type="dxa" w:w="4680"/>
            <w:tcMar>
              <w:top w:w="80" w:type="dxa"/>
              <w:bottom w:w="80" w:type="dxa"/>
              <w:left w:w="120" w:type="dxa"/>
              <w:right w:w="120" w:type="dxa"/>
            </w:tcMar>
          </w:tcPr>
          <w:p>
            <w:r>
              <w:t>Initial Learning Rate</w:t>
            </w:r>
          </w:p>
        </w:tc>
        <w:tc>
          <w:tcPr>
            <w:tcW w:type="dxa" w:w="4680"/>
            <w:tcMar>
              <w:top w:w="80" w:type="dxa"/>
              <w:bottom w:w="80" w:type="dxa"/>
              <w:left w:w="120" w:type="dxa"/>
              <w:right w:w="120" w:type="dxa"/>
            </w:tcMar>
          </w:tcPr>
          <w:p>
            <w:r>
              <w:t>2e-4 (0.0002)</w:t>
            </w:r>
          </w:p>
        </w:tc>
      </w:tr>
      <w:tr>
        <w:tc>
          <w:tcPr>
            <w:tcW w:type="dxa" w:w="4680"/>
            <w:shd w:fill="F9FAFB"/>
            <w:tcMar>
              <w:top w:w="80" w:type="dxa"/>
              <w:bottom w:w="80" w:type="dxa"/>
              <w:left w:w="120" w:type="dxa"/>
              <w:right w:w="120" w:type="dxa"/>
            </w:tcMar>
          </w:tcPr>
          <w:p>
            <w:r>
              <w:t>Optimizer Selection</w:t>
            </w:r>
          </w:p>
        </w:tc>
        <w:tc>
          <w:tcPr>
            <w:tcW w:type="dxa" w:w="4680"/>
            <w:shd w:fill="F9FAFB"/>
            <w:tcMar>
              <w:top w:w="80" w:type="dxa"/>
              <w:bottom w:w="80" w:type="dxa"/>
              <w:left w:w="120" w:type="dxa"/>
              <w:right w:w="120" w:type="dxa"/>
            </w:tcMar>
          </w:tcPr>
          <w:p>
            <w:r>
              <w:t>AdamW (Decoupled Weight Decay)</w:t>
            </w:r>
          </w:p>
        </w:tc>
      </w:tr>
      <w:tr>
        <w:tc>
          <w:tcPr>
            <w:tcW w:type="dxa" w:w="4680"/>
            <w:tcMar>
              <w:top w:w="80" w:type="dxa"/>
              <w:bottom w:w="80" w:type="dxa"/>
              <w:left w:w="120" w:type="dxa"/>
              <w:right w:w="120" w:type="dxa"/>
            </w:tcMar>
          </w:tcPr>
          <w:p>
            <w:r>
              <w:t>Regularization Weight Decay</w:t>
            </w:r>
          </w:p>
        </w:tc>
        <w:tc>
          <w:tcPr>
            <w:tcW w:type="dxa" w:w="4680"/>
            <w:tcMar>
              <w:top w:w="80" w:type="dxa"/>
              <w:bottom w:w="80" w:type="dxa"/>
              <w:left w:w="120" w:type="dxa"/>
              <w:right w:w="120" w:type="dxa"/>
            </w:tcMar>
          </w:tcPr>
          <w:p>
            <w:r>
              <w:t>1e-4 (0.0001)</w:t>
            </w:r>
          </w:p>
        </w:tc>
      </w:tr>
      <w:tr>
        <w:tc>
          <w:tcPr>
            <w:tcW w:type="dxa" w:w="4680"/>
            <w:shd w:fill="F9FAFB"/>
            <w:tcMar>
              <w:top w:w="80" w:type="dxa"/>
              <w:bottom w:w="80" w:type="dxa"/>
              <w:left w:w="120" w:type="dxa"/>
              <w:right w:w="120" w:type="dxa"/>
            </w:tcMar>
          </w:tcPr>
          <w:p>
            <w:r>
              <w:t>Loss Metric Function</w:t>
            </w:r>
          </w:p>
        </w:tc>
        <w:tc>
          <w:tcPr>
            <w:tcW w:type="dxa" w:w="4680"/>
            <w:shd w:fill="F9FAFB"/>
            <w:tcMar>
              <w:top w:w="80" w:type="dxa"/>
              <w:bottom w:w="80" w:type="dxa"/>
              <w:left w:w="120" w:type="dxa"/>
              <w:right w:w="120" w:type="dxa"/>
            </w:tcMar>
          </w:tcPr>
          <w:p>
            <w:r>
              <w:t>L1 Smooth Mean Absolute Error</w:t>
            </w:r>
          </w:p>
        </w:tc>
      </w:tr>
    </w:tbl>
    <w:p>
      <w:pPr>
        <w:spacing w:before="240"/>
      </w:pPr>
      <w:r>
        <w:t>During training, the model processes batches sequentially. Grayscale L tensors are passed forward through the network, the predicted ab tensors are evaluated against the ground-truth chrominance maps using the L1 loss function, and backpropagation gradients are calculated. The weights are then updated using the AdamW step. A progress tracking wrapper (`tqdm`) monitors the training cycle in real-time, providing live feedback on batch losses and running metrics throughout each epoch.</w:t>
      </w:r>
    </w:p>
    <w:p>
      <w:r>
        <w:br w:type="page"/>
      </w:r>
    </w:p>
    <w:p>
      <w:pPr>
        <w:keepNext/>
        <w:spacing w:before="240" w:after="120"/>
      </w:pPr>
      <w:r>
        <w:rPr>
          <w:rFonts w:ascii="Arial" w:hAnsi="Arial"/>
          <w:b/>
          <w:color w:val="002D62"/>
          <w:sz w:val="36"/>
        </w:rPr>
        <w:t>6. Quantitative and Qualitative Performance Evaluation</w:t>
      </w:r>
    </w:p>
    <w:p>
      <w:r>
        <w:t>Evaluating the performance of an image colorization network requires a combination of qualitative visual inspection and quantitative metric analysis. Unlike traditional classification tasks where accuracy can be boiled down to a single percentage score, colorization is highly subjective. The primary goal is to generate outputs that are visually convincing and structurally coherent to a human observer.</w:t>
      </w:r>
    </w:p>
    <w:p>
      <w:r>
        <w:t>Qualitative analysis reveals that the model performs exceptionally well when reconstructing natural landscapes. It demonstrates a strong capability to recognize large, distinct semantic zones and assign appropriate color mappings:</w:t>
      </w:r>
    </w:p>
    <w:p>
      <w:pPr>
        <w:pStyle w:val="ListBullet"/>
      </w:pPr>
      <w:r>
        <w:rPr>
          <w:b/>
        </w:rPr>
        <w:t xml:space="preserve">Atmospheric and Foliage Coherence: </w:t>
      </w:r>
      <w:r>
        <w:t>The network reliably identifies sky regions and applies smooth blue gradients that fade realistically near the horizon. Similarly, dense forests and fields are mapped to appropriate green and earthy tones, showcasing a solid grasp of basic landscape semantics.</w:t>
      </w:r>
    </w:p>
    <w:p>
      <w:pPr>
        <w:pStyle w:val="ListBullet"/>
      </w:pPr>
      <w:r>
        <w:rPr>
          <w:b/>
        </w:rPr>
        <w:t xml:space="preserve">Boundary Definition: </w:t>
      </w:r>
      <w:r>
        <w:t>Thanks to the U-Net skip connections, color transitions remain sharp and well-localized. The model correctly limits green assignments to the borders of tree branches and mountain ridges, preventing colors from bleeding into adjacent sky areas.</w:t>
      </w:r>
    </w:p>
    <w:p>
      <w:pPr>
        <w:pStyle w:val="ListBullet"/>
      </w:pPr>
      <w:r>
        <w:rPr>
          <w:b/>
        </w:rPr>
        <w:t xml:space="preserve">Specular Textures: </w:t>
      </w:r>
      <w:r>
        <w:t>The network shows an advanced understanding of reflective surfaces, correctly matching the color of water bodies to the blue tones of the overlying sky, which enhances the overall realism of the generated landscape.</w:t>
      </w:r>
    </w:p>
    <w:p>
      <w:r>
        <w:t>However, qualitative evaluation also reveals a few persistent failure modes common in convolutional colorization models. The most notable issue is a tendency toward desaturation in ambiguous or highly detailed textures. For instance, on complex, rocky terrains or distant gravel beds, the model occasionally retreats to a safe, muted gray-brown tone. This occurs because the network encounters conflicting color possibilities during training and defaults to a conservative average to minimize loss. Additionally, when faced with unusual, out-of-distribution structures, the model can generate slight patchiness, where a single continuous object receives uneven color distributions.</w:t>
      </w:r>
    </w:p>
    <w:p>
      <w:r>
        <w:t>Quantitatively, performance is tracked by monitoring the validation loss across successive training epochs. During the initial training phase, the loss drops rapidly as the network learns to identify major semantic zones (like distinguishing between large blocks of land and sky). In the later epochs, the loss curve flattens out and stabilizes, indicating that the model is fine-tuning its localized edge transitions and subtle color gradients. This steady decline across both the training and validation sets confirms that the network is genuinely learning to generalize structural features rather than simply memorizing the training images.</w:t>
      </w:r>
    </w:p>
    <w:p>
      <w:pPr>
        <w:keepNext/>
        <w:spacing w:before="240" w:after="120"/>
      </w:pPr>
      <w:r>
        <w:rPr>
          <w:rFonts w:ascii="Arial" w:hAnsi="Arial"/>
          <w:b/>
          <w:color w:val="002D62"/>
          <w:sz w:val="36"/>
        </w:rPr>
        <w:t>7. Interactive Testing Sandbox and Model Deployment Module</w:t>
      </w:r>
    </w:p>
    <w:p>
      <w:r>
        <w:t>To transition the model from an isolated training script to a usable utility, the pipeline includes a dedicated sandbox evaluation module. This module provides an interactive testing environment where users can load the trained weights and run inference on any arbitrary grayscale image, completely decoupled from the training dataset. This sandbox serves as a critical tool for checking how well the model generalizes to real-world, out-of-distribution imagery.</w:t>
      </w:r>
    </w:p>
    <w:p>
      <w:r>
        <w:t>The sandbox testing pipeline is structured as follows:</w:t>
      </w:r>
    </w:p>
    <w:p>
      <w:pPr>
        <w:pStyle w:val="ListNumber"/>
      </w:pPr>
      <w:r>
        <w:rPr>
          <w:b/>
        </w:rPr>
        <w:t xml:space="preserve">Model Re-Instantiation: </w:t>
      </w:r>
      <w:r>
        <w:t>The `ResNetUNetColorizer` network architecture is initialized from scratch within the sandbox environment. This ensures the environment remains self-contained and clean.</w:t>
      </w:r>
    </w:p>
    <w:p>
      <w:pPr>
        <w:pStyle w:val="ListNumber"/>
      </w:pPr>
      <w:r>
        <w:rPr>
          <w:b/>
        </w:rPr>
        <w:t xml:space="preserve">State Dictionary Deserialization: </w:t>
      </w:r>
      <w:r>
        <w:t>The saved weights file (`landscape_colorizer_unet.pth`) is loaded via `torch.load`. The weights are mapped to the available hardware device (GPU or CPU) and injected into the model using `load_state_dict`, restoring the network to its fully trained state.</w:t>
      </w:r>
    </w:p>
    <w:p>
      <w:pPr>
        <w:pStyle w:val="ListNumber"/>
      </w:pPr>
      <w:r>
        <w:rPr>
          <w:b/>
        </w:rPr>
        <w:t xml:space="preserve">Image Ingestion and Preprocessing: </w:t>
      </w:r>
      <w:r>
        <w:t>An external test image is loaded using Pillow and resized to 256x256 pixels. Crucially, the sandbox converts the image to standard RGB, shifts it into Lab space, isolates the L channel, and expands its dimensions to form a valid batch tensor of shape (1, 1, 256, 256). This mimics the exact data structure the model encountered during training.</w:t>
      </w:r>
    </w:p>
    <w:p>
      <w:pPr>
        <w:pStyle w:val="ListNumber"/>
      </w:pPr>
      <w:r>
        <w:rPr>
          <w:b/>
        </w:rPr>
        <w:t xml:space="preserve">Evaluation Mode Inference: </w:t>
      </w:r>
      <w:r>
        <w:t>The model is placed into evaluation mode (`model.eval()`) to deactivate batch normalization tracking. It then runs a forward pass within a `torch.no_grad()` context, which bypasses gradient calculation to minimize memory usage and speed up inference.</w:t>
      </w:r>
    </w:p>
    <w:p>
      <w:pPr>
        <w:pStyle w:val="ListNumber"/>
      </w:pPr>
      <w:r>
        <w:rPr>
          <w:b/>
        </w:rPr>
        <w:t xml:space="preserve">Reconstruction and Conversion: </w:t>
      </w:r>
      <w:r>
        <w:t>The predicted 2-channel ab tensor is extracted, denormalized back to the standard [-128, 127] range, and combined with the original, unmodified L channel. The compiled Lab matrix is then converted back into a displayable RGB image using `skimage.color.lab2rgb`.</w:t>
      </w:r>
    </w:p>
    <w:p>
      <w:r>
        <w:t>To make the results easy to analyze, the sandbox displays a side-by-side comparison using `matplotlib`. The layout plots the grayscale input, the AI's predicted colorization, and the original color image side-by-side. This arrangement makes it simple to evaluate the model's spatial layout, color accuracy, and overall rendering quality at a glance.</w:t>
      </w:r>
    </w:p>
    <w:p>
      <w:r>
        <w:br w:type="page"/>
      </w:r>
    </w:p>
    <w:p>
      <w:pPr>
        <w:keepNext/>
        <w:spacing w:before="240" w:after="120"/>
      </w:pPr>
      <w:r>
        <w:rPr>
          <w:rFonts w:ascii="Arial" w:hAnsi="Arial"/>
          <w:b/>
          <w:color w:val="002D62"/>
          <w:sz w:val="36"/>
        </w:rPr>
        <w:t>8. Strategic Future Directions and Conclusion</w:t>
      </w:r>
    </w:p>
    <w:p>
      <w:r>
        <w:t>While the current hybrid ResNet-18 and U-Net architecture delivers impressive colorization results, it represents a foundational stepping stone toward more advanced computer vision frameworks. To overcome the desaturation and averaging issues inherent in pixel-level L1 loss functions, future iterations can integrate several sophisticated upgrades:</w:t>
      </w:r>
    </w:p>
    <w:p>
      <w:pPr>
        <w:pStyle w:val="ListBullet"/>
      </w:pPr>
      <w:r>
        <w:rPr>
          <w:b/>
        </w:rPr>
        <w:t xml:space="preserve">Conditional Generative Adversarial Networks (cGANs): </w:t>
      </w:r>
      <w:r>
        <w:t>Upgrading the pipeline to a cGAN structure (such as Pix2Pix) introduces a competing Discriminator network. While our U-Net Generator focuses on colorizing the image, the Discriminator is trained to distinguish between genuine color photos and artificial outputs. This adversarial pressure forces the Generator to avoid safe, blurry averages and instead produce more vibrant, texturally authentic color profiles.</w:t>
      </w:r>
    </w:p>
    <w:p>
      <w:pPr>
        <w:pStyle w:val="ListBullet"/>
      </w:pPr>
      <w:r>
        <w:rPr>
          <w:b/>
        </w:rPr>
        <w:t xml:space="preserve">Perceptual and Feature Loss Integration: </w:t>
      </w:r>
      <w:r>
        <w:t>Instead of evaluating errors solely at the pixel level, the loss function can be upgraded to compare high-level feature activations extracted from an independent, frozen network (like VGG-16). This ensures that the model optimizes for global semantic structure and color harmony rather than getting stuck on pixel-by-pixel alignment.</w:t>
      </w:r>
    </w:p>
    <w:p>
      <w:pPr>
        <w:pStyle w:val="ListBullet"/>
      </w:pPr>
      <w:r>
        <w:rPr>
          <w:b/>
        </w:rPr>
        <w:t xml:space="preserve">Vision Transformer (ViT) Architecture: </w:t>
      </w:r>
      <w:r>
        <w:t>Replacing convolutional blocks with attention-based self-attention networks allows the model to capture long-range global dependencies. This enables the network to maintain superior color consistency across distant parts of an image, such as matching sky tones across scattered cloud gaps.</w:t>
      </w:r>
    </w:p>
    <w:p>
      <w:r>
        <w:t>In conclusion, this project successfully demonstrates the implementation of a modern, deep-learning-based image colorization pipeline. By using the CIE Lab color space to uncouple structural lightness from color coordinates, we significantly simplified the network's learning task. Leveraging transfer learning via a pre-trained ResNet-18 encoder provided a strong foundation of visual features, while the skip-connected U-Net decoder ensured that fine spatial details were preserved, resulting in clean, well-bounded color representations. The complete pipeline—encompassing automated dataset ingestion via KaggleHub, structured preprocessing, optimized training using L1 loss, and a robust testing sandbox—provides a production-ready framework for automated image restoration and deep computer vision exploration.</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8C8D"/>
        <w:sz w:val="18"/>
      </w:rPr>
      <w:t xml:space="preserve">Black &amp; White Image Colorization Technical Report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color w:val="7F8C8D"/>
        <w:sz w:val="18"/>
      </w:rPr>
      <w:t>Sanaullah Tareen — Advanced Machine Learning Frameworks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