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0F4C5C"/>
          <w:sz w:val="48"/>
        </w:rPr>
        <w:t>Deep Learning Engineering Report</w:t>
      </w:r>
    </w:p>
    <w:p>
      <w:pPr>
        <w:spacing w:after="320"/>
      </w:pPr>
      <w:r>
        <w:rPr>
          <w:color w:val="555555"/>
          <w:sz w:val="26"/>
        </w:rPr>
        <w:t>Air Quality Prediction: Time-Series Forecasting Using Stacked LSTM Networks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7F7"/>
            <w:tcBorders>
              <w:left w:val="single" w:sz="24" w:space="0" w:color="0F4C5C"/>
            </w:tcBorders>
          </w:tcPr>
          <w:p>
            <w:pPr>
              <w:spacing w:before="100" w:after="100"/>
              <w:ind w:left="144"/>
            </w:pPr>
            <w:r>
              <w:rPr>
                <w:b/>
                <w:sz w:val="19"/>
              </w:rPr>
              <w:t>Prepared by: Sanaullah Tareen, Data Scientist &amp; ML Engineer</w:t>
              <w:br/>
            </w:r>
            <w:r>
              <w:rPr>
                <w:color w:val="555555"/>
                <w:sz w:val="19"/>
              </w:rPr>
              <w:t>Architecture: Stacked Long Short-Term Memory (LSTM) + Cyclical Feature Encoding</w:t>
              <w:br/>
              <w:t>Dataset: Beijing Multi-Site Air Quality (UCI / Kaggle) | Environment: TensorFlow 2.x &amp; Keras</w:t>
            </w:r>
          </w:p>
        </w:tc>
      </w:tr>
    </w:tbl>
    <w:p>
      <w:pPr>
        <w:keepNext/>
        <w:spacing w:before="360" w:after="120"/>
        <w:pBdr>
          <w:bottom w:val="single" w:sz="12" w:space="4" w:color="0F4C5C"/>
        </w:pBdr>
      </w:pPr>
      <w:r>
        <w:rPr>
          <w:rFonts w:ascii="Arial" w:hAnsi="Arial"/>
          <w:b/>
          <w:color w:val="0F4C5C"/>
          <w:sz w:val="32"/>
        </w:rPr>
        <w:t>1. Executive Summary</w:t>
      </w:r>
    </w:p>
    <w:p>
      <w:r>
        <w:t>This technical report details the development and empirical evaluation of an advanced time-series predictive system utilizing Recurrent Neural Networks (RNNs) to forecast atmospheric particulate pollution. Accurate forecasting of micro-particle distributions represents a foundational milestone for predictive urban planning, computational public health alert infrastructures, and environmental mitigation protocols.</w:t>
      </w:r>
    </w:p>
    <w:p>
      <w:r>
        <w:t>The built framework handles high-frequency sequential input data gathered across a multi-site environmental sensory network in Beijing. By framing the problem as a multi-variate sequential forecasting task, a Stacked Long Short-Term Memory (LSTM) network was developed to capture multi-layered non-linear dependencies. The resulting architecture reads a historical 24-hour lookback window to forecast the subsequent hour's PM2.5 concentrations. Validated through strict leakage-safe chronological splitting, the system achieved exceptional predictive stability characterized by an R² score of 0.98, a Root Mean Squared Error (RMSE) of 10.10 µg/m³, and a Mean Absolute Error (MAE) of 6.22 µg/m³. This level of accuracy confirms its readiness for seamless enterprise integration into municipal health warning systems and dynamic traffic-routing automation framework pipelines.</w:t>
      </w:r>
    </w:p>
    <w:p>
      <w:pPr>
        <w:keepNext/>
        <w:spacing w:before="360" w:after="120"/>
        <w:pBdr>
          <w:bottom w:val="single" w:sz="12" w:space="4" w:color="0F4C5C"/>
        </w:pBdr>
      </w:pPr>
      <w:r>
        <w:rPr>
          <w:rFonts w:ascii="Arial" w:hAnsi="Arial"/>
          <w:b/>
          <w:color w:val="0F4C5C"/>
          <w:sz w:val="32"/>
        </w:rPr>
        <w:t>2. Data Integration &amp; Engineering Pipelines</w:t>
      </w:r>
    </w:p>
    <w:p>
      <w:r>
        <w:t>The underlying data pipeline combines and processes raw telemetry gathered from 12 distinct automated ground-level monitoring stations across Beijing. Managing geographical distribution alongside uniform time tracking requires an explicit spatial-temporal preprocessing layout.</w:t>
      </w:r>
    </w:p>
    <w:p>
      <w:pPr>
        <w:keepNext/>
        <w:spacing w:before="280" w:after="80"/>
      </w:pPr>
      <w:r>
        <w:rPr>
          <w:rFonts w:ascii="Arial" w:hAnsi="Arial"/>
          <w:b/>
          <w:color w:val="E36414"/>
          <w:sz w:val="26"/>
        </w:rPr>
        <w:t>Multi-Station Consolidation &amp; Aggregation</w:t>
      </w:r>
    </w:p>
    <w:p>
      <w:r>
        <w:t>Rather than modeling each site independently, which risks localized sensor anomalies distorting macro-level insights, the records were combined into a city-level time-series index. Missing values or random transmission drops were handled via time-indexed linear interpolation. This retains the mathematical continuity required for backpropagation through time (BPTT) weight updates.</w:t>
      </w:r>
    </w:p>
    <w:p>
      <w:pPr>
        <w:keepNext/>
        <w:spacing w:before="280" w:after="80"/>
      </w:pPr>
      <w:r>
        <w:rPr>
          <w:rFonts w:ascii="Arial" w:hAnsi="Arial"/>
          <w:b/>
          <w:color w:val="E36414"/>
          <w:sz w:val="26"/>
        </w:rPr>
        <w:t>Cyclical Temporal Feature Transformations</w:t>
      </w:r>
    </w:p>
    <w:p>
      <w:r>
        <w:t>Meteorological phenomena exhibit strong periodicity across seasonal and daily solar intervals. Traditional sequential integer labeling for hours (0-23) or months (1-12) creates artificial numeric discontinuities (e.g., treating hour 23 and hour 0 as mathematically distant points instead of adjacent intervals). To preserve structural continuity, timestamps were transformed into two-dimensional circular coordinates using sine and cosine functions:</w:t>
      </w:r>
    </w:p>
    <w:p>
      <w:pPr>
        <w:jc w:val="center"/>
      </w:pPr>
      <w:r>
        <w:rPr>
          <w:rFonts w:ascii="Consolas" w:hAnsi="Consolas"/>
          <w:color w:val="0F4C5C"/>
          <w:sz w:val="20"/>
        </w:rPr>
        <w:t>Hour_Sin = sin(2 * pi * Hour / 24)   |   Hour_Cos = cos(2 * pi * Hour / 24)</w:t>
        <w:br/>
        <w:t>Month_Sin = sin(2 * pi * Month / 12) |   Month_Cos = cos(2 * pi * Month / 12)</w:t>
      </w:r>
    </w:p>
    <w:p>
      <w:r>
        <w:t>This mathematical transformation forces the geometric boundaries of the features to cycle naturally, directly reflecting true diurnal and seasonal atmospheric shifts within the multi-variate dataset matrices.</w:t>
      </w:r>
    </w:p>
    <w:p>
      <w:pPr>
        <w:keepNext/>
        <w:spacing w:before="360" w:after="120"/>
        <w:pBdr>
          <w:bottom w:val="single" w:sz="12" w:space="4" w:color="0F4C5C"/>
        </w:pBdr>
      </w:pPr>
      <w:r>
        <w:rPr>
          <w:rFonts w:ascii="Arial" w:hAnsi="Arial"/>
          <w:b/>
          <w:color w:val="0F4C5C"/>
          <w:sz w:val="32"/>
        </w:rPr>
        <w:t>3. Leakage-Safe Validation Setup</w:t>
      </w:r>
    </w:p>
    <w:p>
      <w:r>
        <w:t>A common pitfall in sequence modeling is data leakage via randomized k-fold splits, which accidentally exposes historical layers to past information. This project strictly isolates time boundaries using a purely chronological data split:</w:t>
      </w:r>
    </w:p>
    <w:p>
      <w:pPr>
        <w:pStyle w:val="ListBullet"/>
      </w:pPr>
      <w:r>
        <w:rPr>
          <w:b/>
        </w:rPr>
        <w:t xml:space="preserve">Training Matrix (First 80%): </w:t>
      </w:r>
      <w:r>
        <w:t>Establishes the chronological foundation for historical optimization and gradient updates.</w:t>
      </w:r>
    </w:p>
    <w:p>
      <w:pPr>
        <w:pStyle w:val="ListBullet"/>
      </w:pPr>
      <w:r>
        <w:rPr>
          <w:b/>
        </w:rPr>
        <w:t xml:space="preserve">Validation/Testing Matrix (Remaining 20%): </w:t>
      </w:r>
      <w:r>
        <w:t>Maintained sequentially after the training window to replicate real-world deployment performance accurately.</w:t>
      </w:r>
    </w:p>
    <w:p>
      <w:pPr>
        <w:keepNext/>
        <w:spacing w:before="280" w:after="80"/>
      </w:pPr>
      <w:r>
        <w:rPr>
          <w:rFonts w:ascii="Arial" w:hAnsi="Arial"/>
          <w:b/>
          <w:color w:val="E36414"/>
          <w:sz w:val="26"/>
        </w:rPr>
        <w:t>Train-Only MinMax Feature Scaling</w:t>
      </w:r>
    </w:p>
    <w:p>
      <w:r>
        <w:t>To protect against downstream data leakage, a MinMaxScaler was initialized and fitted exclusively on the training split to compress feature fields between 0 and 1. The validation and test matrices were transformed using those exact training coefficients, preserving valid out-of-sample evaluation boundaries.</w:t>
      </w:r>
    </w:p>
    <w:p>
      <w:pPr>
        <w:keepNext/>
        <w:spacing w:before="360" w:after="120"/>
        <w:pBdr>
          <w:bottom w:val="single" w:sz="12" w:space="4" w:color="0F4C5C"/>
        </w:pBdr>
      </w:pPr>
      <w:r>
        <w:rPr>
          <w:rFonts w:ascii="Arial" w:hAnsi="Arial"/>
          <w:b/>
          <w:color w:val="0F4C5C"/>
          <w:sz w:val="32"/>
        </w:rPr>
        <w:t>4. Neural Network Architecture &amp; Training</w:t>
      </w:r>
    </w:p>
    <w:p>
      <w:r>
        <w:t>The predictive engine uses a deep Stacked LSTM architecture. Stacking recurrent layers allows the model to capture more complex abstractions across hidden temporal structures than a single-layer RNN.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fill="0F4C5C"/>
          </w:tcPr>
          <w:p>
            <w:r>
              <w:rPr>
                <w:b/>
                <w:color w:val="FFFFFF"/>
                <w:sz w:val="20"/>
              </w:rPr>
              <w:t>Layer / Hyperparameter</w:t>
            </w:r>
          </w:p>
        </w:tc>
        <w:tc>
          <w:tcPr>
            <w:tcW w:type="dxa" w:w="2592"/>
            <w:shd w:fill="0F4C5C"/>
          </w:tcPr>
          <w:p>
            <w:r>
              <w:rPr>
                <w:b/>
                <w:color w:val="FFFFFF"/>
                <w:sz w:val="20"/>
              </w:rPr>
              <w:t>Value / Topology</w:t>
            </w:r>
          </w:p>
        </w:tc>
        <w:tc>
          <w:tcPr>
            <w:tcW w:type="dxa" w:w="4464"/>
            <w:shd w:fill="0F4C5C"/>
          </w:tcPr>
          <w:p>
            <w:r>
              <w:rPr>
                <w:b/>
                <w:color w:val="FFFFFF"/>
                <w:sz w:val="20"/>
              </w:rPr>
              <w:t>Technical Design Rationale</w:t>
            </w:r>
          </w:p>
        </w:tc>
      </w:tr>
      <w:tr>
        <w:tc>
          <w:tcPr>
            <w:tcW w:type="dxa" w:w="2304"/>
            <w:shd w:fill="F2F7F7"/>
            <w:tcBorders>
              <w:top w:val="single" w:sz="2" w:space="0" w:color="D3D3D3"/>
              <w:bottom w:val="single" w:sz="2" w:space="0" w:color="D3D3D3"/>
            </w:tcBorders>
          </w:tcPr>
          <w:p>
            <w:pPr>
              <w:spacing w:before="80" w:after="80"/>
            </w:pPr>
            <w:r>
              <w:rPr>
                <w:b/>
                <w:sz w:val="19"/>
              </w:rPr>
              <w:t>LSTM Input Layer</w:t>
            </w:r>
          </w:p>
        </w:tc>
        <w:tc>
          <w:tcPr>
            <w:tcW w:type="dxa" w:w="2592"/>
            <w:shd w:fill="F2F7F7"/>
            <w:tcBorders>
              <w:top w:val="single" w:sz="2" w:space="0" w:color="D3D3D3"/>
              <w:bottom w:val="single" w:sz="2" w:space="0" w:color="D3D3D3"/>
            </w:tcBorders>
          </w:tcPr>
          <w:p>
            <w:pPr>
              <w:spacing w:before="80" w:after="80"/>
            </w:pPr>
            <w:r>
              <w:rPr>
                <w:sz w:val="19"/>
              </w:rPr>
              <w:t>50 Hidden Units</w:t>
              <w:br/>
              <w:t>(return_sequences=True)</w:t>
            </w:r>
          </w:p>
        </w:tc>
        <w:tc>
          <w:tcPr>
            <w:tcW w:type="dxa" w:w="4464"/>
            <w:shd w:fill="F2F7F7"/>
            <w:tcBorders>
              <w:top w:val="single" w:sz="2" w:space="0" w:color="D3D3D3"/>
              <w:bottom w:val="single" w:sz="2" w:space="0" w:color="D3D3D3"/>
            </w:tcBorders>
          </w:tcPr>
          <w:p>
            <w:pPr>
              <w:spacing w:before="80" w:after="80"/>
            </w:pPr>
            <w:r>
              <w:rPr>
                <w:sz w:val="19"/>
              </w:rPr>
              <w:t>Processes the 24-hour sequence matrix and passes full recurrent state sequences to the next layer.</w:t>
            </w:r>
          </w:p>
        </w:tc>
      </w:tr>
      <w:tr>
        <w:tc>
          <w:tcPr>
            <w:tcW w:type="dxa" w:w="2304"/>
            <w:shd w:fill="FFFFFF"/>
            <w:tcBorders>
              <w:top w:val="single" w:sz="2" w:space="0" w:color="D3D3D3"/>
              <w:bottom w:val="single" w:sz="2" w:space="0" w:color="D3D3D3"/>
            </w:tcBorders>
          </w:tcPr>
          <w:p>
            <w:pPr>
              <w:spacing w:before="80" w:after="80"/>
            </w:pPr>
            <w:r>
              <w:rPr>
                <w:b/>
                <w:sz w:val="19"/>
              </w:rPr>
              <w:t>Stacked LSTM Layer 2</w:t>
            </w:r>
          </w:p>
        </w:tc>
        <w:tc>
          <w:tcPr>
            <w:tcW w:type="dxa" w:w="2592"/>
            <w:shd w:fill="FFFFFF"/>
            <w:tcBorders>
              <w:top w:val="single" w:sz="2" w:space="0" w:color="D3D3D3"/>
              <w:bottom w:val="single" w:sz="2" w:space="0" w:color="D3D3D3"/>
            </w:tcBorders>
          </w:tcPr>
          <w:p>
            <w:pPr>
              <w:spacing w:before="80" w:after="80"/>
            </w:pPr>
            <w:r>
              <w:rPr>
                <w:sz w:val="19"/>
              </w:rPr>
              <w:t>50 Hidden Units</w:t>
              <w:br/>
              <w:t>(return_sequences=False)</w:t>
            </w:r>
          </w:p>
        </w:tc>
        <w:tc>
          <w:tcPr>
            <w:tcW w:type="dxa" w:w="4464"/>
            <w:shd w:fill="FFFFFF"/>
            <w:tcBorders>
              <w:top w:val="single" w:sz="2" w:space="0" w:color="D3D3D3"/>
              <w:bottom w:val="single" w:sz="2" w:space="0" w:color="D3D3D3"/>
            </w:tcBorders>
          </w:tcPr>
          <w:p>
            <w:pPr>
              <w:spacing w:before="80" w:after="80"/>
            </w:pPr>
            <w:r>
              <w:rPr>
                <w:sz w:val="19"/>
              </w:rPr>
              <w:t>Extracts deeper temporal hierarchies, collapsing the time dimension into a dense structural vector.</w:t>
            </w:r>
          </w:p>
        </w:tc>
      </w:tr>
      <w:tr>
        <w:tc>
          <w:tcPr>
            <w:tcW w:type="dxa" w:w="2304"/>
            <w:shd w:fill="F2F7F7"/>
            <w:tcBorders>
              <w:top w:val="single" w:sz="2" w:space="0" w:color="D3D3D3"/>
              <w:bottom w:val="single" w:sz="2" w:space="0" w:color="D3D3D3"/>
            </w:tcBorders>
          </w:tcPr>
          <w:p>
            <w:pPr>
              <w:spacing w:before="80" w:after="80"/>
            </w:pPr>
            <w:r>
              <w:rPr>
                <w:b/>
                <w:sz w:val="19"/>
              </w:rPr>
              <w:t>Regularization Dropout</w:t>
            </w:r>
          </w:p>
        </w:tc>
        <w:tc>
          <w:tcPr>
            <w:tcW w:type="dxa" w:w="2592"/>
            <w:shd w:fill="F2F7F7"/>
            <w:tcBorders>
              <w:top w:val="single" w:sz="2" w:space="0" w:color="D3D3D3"/>
              <w:bottom w:val="single" w:sz="2" w:space="0" w:color="D3D3D3"/>
            </w:tcBorders>
          </w:tcPr>
          <w:p>
            <w:pPr>
              <w:spacing w:before="80" w:after="80"/>
            </w:pPr>
            <w:r>
              <w:rPr>
                <w:sz w:val="19"/>
              </w:rPr>
              <w:t>Rate = 0.20 (20%)</w:t>
            </w:r>
          </w:p>
        </w:tc>
        <w:tc>
          <w:tcPr>
            <w:tcW w:type="dxa" w:w="4464"/>
            <w:shd w:fill="F2F7F7"/>
            <w:tcBorders>
              <w:top w:val="single" w:sz="2" w:space="0" w:color="D3D3D3"/>
              <w:bottom w:val="single" w:sz="2" w:space="0" w:color="D3D3D3"/>
            </w:tcBorders>
          </w:tcPr>
          <w:p>
            <w:pPr>
              <w:spacing w:before="80" w:after="80"/>
            </w:pPr>
            <w:r>
              <w:rPr>
                <w:sz w:val="19"/>
              </w:rPr>
              <w:t>Stochastically drops unit outputs during training loops to limit co-dependency and prevent overfitting.</w:t>
            </w:r>
          </w:p>
        </w:tc>
      </w:tr>
      <w:tr>
        <w:tc>
          <w:tcPr>
            <w:tcW w:type="dxa" w:w="2304"/>
            <w:shd w:fill="FFFFFF"/>
            <w:tcBorders>
              <w:top w:val="single" w:sz="2" w:space="0" w:color="D3D3D3"/>
              <w:bottom w:val="single" w:sz="2" w:space="0" w:color="D3D3D3"/>
            </w:tcBorders>
          </w:tcPr>
          <w:p>
            <w:pPr>
              <w:spacing w:before="80" w:after="80"/>
            </w:pPr>
            <w:r>
              <w:rPr>
                <w:b/>
                <w:sz w:val="19"/>
              </w:rPr>
              <w:t>Dense Output Node</w:t>
            </w:r>
          </w:p>
        </w:tc>
        <w:tc>
          <w:tcPr>
            <w:tcW w:type="dxa" w:w="2592"/>
            <w:shd w:fill="FFFFFF"/>
            <w:tcBorders>
              <w:top w:val="single" w:sz="2" w:space="0" w:color="D3D3D3"/>
              <w:bottom w:val="single" w:sz="2" w:space="0" w:color="D3D3D3"/>
            </w:tcBorders>
          </w:tcPr>
          <w:p>
            <w:pPr>
              <w:spacing w:before="80" w:after="80"/>
            </w:pPr>
            <w:r>
              <w:rPr>
                <w:sz w:val="19"/>
              </w:rPr>
              <w:t>1 Linear Activation Node</w:t>
            </w:r>
          </w:p>
        </w:tc>
        <w:tc>
          <w:tcPr>
            <w:tcW w:type="dxa" w:w="4464"/>
            <w:shd w:fill="FFFFFF"/>
            <w:tcBorders>
              <w:top w:val="single" w:sz="2" w:space="0" w:color="D3D3D3"/>
              <w:bottom w:val="single" w:sz="2" w:space="0" w:color="D3D3D3"/>
            </w:tcBorders>
          </w:tcPr>
          <w:p>
            <w:pPr>
              <w:spacing w:before="80" w:after="80"/>
            </w:pPr>
            <w:r>
              <w:rPr>
                <w:sz w:val="19"/>
              </w:rPr>
              <w:t>Maps the extracted deep features directly to the target continuous variable: next-hour PM2.5 level.</w:t>
            </w:r>
          </w:p>
        </w:tc>
      </w:tr>
      <w:tr>
        <w:tc>
          <w:tcPr>
            <w:tcW w:type="dxa" w:w="2304"/>
            <w:shd w:fill="F2F7F7"/>
            <w:tcBorders>
              <w:top w:val="single" w:sz="2" w:space="0" w:color="D3D3D3"/>
              <w:bottom w:val="single" w:sz="2" w:space="0" w:color="D3D3D3"/>
            </w:tcBorders>
          </w:tcPr>
          <w:p>
            <w:pPr>
              <w:spacing w:before="80" w:after="80"/>
            </w:pPr>
            <w:r>
              <w:rPr>
                <w:b/>
                <w:sz w:val="19"/>
              </w:rPr>
              <w:t>Optimization Stack</w:t>
            </w:r>
          </w:p>
        </w:tc>
        <w:tc>
          <w:tcPr>
            <w:tcW w:type="dxa" w:w="2592"/>
            <w:shd w:fill="F2F7F7"/>
            <w:tcBorders>
              <w:top w:val="single" w:sz="2" w:space="0" w:color="D3D3D3"/>
              <w:bottom w:val="single" w:sz="2" w:space="0" w:color="D3D3D3"/>
            </w:tcBorders>
          </w:tcPr>
          <w:p>
            <w:pPr>
              <w:spacing w:before="80" w:after="80"/>
            </w:pPr>
            <w:r>
              <w:rPr>
                <w:sz w:val="19"/>
              </w:rPr>
              <w:t>Adam Optimizer</w:t>
              <w:br/>
              <w:t>+ EarlyStopping</w:t>
            </w:r>
          </w:p>
        </w:tc>
        <w:tc>
          <w:tcPr>
            <w:tcW w:type="dxa" w:w="4464"/>
            <w:shd w:fill="F2F7F7"/>
            <w:tcBorders>
              <w:top w:val="single" w:sz="2" w:space="0" w:color="D3D3D3"/>
              <w:bottom w:val="single" w:sz="2" w:space="0" w:color="D3D3D3"/>
            </w:tcBorders>
          </w:tcPr>
          <w:p>
            <w:pPr>
              <w:spacing w:before="80" w:after="80"/>
            </w:pPr>
            <w:r>
              <w:rPr>
                <w:sz w:val="19"/>
              </w:rPr>
              <w:t>Utilizes adaptive gradient tracking for fast convergence. Early stopping halts training if validation loss plateaus for 10 epochs.</w:t>
            </w:r>
          </w:p>
        </w:tc>
      </w:tr>
    </w:tbl>
    <w:p>
      <w:pPr>
        <w:spacing w:after="120"/>
      </w:pPr>
    </w:p>
    <w:p>
      <w:pPr>
        <w:keepNext/>
        <w:spacing w:before="360" w:after="120"/>
        <w:pBdr>
          <w:bottom w:val="single" w:sz="12" w:space="4" w:color="0F4C5C"/>
        </w:pBdr>
      </w:pPr>
      <w:r>
        <w:rPr>
          <w:rFonts w:ascii="Arial" w:hAnsi="Arial"/>
          <w:b/>
          <w:color w:val="0F4C5C"/>
          <w:sz w:val="32"/>
        </w:rPr>
        <w:t>5. Quantitative Evaluation &amp; Results</w:t>
      </w:r>
    </w:p>
    <w:p>
      <w:r>
        <w:t>Following inverse-scaling transformations to map predictions back into standard micro-unit scales (µg/m³), the validation matrix was evaluated across three core statistical metrics: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fill="F2F7F7"/>
            <w:tcBorders>
              <w:top w:val="single" w:sz="4" w:space="0" w:color="E36414"/>
              <w:bottom w:val="single" w:sz="4" w:space="0" w:color="E36414"/>
            </w:tcBorders>
          </w:tcPr>
          <w:p>
            <w:pPr>
              <w:spacing w:before="80" w:after="40"/>
              <w:jc w:val="center"/>
            </w:pPr>
            <w:r>
              <w:rPr>
                <w:b/>
                <w:color w:val="0F4C5C"/>
                <w:sz w:val="30"/>
              </w:rPr>
              <w:t>0.98</w:t>
            </w:r>
          </w:p>
          <w:p>
            <w:pPr>
              <w:spacing w:before="0" w:after="80"/>
              <w:jc w:val="center"/>
            </w:pPr>
            <w:r>
              <w:rPr>
                <w:color w:val="444444"/>
                <w:sz w:val="17"/>
              </w:rPr>
              <w:t>Coefficient of Determination (R²)</w:t>
              <w:br/>
              <w:t>Explains 98% of target variation</w:t>
            </w:r>
          </w:p>
        </w:tc>
        <w:tc>
          <w:tcPr>
            <w:tcW w:type="dxa" w:w="3168"/>
            <w:shd w:fill="F2F7F7"/>
            <w:tcBorders>
              <w:top w:val="single" w:sz="4" w:space="0" w:color="E36414"/>
              <w:bottom w:val="single" w:sz="4" w:space="0" w:color="E36414"/>
            </w:tcBorders>
          </w:tcPr>
          <w:p>
            <w:pPr>
              <w:spacing w:before="80" w:after="40"/>
              <w:jc w:val="center"/>
            </w:pPr>
            <w:r>
              <w:rPr>
                <w:b/>
                <w:color w:val="0F4C5C"/>
                <w:sz w:val="30"/>
              </w:rPr>
              <w:t>10.10 µg/m³</w:t>
            </w:r>
          </w:p>
          <w:p>
            <w:pPr>
              <w:spacing w:before="0" w:after="80"/>
              <w:jc w:val="center"/>
            </w:pPr>
            <w:r>
              <w:rPr>
                <w:color w:val="444444"/>
                <w:sz w:val="17"/>
              </w:rPr>
              <w:t>Root Mean Squared Error (RMSE)</w:t>
              <w:br/>
              <w:t>Penalizes large outlier errors</w:t>
            </w:r>
          </w:p>
        </w:tc>
        <w:tc>
          <w:tcPr>
            <w:tcW w:type="dxa" w:w="3168"/>
            <w:shd w:fill="F2F7F7"/>
            <w:tcBorders>
              <w:top w:val="single" w:sz="4" w:space="0" w:color="E36414"/>
              <w:bottom w:val="single" w:sz="4" w:space="0" w:color="E36414"/>
            </w:tcBorders>
          </w:tcPr>
          <w:p>
            <w:pPr>
              <w:spacing w:before="80" w:after="40"/>
              <w:jc w:val="center"/>
            </w:pPr>
            <w:r>
              <w:rPr>
                <w:b/>
                <w:color w:val="0F4C5C"/>
                <w:sz w:val="30"/>
              </w:rPr>
              <w:t>6.22 µg/m³</w:t>
            </w:r>
          </w:p>
          <w:p>
            <w:pPr>
              <w:spacing w:before="0" w:after="80"/>
              <w:jc w:val="center"/>
            </w:pPr>
            <w:r>
              <w:rPr>
                <w:color w:val="444444"/>
                <w:sz w:val="17"/>
              </w:rPr>
              <w:t>Mean Absolute Error (MAE)</w:t>
              <w:br/>
              <w:t>Average absolute error magnitude</w:t>
            </w:r>
          </w:p>
        </w:tc>
      </w:tr>
    </w:tbl>
    <w:p>
      <w:pPr>
        <w:spacing w:after="120"/>
      </w:pPr>
    </w:p>
    <w:p>
      <w:r>
        <w:t>An R² score of 0.98 highlights the network's exceptional capacity to map multi-variate inputs. The low MAE of 6.22 µg/m³ shows that the model tracks micro-level trends closely, making it highly effective for live municipal forecasting dashboards.</w:t>
      </w:r>
    </w:p>
    <w:p>
      <w:pPr>
        <w:keepNext/>
        <w:spacing w:before="360" w:after="120"/>
        <w:pBdr>
          <w:bottom w:val="single" w:sz="12" w:space="4" w:color="0F4C5C"/>
        </w:pBdr>
      </w:pPr>
      <w:r>
        <w:rPr>
          <w:rFonts w:ascii="Arial" w:hAnsi="Arial"/>
          <w:b/>
          <w:color w:val="0F4C5C"/>
          <w:sz w:val="32"/>
        </w:rPr>
        <w:t>6. Operational Deployment Roadmap</w:t>
      </w:r>
    </w:p>
    <w:p>
      <w:r>
        <w:t>To scale this deep learning architecture from a local prototype to an active municipal alerting system, the following deployment steps are recommended:</w:t>
      </w:r>
    </w:p>
    <w:p>
      <w:pPr>
        <w:pStyle w:val="ListBullet"/>
      </w:pPr>
      <w:r>
        <w:rPr>
          <w:b/>
        </w:rPr>
        <w:t xml:space="preserve">Containerized Real-Time Data Pipeline: </w:t>
      </w:r>
      <w:r>
        <w:t>Package the preprocessing scaling modules and trained Keras model (.h5/.keras) into a lightweight Docker container. Use an API layer (e.g., FastAPI) to receive real-time streams from the 12 ground stations and output immediate forecasts.</w:t>
      </w:r>
    </w:p>
    <w:p>
      <w:pPr>
        <w:pStyle w:val="ListBullet"/>
      </w:pPr>
      <w:r>
        <w:rPr>
          <w:b/>
        </w:rPr>
        <w:t xml:space="preserve">Extended Temporal Forecast Horizons: </w:t>
      </w:r>
      <w:r>
        <w:t>Extend the network to predict multi-hour horizons (e.g., t+6, t+12, t+24). Transitioning to an Encoder-Decoder LSTM or a sequence-to-sequence architecture will provide the longer-range forecasts needed for effective municipal early warnings.</w:t>
      </w:r>
    </w:p>
    <w:p>
      <w:pPr>
        <w:pStyle w:val="ListBullet"/>
      </w:pPr>
      <w:r>
        <w:rPr>
          <w:b/>
        </w:rPr>
        <w:t xml:space="preserve">Automated Model Retraining &amp; Drift Monitoring: </w:t>
      </w:r>
      <w:r>
        <w:t>Set up automated data monitoring to track concept drift, which can occur as urban emission patterns shift. Introduce a scheduled training pipeline to update model weights using the latest telemetry while preserving historical data integrity.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