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48"/>
        </w:rPr>
        <w:t>Project Engineering Report</w:t>
      </w:r>
    </w:p>
    <w:p>
      <w:pPr>
        <w:spacing w:after="360"/>
      </w:pPr>
      <w:r>
        <w:rPr>
          <w:color w:val="666666"/>
          <w:sz w:val="28"/>
        </w:rPr>
        <w:t>End-to-End Automatic Number Plate Recognition (ANPR) System</w:t>
      </w:r>
    </w:p>
    <w:tbl>
      <w:tblPr>
        <w:tblW w:type="auto" w:w="0"/>
        <w:jc w:val="center"/>
        <w:tblLook w:firstColumn="1" w:firstRow="1" w:lastColumn="0" w:lastRow="0" w:noHBand="0" w:noVBand="1" w:val="04A0"/>
      </w:tblPr>
      <w:tblGrid>
        <w:gridCol w:w="9360"/>
      </w:tblGrid>
      <w:tr>
        <w:tc>
          <w:tcPr>
            <w:tcW w:type="dxa" w:w="9360"/>
            <w:shd w:fill="F4F6F9"/>
            <w:tcBorders>
              <w:left w:val="single" w:sz="24" w:space="0" w:color="1B365D"/>
            </w:tcBorders>
          </w:tcPr>
          <w:p>
            <w:pPr>
              <w:spacing w:before="80" w:after="80"/>
              <w:ind w:left="144"/>
            </w:pPr>
            <w:r>
              <w:rPr>
                <w:b/>
                <w:sz w:val="19"/>
              </w:rPr>
              <w:t>Prepared by: Sanaullah Tareen, Data Scientist &amp; ML Engineer</w:t>
              <w:br/>
            </w:r>
            <w:r>
              <w:rPr>
                <w:color w:val="555555"/>
                <w:sz w:val="19"/>
              </w:rPr>
              <w:t>Architecture: YOLOv8-Nano + OpenCV Preprocessing + EasyOCR</w:t>
              <w:br/>
              <w:t>Platform: Kaggle Notebook, Tesla T4 GPU Execution</w:t>
            </w:r>
          </w:p>
        </w:tc>
      </w:tr>
    </w:tbl>
    <w:p>
      <w:pPr>
        <w:keepNext/>
        <w:spacing w:before="360" w:after="120"/>
        <w:pBdr>
          <w:bottom w:val="single" w:sz="12" w:space="4" w:color="1B365D"/>
        </w:pBdr>
      </w:pPr>
      <w:r>
        <w:rPr>
          <w:rFonts w:ascii="Arial" w:hAnsi="Arial"/>
          <w:b/>
          <w:color w:val="1B365D"/>
          <w:sz w:val="36"/>
        </w:rPr>
        <w:t>1. Executive Summary</w:t>
      </w:r>
    </w:p>
    <w:p>
      <w:r>
        <w:t>This report details the implementation and empirical validation of an end-to-end Automatic Number Plate Recognition (ANPR) production pipeline. The engineered system addresses the distinct challenges of localized vehicle verification by combining real-time spatial object detection with fine-tuned alphanumeric sequence parsing.</w:t>
      </w:r>
    </w:p>
    <w:p>
      <w:r>
        <w:t>The technical framework operates as a high-performance, two-stage deep learning structure. It utilizes standard vehicle perspective imagery, isolates the licensing plane with localized geometric boundaries via a fine-tuned YOLOv8 Nano model, applies targeted image matrix modifications, and extracts clean character arrays using EasyOCR. Evaluated on the robust Kaggle Car License Plate Detection dataset, the architecture achieved a mean Average Precision at 0.5 IoU (mAP@50) of 0.930 (93.0%) with an operational detector stage capability of ~70.4 Frames Per Second (FPS). This confirms immediate deployment capability for enterprise workflows including automated multi-lane tollways, restricted-access facility checkpoints, and modern traffic monitoring analytics.</w:t>
      </w:r>
    </w:p>
    <w:p>
      <w:pPr>
        <w:keepNext/>
        <w:spacing w:before="360" w:after="120"/>
        <w:pBdr>
          <w:bottom w:val="single" w:sz="12" w:space="4" w:color="1B365D"/>
        </w:pBdr>
      </w:pPr>
      <w:r>
        <w:rPr>
          <w:rFonts w:ascii="Arial" w:hAnsi="Arial"/>
          <w:b/>
          <w:color w:val="1B365D"/>
          <w:sz w:val="36"/>
        </w:rPr>
        <w:t>2. Pipeline Architecture &amp; Operational Workflow</w:t>
      </w:r>
    </w:p>
    <w:p>
      <w:r>
        <w:t>The production engine relies on a decoupled architectural design where model weights are explicitly optimized for localized tasks, avoiding heavy overhead and latency issues. The pipeline flows linearly as follows:</w:t>
      </w:r>
    </w:p>
    <w:p>
      <w:pPr>
        <w:pStyle w:val="ListBullet"/>
      </w:pPr>
      <w:r>
        <w:rPr>
          <w:b/>
        </w:rPr>
        <w:t xml:space="preserve">Stage 1: Object Localization (YOLOv8-Nano): </w:t>
      </w:r>
      <w:r>
        <w:t>The input frame matrix is resized and passed to an ultra-lightweight YOLOv8 object detector fine-tuned specifically for the single target class ('license-plate'). The network outputs multi-dimensional anchor tensors defining localized boundary rectangles.</w:t>
      </w:r>
    </w:p>
    <w:p>
      <w:pPr>
        <w:pStyle w:val="ListBullet"/>
      </w:pPr>
      <w:r>
        <w:rPr>
          <w:b/>
        </w:rPr>
        <w:t xml:space="preserve">Region of Interest (ROI) Segmentation: </w:t>
      </w:r>
      <w:r>
        <w:t>Using structural tensor coordinates, the bounding slice is extracted dynamically from the high-resolution source frame array via optimized multi-dimensional matrix slicing, preventing structural buffer loss.</w:t>
      </w:r>
    </w:p>
    <w:p>
      <w:pPr>
        <w:pStyle w:val="ListBullet"/>
      </w:pPr>
      <w:r>
        <w:rPr>
          <w:b/>
        </w:rPr>
        <w:t xml:space="preserve">OpenCV Digital Signal Preprocessing: </w:t>
      </w:r>
      <w:r>
        <w:t>To maximize character parsing readability, the segmented ROI is passed through grayscale transformations, bilateral filters for preservation of edge frequencies against sensor noise, and automated local adaptive profiling to heighten text contrast thresholds.</w:t>
      </w:r>
    </w:p>
    <w:p>
      <w:pPr>
        <w:pStyle w:val="ListBullet"/>
      </w:pPr>
      <w:r>
        <w:rPr>
          <w:b/>
        </w:rPr>
        <w:t xml:space="preserve">Stage 2: Optical Text Processing (EasyOCR): </w:t>
      </w:r>
      <w:r>
        <w:t>The optimized, high-contrast alphanumeric image matrix is parsed by the EasyOCR runtime engine. The system strings together the character vectors along with probabilistic confidence scores for auditing.</w:t>
      </w:r>
    </w:p>
    <w:p>
      <w:pPr>
        <w:keepNext/>
        <w:spacing w:before="360" w:after="120"/>
        <w:pBdr>
          <w:bottom w:val="single" w:sz="12" w:space="4" w:color="1B365D"/>
        </w:pBdr>
      </w:pPr>
      <w:r>
        <w:rPr>
          <w:rFonts w:ascii="Arial" w:hAnsi="Arial"/>
          <w:b/>
          <w:color w:val="1B365D"/>
          <w:sz w:val="36"/>
        </w:rPr>
        <w:t>3. Data Engineering &amp; Transformation Pipeline</w:t>
      </w:r>
    </w:p>
    <w:p>
      <w:r>
        <w:t>The underlying asset library comprises the Kaggle Car License Plate Detection dataset. To handle geometric model input requirements, data engineering routines converted baseline XML annotations to normal class-relative formats.</w:t>
      </w:r>
    </w:p>
    <w:p>
      <w:pPr>
        <w:keepNext/>
        <w:spacing w:before="280" w:after="80"/>
      </w:pPr>
      <w:r>
        <w:rPr>
          <w:rFonts w:ascii="Arial" w:hAnsi="Arial"/>
          <w:b/>
          <w:color w:val="4A777A"/>
          <w:sz w:val="28"/>
        </w:rPr>
        <w:t>Dataset Allocation Profile</w:t>
      </w:r>
    </w:p>
    <w:p>
      <w:r>
        <w:t>The dataset labels were scrubbed, validated for corrupt structural headers, shuffled using a fixed seed (42) to secure deterministic evaluation bounds, and structured as follows:</w:t>
      </w:r>
    </w:p>
    <w:p>
      <w:pPr>
        <w:pStyle w:val="ListBullet"/>
      </w:pPr>
      <w:r>
        <w:rPr>
          <w:b/>
        </w:rPr>
        <w:t xml:space="preserve">Training Sub-set: </w:t>
      </w:r>
      <w:r>
        <w:t>346 fully annotated source images (representing 80% of total spatial instances).</w:t>
      </w:r>
    </w:p>
    <w:p>
      <w:pPr>
        <w:pStyle w:val="ListBullet"/>
      </w:pPr>
      <w:r>
        <w:rPr>
          <w:b/>
        </w:rPr>
        <w:t xml:space="preserve">Validation Sub-set: </w:t>
      </w:r>
      <w:r>
        <w:t>87 distinct validation images featuring 97 unique license plate instances (representing 20%).</w:t>
      </w:r>
    </w:p>
    <w:p>
      <w:pPr>
        <w:keepNext/>
        <w:spacing w:before="280" w:after="80"/>
      </w:pPr>
      <w:r>
        <w:rPr>
          <w:rFonts w:ascii="Arial" w:hAnsi="Arial"/>
          <w:b/>
          <w:color w:val="4A777A"/>
          <w:sz w:val="28"/>
        </w:rPr>
        <w:t>Mathematical Coordinate Normalization</w:t>
      </w:r>
    </w:p>
    <w:p>
      <w:r>
        <w:t>Source spatial parameters configured via Pascal VOC standard specifications are saved as absolute pixel indices [xmin, ymin, xmax, ymax]. To adapt these fields to the relative anchor bounding boxes required by YOLO, the raw indices are normalized using the image dimensions:</w:t>
      </w:r>
    </w:p>
    <w:p>
      <w:pPr>
        <w:jc w:val="center"/>
      </w:pPr>
      <w:r>
        <w:rPr>
          <w:rFonts w:ascii="Consolas" w:hAnsi="Consolas"/>
          <w:color w:val="1B365D"/>
          <w:sz w:val="20"/>
        </w:rPr>
        <w:t>Box_Width = xmax - xmin       |       Box_Height = ymax - ymin</w:t>
        <w:br/>
        <w:t>x_center = [(xmin + xmax) / 2] / Image_Width</w:t>
        <w:br/>
        <w:t>y_center = [(ymin + ymax) / 2] / Image_Height</w:t>
        <w:br/>
        <w:t>w_norm = Box_Width / Image_Width   |   h_norm = Box_Height / Image_Height</w:t>
      </w:r>
    </w:p>
    <w:p>
      <w:r>
        <w:t>Floating-point values were mapped strictly to six decimal places, preventing downstream spatial rounding drift and keeping coordinates accurate relative to the source anchor intersections.</w:t>
      </w:r>
    </w:p>
    <w:p>
      <w:pPr>
        <w:keepNext/>
        <w:spacing w:before="360" w:after="120"/>
        <w:pBdr>
          <w:bottom w:val="single" w:sz="12" w:space="4" w:color="1B365D"/>
        </w:pBdr>
      </w:pPr>
      <w:r>
        <w:rPr>
          <w:rFonts w:ascii="Arial" w:hAnsi="Arial"/>
          <w:b/>
          <w:color w:val="1B365D"/>
          <w:sz w:val="36"/>
        </w:rPr>
        <w:t>4. Neural Network Training Configurations</w:t>
      </w:r>
    </w:p>
    <w:p>
      <w:r>
        <w:t>The localization backbone was initialized with pretrained MS COCO weights via the yolov8n.pt architecture, utilizing deep transfer learning to skip base filter convergence cycles. Training executed inside a managed Linux environment powered by a dedicated Tesla T4 GPU.</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Pr>
          <w:p>
            <w:pPr>
              <w:jc w:val="left"/>
            </w:pPr>
            <w:r>
              <w:rPr>
                <w:b/>
                <w:color w:val="FFFFFF"/>
                <w:sz w:val="20"/>
              </w:rPr>
              <w:t>Hyperparameter</w:t>
            </w:r>
          </w:p>
        </w:tc>
        <w:tc>
          <w:tcPr>
            <w:tcW w:type="dxa" w:w="2592"/>
            <w:shd w:fill="1B365D"/>
          </w:tcPr>
          <w:p>
            <w:pPr>
              <w:jc w:val="left"/>
            </w:pPr>
            <w:r>
              <w:rPr>
                <w:b/>
                <w:color w:val="FFFFFF"/>
                <w:sz w:val="20"/>
              </w:rPr>
              <w:t>Configured Value</w:t>
            </w:r>
          </w:p>
        </w:tc>
        <w:tc>
          <w:tcPr>
            <w:tcW w:type="dxa" w:w="4608"/>
            <w:shd w:fill="1B365D"/>
          </w:tcPr>
          <w:p>
            <w:pPr>
              <w:jc w:val="left"/>
            </w:pPr>
            <w:r>
              <w:rPr>
                <w:b/>
                <w:color w:val="FFFFFF"/>
                <w:sz w:val="20"/>
              </w:rPr>
              <w:t>Technical Rationale / Impact</w:t>
            </w:r>
          </w:p>
        </w:tc>
      </w:tr>
      <w:tr>
        <w:tc>
          <w:tcPr>
            <w:tcW w:type="dxa" w:w="2160"/>
            <w:shd w:fill="F4F6F9"/>
            <w:tcBorders>
              <w:top w:val="single" w:sz="2" w:space="0" w:color="D3D3D3"/>
              <w:bottom w:val="single" w:sz="2" w:space="0" w:color="D3D3D3"/>
            </w:tcBorders>
          </w:tcPr>
          <w:p>
            <w:pPr>
              <w:spacing w:before="80" w:after="80"/>
            </w:pPr>
            <w:r>
              <w:rPr>
                <w:b/>
                <w:sz w:val="19"/>
              </w:rPr>
              <w:t>Model Architecture</w:t>
            </w:r>
          </w:p>
        </w:tc>
        <w:tc>
          <w:tcPr>
            <w:tcW w:type="dxa" w:w="2592"/>
            <w:shd w:fill="F4F6F9"/>
            <w:tcBorders>
              <w:top w:val="single" w:sz="2" w:space="0" w:color="D3D3D3"/>
              <w:bottom w:val="single" w:sz="2" w:space="0" w:color="D3D3D3"/>
            </w:tcBorders>
          </w:tcPr>
          <w:p>
            <w:pPr>
              <w:spacing w:before="80" w:after="80"/>
            </w:pPr>
            <w:r>
              <w:rPr>
                <w:sz w:val="19"/>
              </w:rPr>
              <w:t>YOLOv8-Nano (yolov8n)</w:t>
            </w:r>
          </w:p>
        </w:tc>
        <w:tc>
          <w:tcPr>
            <w:tcW w:type="dxa" w:w="4608"/>
            <w:shd w:fill="F4F6F9"/>
            <w:tcBorders>
              <w:top w:val="single" w:sz="2" w:space="0" w:color="D3D3D3"/>
              <w:bottom w:val="single" w:sz="2" w:space="0" w:color="D3D3D3"/>
            </w:tcBorders>
          </w:tcPr>
          <w:p>
            <w:pPr>
              <w:spacing w:before="80" w:after="80"/>
            </w:pPr>
            <w:r>
              <w:rPr>
                <w:sz w:val="19"/>
              </w:rPr>
              <w:t>Optimized 3.2M parameters for high frame-rates and edge execution compatibility.</w:t>
            </w:r>
          </w:p>
        </w:tc>
      </w:tr>
      <w:tr>
        <w:tc>
          <w:tcPr>
            <w:tcW w:type="dxa" w:w="2160"/>
            <w:shd w:fill="FFFFFF"/>
            <w:tcBorders>
              <w:top w:val="single" w:sz="2" w:space="0" w:color="D3D3D3"/>
              <w:bottom w:val="single" w:sz="2" w:space="0" w:color="D3D3D3"/>
            </w:tcBorders>
          </w:tcPr>
          <w:p>
            <w:pPr>
              <w:spacing w:before="80" w:after="80"/>
            </w:pPr>
            <w:r>
              <w:rPr>
                <w:b/>
                <w:sz w:val="19"/>
              </w:rPr>
              <w:t>Input Dimensions</w:t>
            </w:r>
          </w:p>
        </w:tc>
        <w:tc>
          <w:tcPr>
            <w:tcW w:type="dxa" w:w="2592"/>
            <w:shd w:fill="FFFFFF"/>
            <w:tcBorders>
              <w:top w:val="single" w:sz="2" w:space="0" w:color="D3D3D3"/>
              <w:bottom w:val="single" w:sz="2" w:space="0" w:color="D3D3D3"/>
            </w:tcBorders>
          </w:tcPr>
          <w:p>
            <w:pPr>
              <w:spacing w:before="80" w:after="80"/>
            </w:pPr>
            <w:r>
              <w:rPr>
                <w:sz w:val="19"/>
              </w:rPr>
              <w:t>640 x 640 pixels</w:t>
            </w:r>
          </w:p>
        </w:tc>
        <w:tc>
          <w:tcPr>
            <w:tcW w:type="dxa" w:w="4608"/>
            <w:shd w:fill="FFFFFF"/>
            <w:tcBorders>
              <w:top w:val="single" w:sz="2" w:space="0" w:color="D3D3D3"/>
              <w:bottom w:val="single" w:sz="2" w:space="0" w:color="D3D3D3"/>
            </w:tcBorders>
          </w:tcPr>
          <w:p>
            <w:pPr>
              <w:spacing w:before="80" w:after="80"/>
            </w:pPr>
            <w:r>
              <w:rPr>
                <w:sz w:val="19"/>
              </w:rPr>
              <w:t>Maintains high pixel density for character clarity without exceeding GPU core limits.</w:t>
            </w:r>
          </w:p>
        </w:tc>
      </w:tr>
      <w:tr>
        <w:tc>
          <w:tcPr>
            <w:tcW w:type="dxa" w:w="2160"/>
            <w:shd w:fill="F4F6F9"/>
            <w:tcBorders>
              <w:top w:val="single" w:sz="2" w:space="0" w:color="D3D3D3"/>
              <w:bottom w:val="single" w:sz="2" w:space="0" w:color="D3D3D3"/>
            </w:tcBorders>
          </w:tcPr>
          <w:p>
            <w:pPr>
              <w:spacing w:before="80" w:after="80"/>
            </w:pPr>
            <w:r>
              <w:rPr>
                <w:b/>
                <w:sz w:val="19"/>
              </w:rPr>
              <w:t>Total Epoch Depth</w:t>
            </w:r>
          </w:p>
        </w:tc>
        <w:tc>
          <w:tcPr>
            <w:tcW w:type="dxa" w:w="2592"/>
            <w:shd w:fill="F4F6F9"/>
            <w:tcBorders>
              <w:top w:val="single" w:sz="2" w:space="0" w:color="D3D3D3"/>
              <w:bottom w:val="single" w:sz="2" w:space="0" w:color="D3D3D3"/>
            </w:tcBorders>
          </w:tcPr>
          <w:p>
            <w:pPr>
              <w:spacing w:before="80" w:after="80"/>
            </w:pPr>
            <w:r>
              <w:rPr>
                <w:sz w:val="19"/>
              </w:rPr>
              <w:t>100 Cycles</w:t>
            </w:r>
          </w:p>
        </w:tc>
        <w:tc>
          <w:tcPr>
            <w:tcW w:type="dxa" w:w="4608"/>
            <w:shd w:fill="F4F6F9"/>
            <w:tcBorders>
              <w:top w:val="single" w:sz="2" w:space="0" w:color="D3D3D3"/>
              <w:bottom w:val="single" w:sz="2" w:space="0" w:color="D3D3D3"/>
            </w:tcBorders>
          </w:tcPr>
          <w:p>
            <w:pPr>
              <w:spacing w:before="80" w:after="80"/>
            </w:pPr>
            <w:r>
              <w:rPr>
                <w:sz w:val="19"/>
              </w:rPr>
              <w:t>Provides sufficient learning iterations for convergence while mitigating overfitting.</w:t>
            </w:r>
          </w:p>
        </w:tc>
      </w:tr>
      <w:tr>
        <w:tc>
          <w:tcPr>
            <w:tcW w:type="dxa" w:w="2160"/>
            <w:shd w:fill="FFFFFF"/>
            <w:tcBorders>
              <w:top w:val="single" w:sz="2" w:space="0" w:color="D3D3D3"/>
              <w:bottom w:val="single" w:sz="2" w:space="0" w:color="D3D3D3"/>
            </w:tcBorders>
          </w:tcPr>
          <w:p>
            <w:pPr>
              <w:spacing w:before="80" w:after="80"/>
            </w:pPr>
            <w:r>
              <w:rPr>
                <w:b/>
                <w:sz w:val="19"/>
              </w:rPr>
              <w:t>Batch Allocation</w:t>
            </w:r>
          </w:p>
        </w:tc>
        <w:tc>
          <w:tcPr>
            <w:tcW w:type="dxa" w:w="2592"/>
            <w:shd w:fill="FFFFFF"/>
            <w:tcBorders>
              <w:top w:val="single" w:sz="2" w:space="0" w:color="D3D3D3"/>
              <w:bottom w:val="single" w:sz="2" w:space="0" w:color="D3D3D3"/>
            </w:tcBorders>
          </w:tcPr>
          <w:p>
            <w:pPr>
              <w:spacing w:before="80" w:after="80"/>
            </w:pPr>
            <w:r>
              <w:rPr>
                <w:sz w:val="19"/>
              </w:rPr>
              <w:t>16 Frames per step</w:t>
            </w:r>
          </w:p>
        </w:tc>
        <w:tc>
          <w:tcPr>
            <w:tcW w:type="dxa" w:w="4608"/>
            <w:shd w:fill="FFFFFF"/>
            <w:tcBorders>
              <w:top w:val="single" w:sz="2" w:space="0" w:color="D3D3D3"/>
              <w:bottom w:val="single" w:sz="2" w:space="0" w:color="D3D3D3"/>
            </w:tcBorders>
          </w:tcPr>
          <w:p>
            <w:pPr>
              <w:spacing w:before="80" w:after="80"/>
            </w:pPr>
            <w:r>
              <w:rPr>
                <w:sz w:val="19"/>
              </w:rPr>
              <w:t>Maximizes hardware tensor core occupancy and ensures gradient tracking stability.</w:t>
            </w:r>
          </w:p>
        </w:tc>
      </w:tr>
      <w:tr>
        <w:tc>
          <w:tcPr>
            <w:tcW w:type="dxa" w:w="2160"/>
            <w:shd w:fill="F4F6F9"/>
            <w:tcBorders>
              <w:top w:val="single" w:sz="2" w:space="0" w:color="D3D3D3"/>
              <w:bottom w:val="single" w:sz="2" w:space="0" w:color="D3D3D3"/>
            </w:tcBorders>
          </w:tcPr>
          <w:p>
            <w:pPr>
              <w:spacing w:before="80" w:after="80"/>
            </w:pPr>
            <w:r>
              <w:rPr>
                <w:b/>
                <w:sz w:val="19"/>
              </w:rPr>
              <w:t>Early Stopping Patience</w:t>
            </w:r>
          </w:p>
        </w:tc>
        <w:tc>
          <w:tcPr>
            <w:tcW w:type="dxa" w:w="2592"/>
            <w:shd w:fill="F4F6F9"/>
            <w:tcBorders>
              <w:top w:val="single" w:sz="2" w:space="0" w:color="D3D3D3"/>
              <w:bottom w:val="single" w:sz="2" w:space="0" w:color="D3D3D3"/>
            </w:tcBorders>
          </w:tcPr>
          <w:p>
            <w:pPr>
              <w:spacing w:before="80" w:after="80"/>
            </w:pPr>
            <w:r>
              <w:rPr>
                <w:sz w:val="19"/>
              </w:rPr>
              <w:t>20 Epochs</w:t>
            </w:r>
          </w:p>
        </w:tc>
        <w:tc>
          <w:tcPr>
            <w:tcW w:type="dxa" w:w="4608"/>
            <w:shd w:fill="F4F6F9"/>
            <w:tcBorders>
              <w:top w:val="single" w:sz="2" w:space="0" w:color="D3D3D3"/>
              <w:bottom w:val="single" w:sz="2" w:space="0" w:color="D3D3D3"/>
            </w:tcBorders>
          </w:tcPr>
          <w:p>
            <w:pPr>
              <w:spacing w:before="80" w:after="80"/>
            </w:pPr>
            <w:r>
              <w:rPr>
                <w:sz w:val="19"/>
              </w:rPr>
              <w:t>Stops execution automatically if validation loss plateaus to prevent overfitting.</w:t>
            </w:r>
          </w:p>
        </w:tc>
      </w:tr>
      <w:tr>
        <w:tc>
          <w:tcPr>
            <w:tcW w:type="dxa" w:w="2160"/>
            <w:shd w:fill="FFFFFF"/>
            <w:tcBorders>
              <w:top w:val="single" w:sz="2" w:space="0" w:color="D3D3D3"/>
              <w:bottom w:val="single" w:sz="2" w:space="0" w:color="D3D3D3"/>
            </w:tcBorders>
          </w:tcPr>
          <w:p>
            <w:pPr>
              <w:spacing w:before="80" w:after="80"/>
            </w:pPr>
            <w:r>
              <w:rPr>
                <w:b/>
                <w:sz w:val="19"/>
              </w:rPr>
              <w:t>Precision Mode</w:t>
            </w:r>
          </w:p>
        </w:tc>
        <w:tc>
          <w:tcPr>
            <w:tcW w:type="dxa" w:w="2592"/>
            <w:shd w:fill="FFFFFF"/>
            <w:tcBorders>
              <w:top w:val="single" w:sz="2" w:space="0" w:color="D3D3D3"/>
              <w:bottom w:val="single" w:sz="2" w:space="0" w:color="D3D3D3"/>
            </w:tcBorders>
          </w:tcPr>
          <w:p>
            <w:pPr>
              <w:spacing w:before="80" w:after="80"/>
            </w:pPr>
            <w:r>
              <w:rPr>
                <w:sz w:val="19"/>
              </w:rPr>
              <w:t>Mixed AMP (Float16)</w:t>
            </w:r>
          </w:p>
        </w:tc>
        <w:tc>
          <w:tcPr>
            <w:tcW w:type="dxa" w:w="4608"/>
            <w:shd w:fill="FFFFFF"/>
            <w:tcBorders>
              <w:top w:val="single" w:sz="2" w:space="0" w:color="D3D3D3"/>
              <w:bottom w:val="single" w:sz="2" w:space="0" w:color="D3D3D3"/>
            </w:tcBorders>
          </w:tcPr>
          <w:p>
            <w:pPr>
              <w:spacing w:before="80" w:after="80"/>
            </w:pPr>
            <w:r>
              <w:rPr>
                <w:sz w:val="19"/>
              </w:rPr>
              <w:t>Maintains baseline FP32 accuracy profiles while compressing processing latency.</w:t>
            </w:r>
          </w:p>
        </w:tc>
      </w:tr>
    </w:tbl>
    <w:p>
      <w:pPr>
        <w:spacing w:after="120"/>
      </w:pPr>
    </w:p>
    <w:p>
      <w:pPr>
        <w:keepNext/>
        <w:spacing w:before="360" w:after="120"/>
        <w:pBdr>
          <w:bottom w:val="single" w:sz="12" w:space="4" w:color="1B365D"/>
        </w:pBdr>
      </w:pPr>
      <w:r>
        <w:rPr>
          <w:rFonts w:ascii="Arial" w:hAnsi="Arial"/>
          <w:b/>
          <w:color w:val="1B365D"/>
          <w:sz w:val="36"/>
        </w:rPr>
        <w:t>5. Quantitative Evaluation &amp; Performance Metrics</w:t>
      </w:r>
    </w:p>
    <w:p>
      <w:r>
        <w:t>Evaluation was completed on an independent validation set containing 87 unseen images and 97 unique license plate instances. The object localization model achieved high performance metrics across all standard indicators:</w:t>
      </w:r>
    </w:p>
    <w:tbl>
      <w:tblPr>
        <w:tblW w:type="auto" w:w="0"/>
        <w:jc w:val="center"/>
        <w:tblLook w:firstColumn="1" w:firstRow="1" w:lastColumn="0" w:lastRow="0" w:noHBand="0" w:noVBand="1" w:val="04A0"/>
      </w:tblPr>
      <w:tblGrid>
        <w:gridCol w:w="2340"/>
        <w:gridCol w:w="2340"/>
        <w:gridCol w:w="2340"/>
        <w:gridCol w:w="2340"/>
      </w:tblGrid>
      <w:tr>
        <w:tc>
          <w:tcPr>
            <w:tcW w:type="dxa" w:w="2304"/>
            <w:shd w:fill="F4F6F9"/>
            <w:tcBorders>
              <w:top w:val="single" w:sz="4" w:space="0" w:color="4A777A"/>
              <w:bottom w:val="single" w:sz="4" w:space="0" w:color="4A777A"/>
            </w:tcBorders>
          </w:tcPr>
          <w:p>
            <w:pPr>
              <w:spacing w:before="80" w:after="40"/>
              <w:jc w:val="center"/>
            </w:pPr>
            <w:r>
              <w:rPr>
                <w:b/>
                <w:color w:val="1B365D"/>
                <w:sz w:val="32"/>
              </w:rPr>
              <w:t>93.04%</w:t>
            </w:r>
          </w:p>
          <w:p>
            <w:pPr>
              <w:spacing w:before="0" w:after="80"/>
              <w:jc w:val="center"/>
            </w:pPr>
            <w:r>
              <w:rPr>
                <w:color w:val="555555"/>
                <w:sz w:val="17"/>
              </w:rPr>
              <w:t>mAP @ 50</w:t>
              <w:br/>
              <w:t>(Localization Accuracy)</w:t>
            </w:r>
          </w:p>
        </w:tc>
        <w:tc>
          <w:tcPr>
            <w:tcW w:type="dxa" w:w="2304"/>
            <w:shd w:fill="F4F6F9"/>
            <w:tcBorders>
              <w:top w:val="single" w:sz="4" w:space="0" w:color="4A777A"/>
              <w:bottom w:val="single" w:sz="4" w:space="0" w:color="4A777A"/>
            </w:tcBorders>
          </w:tcPr>
          <w:p>
            <w:pPr>
              <w:spacing w:before="80" w:after="40"/>
              <w:jc w:val="center"/>
            </w:pPr>
            <w:r>
              <w:rPr>
                <w:b/>
                <w:color w:val="1B365D"/>
                <w:sz w:val="32"/>
              </w:rPr>
              <w:t>92.27%</w:t>
            </w:r>
          </w:p>
          <w:p>
            <w:pPr>
              <w:spacing w:before="0" w:after="80"/>
              <w:jc w:val="center"/>
            </w:pPr>
            <w:r>
              <w:rPr>
                <w:color w:val="555555"/>
                <w:sz w:val="17"/>
              </w:rPr>
              <w:t>Precision</w:t>
              <w:br/>
              <w:t>(True Prediction Ratio)</w:t>
            </w:r>
          </w:p>
        </w:tc>
        <w:tc>
          <w:tcPr>
            <w:tcW w:type="dxa" w:w="2304"/>
            <w:shd w:fill="F4F6F9"/>
            <w:tcBorders>
              <w:top w:val="single" w:sz="4" w:space="0" w:color="4A777A"/>
              <w:bottom w:val="single" w:sz="4" w:space="0" w:color="4A777A"/>
            </w:tcBorders>
          </w:tcPr>
          <w:p>
            <w:pPr>
              <w:spacing w:before="80" w:after="40"/>
              <w:jc w:val="center"/>
            </w:pPr>
            <w:r>
              <w:rPr>
                <w:b/>
                <w:color w:val="1B365D"/>
                <w:sz w:val="32"/>
              </w:rPr>
              <w:t>86.20%</w:t>
            </w:r>
          </w:p>
          <w:p>
            <w:pPr>
              <w:spacing w:before="0" w:after="80"/>
              <w:jc w:val="center"/>
            </w:pPr>
            <w:r>
              <w:rPr>
                <w:color w:val="555555"/>
                <w:sz w:val="17"/>
              </w:rPr>
              <w:t>Recall</w:t>
              <w:br/>
              <w:t>(Target Capture Ratio)</w:t>
            </w:r>
          </w:p>
        </w:tc>
        <w:tc>
          <w:tcPr>
            <w:tcW w:type="dxa" w:w="2448"/>
            <w:shd w:fill="F4F6F9"/>
            <w:tcBorders>
              <w:top w:val="single" w:sz="4" w:space="0" w:color="4A777A"/>
              <w:bottom w:val="single" w:sz="4" w:space="0" w:color="4A777A"/>
            </w:tcBorders>
          </w:tcPr>
          <w:p>
            <w:pPr>
              <w:spacing w:before="80" w:after="40"/>
              <w:jc w:val="center"/>
            </w:pPr>
            <w:r>
              <w:rPr>
                <w:b/>
                <w:color w:val="1B365D"/>
                <w:sz w:val="32"/>
              </w:rPr>
              <w:t>51.56%</w:t>
            </w:r>
          </w:p>
          <w:p>
            <w:pPr>
              <w:spacing w:before="0" w:after="80"/>
              <w:jc w:val="center"/>
            </w:pPr>
            <w:r>
              <w:rPr>
                <w:color w:val="555555"/>
                <w:sz w:val="17"/>
              </w:rPr>
              <w:t>mAP @ 50-95</w:t>
              <w:br/>
              <w:t>(Strict Edge Fit Score)</w:t>
            </w:r>
          </w:p>
        </w:tc>
      </w:tr>
    </w:tbl>
    <w:p>
      <w:pPr>
        <w:spacing w:after="120"/>
      </w:pPr>
    </w:p>
    <w:p>
      <w:pPr>
        <w:keepNext/>
        <w:spacing w:before="280" w:after="80"/>
      </w:pPr>
      <w:r>
        <w:rPr>
          <w:rFonts w:ascii="Arial" w:hAnsi="Arial"/>
          <w:b/>
          <w:color w:val="4A777A"/>
          <w:sz w:val="28"/>
        </w:rPr>
        <w:t>Operational Inference Performance Latency</w:t>
      </w:r>
    </w:p>
    <w:p>
      <w:r>
        <w:t>Computational speed metrics reflect the time required to complete each discrete pipeline stage, recorded sequentially per frame during testing on the Tesla T4 architecture:</w:t>
      </w:r>
    </w:p>
    <w:p>
      <w:pPr>
        <w:pStyle w:val="ListBullet"/>
      </w:pPr>
      <w:r>
        <w:rPr>
          <w:b/>
        </w:rPr>
        <w:t xml:space="preserve">Image Matrix Preprocessing: </w:t>
      </w:r>
      <w:r>
        <w:t>4.0 milliseconds (Initial image allocation and pixel structure formatting).</w:t>
      </w:r>
    </w:p>
    <w:p>
      <w:pPr>
        <w:pStyle w:val="ListBullet"/>
      </w:pPr>
      <w:r>
        <w:rPr>
          <w:b/>
        </w:rPr>
        <w:t xml:space="preserve">YOLOv8 Neural Core Inference: </w:t>
      </w:r>
      <w:r>
        <w:t>7.9 milliseconds (Bounding tensor extraction and bounding calculations).</w:t>
      </w:r>
    </w:p>
    <w:p>
      <w:pPr>
        <w:pStyle w:val="ListBullet"/>
      </w:pPr>
      <w:r>
        <w:rPr>
          <w:b/>
        </w:rPr>
        <w:t xml:space="preserve">Post-processing Slicing: </w:t>
      </w:r>
      <w:r>
        <w:t>2.3 milliseconds (Non-Maximum Suppression execution and ROI crop assembly).</w:t>
      </w:r>
    </w:p>
    <w:p>
      <w:pPr>
        <w:pStyle w:val="ListBullet"/>
      </w:pPr>
      <w:r>
        <w:rPr>
          <w:b/>
        </w:rPr>
        <w:t xml:space="preserve">Aggregated Detection Execution Time: </w:t>
      </w:r>
      <w:r>
        <w:t>14.2 milliseconds per input image frame.</w:t>
      </w:r>
    </w:p>
    <w:p>
      <w:r>
        <w:t>This processing speed translates to an operational efficiency of approximately 70.4 Frames Per Second (FPS). This performance provides sufficient margin to handle high-frequency video feeds from multi-lane cameras or fast-moving urban traffic corridors without dropping frames.</w:t>
      </w:r>
    </w:p>
    <w:p>
      <w:pPr>
        <w:keepNext/>
        <w:spacing w:before="360" w:after="120"/>
        <w:pBdr>
          <w:bottom w:val="single" w:sz="12" w:space="4" w:color="1B365D"/>
        </w:pBdr>
      </w:pPr>
      <w:r>
        <w:rPr>
          <w:rFonts w:ascii="Arial" w:hAnsi="Arial"/>
          <w:b/>
          <w:color w:val="1B365D"/>
          <w:sz w:val="36"/>
        </w:rPr>
        <w:t>6. Field Deployment &amp; System Hardening Guidelines</w:t>
      </w:r>
    </w:p>
    <w:p>
      <w:r>
        <w:t>To scale this machine learning system from an isolated testing notebook to an enterprise-grade production environment, the following infrastructure adjustments are recommended:</w:t>
      </w:r>
    </w:p>
    <w:p>
      <w:pPr>
        <w:pStyle w:val="ListBullet"/>
      </w:pPr>
      <w:r>
        <w:rPr>
          <w:b/>
        </w:rPr>
        <w:t xml:space="preserve">Resolution Scaling for Extended Spatial Views: </w:t>
      </w:r>
      <w:r>
        <w:t>For wide-angle highway gantries where vehicle boundaries occupy less than 5% of total frame space, upgrade the source input stream to 1080p and transition the localized detector backbone to yolov8s.pt (Small) or yolov8m.pt (Medium) to preserve character resolution.</w:t>
      </w:r>
    </w:p>
    <w:p>
      <w:pPr>
        <w:pStyle w:val="ListBullet"/>
      </w:pPr>
      <w:r>
        <w:rPr>
          <w:b/>
        </w:rPr>
        <w:t xml:space="preserve">Multi-Frame Confidence Voting Filters: </w:t>
      </w:r>
      <w:r>
        <w:t>Implement an asynchronous downstream database confirmation system that tracks license plates across 3 to 5 continuous video frames. By applying a majority voting scheme on characters with individual OCR confidence scores under 75%, transient issues like reflections or glare can be mitigated.</w:t>
      </w:r>
    </w:p>
    <w:p>
      <w:pPr>
        <w:pStyle w:val="ListBullet"/>
      </w:pPr>
      <w:r>
        <w:rPr>
          <w:b/>
        </w:rPr>
        <w:t xml:space="preserve">Edge Engine Compiler Optimization: </w:t>
      </w:r>
      <w:r>
        <w:t>Export the base PyTorch structural weights (.pt) to optimized ONNX runtimes or NVIDIA TensorRT engines. Deploying these compiled engines on low-power edge hardware, such as Jetson Xavier or Orin modules, lowers local inference latency and reduces data bandwidth costs.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