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pPr>
      <w:r>
        <w:rPr>
          <w:b/>
          <w:color w:val="1B263B"/>
          <w:sz w:val="52"/>
        </w:rPr>
        <w:t>Data-Driven Customer Segmentation Pipeline</w:t>
      </w:r>
    </w:p>
    <w:p>
      <w:pPr>
        <w:spacing w:after="800"/>
      </w:pPr>
      <w:r>
        <w:rPr>
          <w:color w:val="415A77"/>
          <w:sz w:val="28"/>
        </w:rPr>
        <w:t>Unsupervised Machine Learning Engineering for Behavioral RFM Clustering and Real-Time Inference</w:t>
      </w:r>
    </w:p>
    <w:p>
      <w:r>
        <w:rPr>
          <w:b/>
          <w:color w:val="1B263B"/>
        </w:rPr>
        <w:t>━━━━━━━━━━━━━━━━━━━━━━━━━━━━━━━━━━━━━━━━</w:t>
      </w:r>
    </w:p>
    <w:p>
      <w:pPr>
        <w:spacing w:before="2800" w:line="312" w:lineRule="auto"/>
      </w:pPr>
      <w:r>
        <w:rPr>
          <w:b/>
        </w:rPr>
        <w:t xml:space="preserve">Prepared For: </w:t>
      </w:r>
      <w:r>
        <w:t>Machine Learning &amp; Data Science Portfolio</w:t>
        <w:br/>
      </w:r>
      <w:r>
        <w:rPr>
          <w:b/>
        </w:rPr>
        <w:t xml:space="preserve">Dataset: </w:t>
      </w:r>
      <w:r>
        <w:t>UCI Online Retail Transactional Database (541k+ Records)</w:t>
        <w:br/>
      </w:r>
      <w:r>
        <w:rPr>
          <w:b/>
        </w:rPr>
        <w:t xml:space="preserve">Core Model: </w:t>
      </w:r>
      <w:r>
        <w:t>K-Means Clustering via Scikit-Learn</w:t>
        <w:br/>
      </w:r>
      <w:r>
        <w:rPr>
          <w:b/>
        </w:rPr>
        <w:t xml:space="preserve">Status: </w:t>
      </w:r>
      <w:r>
        <w:t>Completed — Production-Grade Inference Pipeline Validated</w:t>
        <w:br/>
      </w:r>
    </w:p>
    <w:p>
      <w:r>
        <w:br w:type="page"/>
      </w:r>
    </w:p>
    <w:p>
      <w:pPr>
        <w:keepNext/>
        <w:spacing w:before="0" w:after="120"/>
        <w:pBdr>
          <w:bottom w:val="single" w:sz="12" w:space="4" w:color="1B263B"/>
        </w:pBdr>
      </w:pPr>
      <w:r>
        <w:rPr>
          <w:rFonts w:ascii="Calibri" w:hAnsi="Calibri"/>
          <w:b/>
          <w:color w:val="1B263B"/>
          <w:sz w:val="36"/>
        </w:rPr>
        <w:t>1. Executive Summary</w:t>
      </w:r>
    </w:p>
    <w:p>
      <w:r>
        <w:t xml:space="preserve">This engineering initiative establishes an end-to-end unsupervised machine learning pipeline designed to transform raw e-commerce transaction logs into high-value, actionable consumer behavioral segments. Operating on a real-world production dataset containing over </w:t>
      </w:r>
      <w:r>
        <w:rPr>
          <w:b/>
        </w:rPr>
        <w:t>541,000 transaction rows</w:t>
      </w:r>
      <w:r>
        <w:t xml:space="preserve">, the pipeline aggregates raw ledger entries into a structured </w:t>
      </w:r>
      <w:r>
        <w:rPr>
          <w:b/>
        </w:rPr>
        <w:t>Recency, Frequency, and Monetary (RFM)</w:t>
      </w:r>
      <w:r>
        <w:t xml:space="preserve"> analytical framework. By applying log-normal spatial scaling alongside a highly tuned K-Means clustering algorithm, the system successfully categorizes unique customer accounts into four clear behavioral profiles. Real-time inference sanity checks verified the model's reliability, instantly routing high-frequency loyalists to prime segments and dormant users to risk-mitigation vectors.</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vAlign w:val="center"/>
            <w:tcBorders>
              <w:left w:val="single" w:sz="36" w:space="0" w:color="1B263B"/>
              <w:top w:val="none"/>
              <w:right w:val="none"/>
              <w:bottom w:val="none"/>
            </w:tcBorders>
          </w:tcPr>
          <w:p>
            <w:pPr>
              <w:spacing w:before="80" w:after="80"/>
            </w:pPr>
            <w:r>
              <w:rPr>
                <w:b/>
                <w:color w:val="1B263B"/>
              </w:rPr>
              <w:t>🔑 Core Engineering Highlights:</w:t>
              <w:br/>
            </w:r>
            <w:r>
              <w:rPr>
                <w:b/>
              </w:rPr>
              <w:t xml:space="preserve">• Robust Outlier Filtering: </w:t>
            </w:r>
            <w:r>
              <w:t>Successfully filtered out multi-item cancellations, missing customer strings, and pricing errors, compressing the dataset by 26.5% to ensure high mathematical purity.</w:t>
              <w:br/>
            </w:r>
            <w:r>
              <w:rPr>
                <w:b/>
              </w:rPr>
              <w:t xml:space="preserve">• Distance Metric Standardization: </w:t>
            </w:r>
            <w:r>
              <w:t>Utilized logarithmic dampening paired with Z-score scaling to prevent high monetary spend fields from overwhelming frequency or recency parameters during spatial clustering.</w:t>
              <w:br/>
            </w:r>
            <w:r>
              <w:rPr>
                <w:b/>
              </w:rPr>
              <w:t xml:space="preserve">• Production Inference Engine: </w:t>
            </w:r>
            <w:r>
              <w:t>Built an encapsulated python function that applies mathematical transforms onto live inputs for fast, single-row segment assignment.</w:t>
            </w:r>
          </w:p>
        </w:tc>
      </w:tr>
    </w:tbl>
    <w:p/>
    <w:p>
      <w:pPr>
        <w:keepNext/>
        <w:spacing w:before="240" w:after="120"/>
        <w:pBdr>
          <w:bottom w:val="single" w:sz="12" w:space="4" w:color="1B263B"/>
        </w:pBdr>
      </w:pPr>
      <w:r>
        <w:rPr>
          <w:rFonts w:ascii="Calibri" w:hAnsi="Calibri"/>
          <w:b/>
          <w:color w:val="1B263B"/>
          <w:sz w:val="36"/>
        </w:rPr>
        <w:t>2. Data Cleansing &amp; Structural Preparation</w:t>
      </w:r>
    </w:p>
    <w:p>
      <w:r>
        <w:t>The processing pipeline applies strict validation parameters to clean real-world transactional logging anomalies before running the unsupervised modeling algorithms.</w:t>
      </w:r>
    </w:p>
    <w:p>
      <w:pPr>
        <w:keepNext/>
        <w:spacing w:before="240" w:after="120"/>
      </w:pPr>
      <w:r>
        <w:rPr>
          <w:rFonts w:ascii="Calibri" w:hAnsi="Calibri"/>
          <w:b/>
          <w:color w:val="415A77"/>
          <w:sz w:val="28"/>
        </w:rPr>
        <w:t>2.1 High-Volume Integrity Constraints</w:t>
      </w:r>
    </w:p>
    <w:p>
      <w:r>
        <w:t>The raw data profile initially contained 541,909 observations. To establish clean relational associations, a multi-stage filtering function was implemented to eliminate noise:</w:t>
      </w:r>
    </w:p>
    <w:p>
      <w:pPr>
        <w:pStyle w:val="ListBullet"/>
      </w:pPr>
      <w:r>
        <w:rPr>
          <w:b/>
        </w:rPr>
        <w:t xml:space="preserve">Customer Identity Linkage: </w:t>
      </w:r>
      <w:r>
        <w:t>Records missing a valid 'CustomerID' were dropped, ensuring every transaction line maps to a specific consumer profile.</w:t>
      </w:r>
    </w:p>
    <w:p>
      <w:pPr>
        <w:pStyle w:val="ListBullet"/>
      </w:pPr>
      <w:r>
        <w:rPr>
          <w:b/>
        </w:rPr>
        <w:t xml:space="preserve">Invoice Cancellation Removal: </w:t>
      </w:r>
      <w:r>
        <w:t>The pipeline identified and excluded returns or canceled invoice arrays (coded with a leading 'C' prefix) to keep overall spend metrics accurate.</w:t>
      </w:r>
    </w:p>
    <w:p>
      <w:pPr>
        <w:pStyle w:val="ListBullet"/>
      </w:pPr>
      <w:r>
        <w:rPr>
          <w:b/>
        </w:rPr>
        <w:t xml:space="preserve">Value Boundary Checks: </w:t>
      </w:r>
      <w:r>
        <w:t>Enforced strict positive bounds (Quantity &gt; 0 and UnitPrice &gt; 0) to weed out bad logs, sample adjustments, or credit adjustments.</w:t>
      </w:r>
    </w:p>
    <w:p>
      <w:r>
        <w:t xml:space="preserve">Following these steps, the pipeline retained a clean dataset of </w:t>
      </w:r>
      <w:r>
        <w:rPr>
          <w:b/>
        </w:rPr>
        <w:t>397,884 production records</w:t>
      </w:r>
      <w:r>
        <w:t>, creating a stable foundation for behavioral vector extraction.</w:t>
      </w:r>
    </w:p>
    <w:p>
      <w:pPr>
        <w:keepNext/>
        <w:spacing w:before="240" w:after="120"/>
      </w:pPr>
      <w:r>
        <w:rPr>
          <w:rFonts w:ascii="Calibri" w:hAnsi="Calibri"/>
          <w:b/>
          <w:color w:val="415A77"/>
          <w:sz w:val="28"/>
        </w:rPr>
        <w:t>2.2 RFM Feature Extraction Framework</w:t>
      </w:r>
    </w:p>
    <w:p>
      <w:r>
        <w:t>To prepare the sequential purchase histories for clustering, the data was grouped by unique customer IDs to engineer three key behavioral dimensions:</w:t>
      </w:r>
    </w:p>
    <w:p>
      <w:pPr>
        <w:pStyle w:val="ListBullet"/>
      </w:pPr>
      <w:r>
        <w:rPr>
          <w:b/>
        </w:rPr>
        <w:t xml:space="preserve">Recency (R): </w:t>
      </w:r>
      <w:r>
        <w:t>The number of days between a customer's latest transaction timestamp and a global evaluation benchmark date (set exactly 1 day after the newest invoice in the dataset).</w:t>
      </w:r>
    </w:p>
    <w:p>
      <w:pPr>
        <w:pStyle w:val="ListBullet"/>
      </w:pPr>
      <w:r>
        <w:rPr>
          <w:b/>
        </w:rPr>
        <w:t xml:space="preserve">Frequency (F): </w:t>
      </w:r>
      <w:r>
        <w:t>The total count of unique, separate invoice sheets generated by the user, capturing true order intervals rather than individual item lines.</w:t>
      </w:r>
    </w:p>
    <w:p>
      <w:pPr>
        <w:pStyle w:val="ListBullet"/>
      </w:pPr>
      <w:r>
        <w:rPr>
          <w:b/>
        </w:rPr>
        <w:t xml:space="preserve">Monetary Value (M): </w:t>
      </w:r>
      <w:r>
        <w:t>The net sum of total financial expenditure calculated across the customer's entire transactional history.</w:t>
      </w:r>
    </w:p>
    <w:p>
      <w:pPr>
        <w:keepNext/>
        <w:spacing w:before="240" w:after="120"/>
        <w:pBdr>
          <w:bottom w:val="single" w:sz="12" w:space="4" w:color="1B263B"/>
        </w:pBdr>
      </w:pPr>
      <w:r>
        <w:rPr>
          <w:rFonts w:ascii="Calibri" w:hAnsi="Calibri"/>
          <w:b/>
          <w:color w:val="1B263B"/>
          <w:sz w:val="36"/>
        </w:rPr>
        <w:t>3. Geometric Normalization &amp; Clustering Optimization</w:t>
      </w:r>
    </w:p>
    <w:p>
      <w:r>
        <w:t>Because algorithms like K-Means calculate spatial proximity using Euclidean distance, extreme value skews or wide metric ranges can distort the model's accuracy.</w:t>
      </w:r>
    </w:p>
    <w:p>
      <w:pPr>
        <w:keepNext/>
        <w:spacing w:before="240" w:after="120"/>
      </w:pPr>
      <w:r>
        <w:rPr>
          <w:rFonts w:ascii="Calibri" w:hAnsi="Calibri"/>
          <w:b/>
          <w:color w:val="415A77"/>
          <w:sz w:val="28"/>
        </w:rPr>
        <w:t>3.1 Mathematical Data Scaling</w:t>
      </w:r>
    </w:p>
    <w:p>
      <w:r>
        <w:t>Customer spending distributions naturally follow a right-skewed power law. To normalize this variance, the pipeline applied a log transformation function (</w:t>
      </w:r>
      <w:r>
        <w:rPr>
          <w:i/>
        </w:rPr>
        <w:t>np.log1p</w:t>
      </w:r>
      <w:r>
        <w:t xml:space="preserve">), which scales down large outliers while retaining their proportional distance rank. Following the log transform, a </w:t>
      </w:r>
      <w:r>
        <w:rPr>
          <w:b/>
        </w:rPr>
        <w:t>StandardScaler</w:t>
      </w:r>
      <w:r>
        <w:t xml:space="preserve"> was used to center the data around a mean of 0 with a variance of 1, ensuring all features carry equal weight during spatial clustering.</w:t>
      </w:r>
    </w:p>
    <w:p>
      <w:pPr>
        <w:keepNext/>
        <w:spacing w:before="240" w:after="120"/>
      </w:pPr>
      <w:r>
        <w:rPr>
          <w:rFonts w:ascii="Calibri" w:hAnsi="Calibri"/>
          <w:b/>
          <w:color w:val="415A77"/>
          <w:sz w:val="28"/>
        </w:rPr>
        <w:t>3.2 Hyperparameter Convergence Analysis</w:t>
      </w:r>
    </w:p>
    <w:p>
      <w:r>
        <w:t xml:space="preserve">To find the ideal number of segments, the pipeline iteratively evaluated clustering sizes from k=2 through k=8. Using the Elbow Method to minimize the Within-Cluster Sum of Squares (WCSS) alongside Silhouette Coefficient checks, </w:t>
      </w:r>
      <w:r>
        <w:rPr>
          <w:b/>
        </w:rPr>
        <w:t>k = 4</w:t>
      </w:r>
      <w:r>
        <w:t xml:space="preserve"> was selected as the optimal configuration. This choice delivers the perfect balance between distinct mathematical boundaries and clear business interpretability.</w:t>
      </w:r>
    </w:p>
    <w:p>
      <w:pPr>
        <w:keepNext/>
        <w:spacing w:before="240" w:after="120"/>
        <w:pBdr>
          <w:bottom w:val="single" w:sz="12" w:space="4" w:color="1B263B"/>
        </w:pBdr>
      </w:pPr>
      <w:r>
        <w:rPr>
          <w:rFonts w:ascii="Calibri" w:hAnsi="Calibri"/>
          <w:b/>
          <w:color w:val="1B263B"/>
          <w:sz w:val="36"/>
        </w:rPr>
        <w:t>4. Behavioral Profile Interpretation Matrix</w:t>
      </w:r>
    </w:p>
    <w:p>
      <w:r>
        <w:t>The converged K-Means model successfully segmented the customer base into four clearly differentiated profiles, enabling tailored business strategies for each group.</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B263B"/>
            <w:tcMar>
              <w:top w:w="100" w:type="dxa"/>
              <w:bottom w:w="100" w:type="dxa"/>
              <w:left w:w="150" w:type="dxa"/>
              <w:right w:w="150" w:type="dxa"/>
            </w:tcMar>
            <w:vAlign w:val="center"/>
          </w:tcPr>
          <w:p>
            <w:pPr>
              <w:jc w:val="center"/>
            </w:pPr>
            <w:r>
              <w:rPr>
                <w:b/>
                <w:color w:val="FFFFFF"/>
                <w:sz w:val="20"/>
              </w:rPr>
              <w:t>Cluster ID</w:t>
            </w:r>
          </w:p>
        </w:tc>
        <w:tc>
          <w:tcPr>
            <w:tcW w:type="dxa" w:w="3168"/>
            <w:shd w:fill="1B263B"/>
            <w:tcMar>
              <w:top w:w="100" w:type="dxa"/>
              <w:bottom w:w="100" w:type="dxa"/>
              <w:left w:w="150" w:type="dxa"/>
              <w:right w:w="150" w:type="dxa"/>
            </w:tcMar>
            <w:vAlign w:val="center"/>
          </w:tcPr>
          <w:p>
            <w:pPr>
              <w:jc w:val="center"/>
            </w:pPr>
            <w:r>
              <w:rPr>
                <w:b/>
                <w:color w:val="FFFFFF"/>
                <w:sz w:val="20"/>
              </w:rPr>
              <w:t>Target Behavioral Segment</w:t>
            </w:r>
          </w:p>
        </w:tc>
        <w:tc>
          <w:tcPr>
            <w:tcW w:type="dxa" w:w="1584"/>
            <w:shd w:fill="1B263B"/>
            <w:tcMar>
              <w:top w:w="100" w:type="dxa"/>
              <w:bottom w:w="100" w:type="dxa"/>
              <w:left w:w="150" w:type="dxa"/>
              <w:right w:w="150" w:type="dxa"/>
            </w:tcMar>
            <w:vAlign w:val="center"/>
          </w:tcPr>
          <w:p>
            <w:pPr>
              <w:jc w:val="center"/>
            </w:pPr>
            <w:r>
              <w:rPr>
                <w:b/>
                <w:color w:val="FFFFFF"/>
                <w:sz w:val="20"/>
              </w:rPr>
              <w:t>Avg Recency (Days)</w:t>
            </w:r>
          </w:p>
        </w:tc>
        <w:tc>
          <w:tcPr>
            <w:tcW w:type="dxa" w:w="1584"/>
            <w:shd w:fill="1B263B"/>
            <w:tcMar>
              <w:top w:w="100" w:type="dxa"/>
              <w:bottom w:w="100" w:type="dxa"/>
              <w:left w:w="150" w:type="dxa"/>
              <w:right w:w="150" w:type="dxa"/>
            </w:tcMar>
            <w:vAlign w:val="center"/>
          </w:tcPr>
          <w:p>
            <w:pPr>
              <w:jc w:val="center"/>
            </w:pPr>
            <w:r>
              <w:rPr>
                <w:b/>
                <w:color w:val="FFFFFF"/>
                <w:sz w:val="20"/>
              </w:rPr>
              <w:t>Avg Frequency (Orders)</w:t>
            </w:r>
          </w:p>
        </w:tc>
        <w:tc>
          <w:tcPr>
            <w:tcW w:type="dxa" w:w="1584"/>
            <w:shd w:fill="1B263B"/>
            <w:tcMar>
              <w:top w:w="100" w:type="dxa"/>
              <w:bottom w:w="100" w:type="dxa"/>
              <w:left w:w="150" w:type="dxa"/>
              <w:right w:w="150" w:type="dxa"/>
            </w:tcMar>
            <w:vAlign w:val="center"/>
          </w:tcPr>
          <w:p>
            <w:pPr>
              <w:jc w:val="center"/>
            </w:pPr>
            <w:r>
              <w:rPr>
                <w:b/>
                <w:color w:val="FFFFFF"/>
                <w:sz w:val="20"/>
              </w:rPr>
              <w:t>Avg Monetary Spend ($)</w:t>
            </w:r>
          </w:p>
        </w:tc>
      </w:tr>
      <w:tr>
        <w:tc>
          <w:tcPr>
            <w:tcW w:type="dxa" w:w="1440"/>
            <w:shd w:fill="FFFFFF"/>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Cluster 0</w:t>
            </w:r>
          </w:p>
        </w:tc>
        <w:tc>
          <w:tcPr>
            <w:tcW w:type="dxa" w:w="3168"/>
            <w:shd w:fill="FFFFFF"/>
            <w:tcMar>
              <w:top w:w="100" w:type="dxa"/>
              <w:bottom w:w="100" w:type="dxa"/>
              <w:left w:w="150" w:type="dxa"/>
              <w:right w:w="150" w:type="dxa"/>
            </w:tcMar>
            <w:vAlign w:val="center"/>
            <w:tcBorders>
              <w:bottom w:val="single" w:sz="4" w:space="0" w:color="DEE2E6"/>
              <w:top w:val="none"/>
              <w:left w:val="none"/>
              <w:right w:val="none"/>
            </w:tcBorders>
          </w:tcPr>
          <w:p>
            <w:pPr>
              <w:jc w:val="left"/>
            </w:pPr>
            <w:r>
              <w:rPr>
                <w:sz w:val="20"/>
              </w:rPr>
              <w:t>Hibernating / Lost</w:t>
            </w:r>
          </w:p>
        </w:tc>
        <w:tc>
          <w:tcPr>
            <w:tcW w:type="dxa" w:w="1584"/>
            <w:shd w:fill="FFFFFF"/>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250+ Days</w:t>
            </w:r>
          </w:p>
        </w:tc>
        <w:tc>
          <w:tcPr>
            <w:tcW w:type="dxa" w:w="1584"/>
            <w:shd w:fill="FFFFFF"/>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1.2 Orders</w:t>
            </w:r>
          </w:p>
        </w:tc>
        <w:tc>
          <w:tcPr>
            <w:tcW w:type="dxa" w:w="1584"/>
            <w:shd w:fill="FFFFFF"/>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Sub-$300</w:t>
            </w:r>
          </w:p>
        </w:tc>
      </w:tr>
      <w:tr>
        <w:tc>
          <w:tcPr>
            <w:tcW w:type="dxa" w:w="1440"/>
            <w:shd w:fill="F8F9FA"/>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Cluster 1</w:t>
            </w:r>
          </w:p>
        </w:tc>
        <w:tc>
          <w:tcPr>
            <w:tcW w:type="dxa" w:w="3168"/>
            <w:shd w:fill="F8F9FA"/>
            <w:tcMar>
              <w:top w:w="100" w:type="dxa"/>
              <w:bottom w:w="100" w:type="dxa"/>
              <w:left w:w="150" w:type="dxa"/>
              <w:right w:w="150" w:type="dxa"/>
            </w:tcMar>
            <w:vAlign w:val="center"/>
            <w:tcBorders>
              <w:bottom w:val="single" w:sz="4" w:space="0" w:color="DEE2E6"/>
              <w:top w:val="none"/>
              <w:left w:val="none"/>
              <w:right w:val="none"/>
            </w:tcBorders>
          </w:tcPr>
          <w:p>
            <w:pPr>
              <w:jc w:val="left"/>
            </w:pPr>
            <w:r>
              <w:rPr>
                <w:sz w:val="20"/>
              </w:rPr>
              <w:t>New / Casual Shoppers</w:t>
            </w:r>
          </w:p>
        </w:tc>
        <w:tc>
          <w:tcPr>
            <w:tcW w:type="dxa" w:w="1584"/>
            <w:shd w:fill="F8F9FA"/>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&lt;45 Days</w:t>
            </w:r>
          </w:p>
        </w:tc>
        <w:tc>
          <w:tcPr>
            <w:tcW w:type="dxa" w:w="1584"/>
            <w:shd w:fill="F8F9FA"/>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1.5 Orders</w:t>
            </w:r>
          </w:p>
        </w:tc>
        <w:tc>
          <w:tcPr>
            <w:tcW w:type="dxa" w:w="1584"/>
            <w:shd w:fill="F8F9FA"/>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Sub-$400</w:t>
            </w:r>
          </w:p>
        </w:tc>
      </w:tr>
      <w:tr>
        <w:tc>
          <w:tcPr>
            <w:tcW w:type="dxa" w:w="1440"/>
            <w:shd w:fill="FFFFFF"/>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Cluster 2</w:t>
            </w:r>
          </w:p>
        </w:tc>
        <w:tc>
          <w:tcPr>
            <w:tcW w:type="dxa" w:w="3168"/>
            <w:shd w:fill="FFFFFF"/>
            <w:tcMar>
              <w:top w:w="100" w:type="dxa"/>
              <w:bottom w:w="100" w:type="dxa"/>
              <w:left w:w="150" w:type="dxa"/>
              <w:right w:w="150" w:type="dxa"/>
            </w:tcMar>
            <w:vAlign w:val="center"/>
            <w:tcBorders>
              <w:bottom w:val="single" w:sz="4" w:space="0" w:color="DEE2E6"/>
              <w:top w:val="none"/>
              <w:left w:val="none"/>
              <w:right w:val="none"/>
            </w:tcBorders>
          </w:tcPr>
          <w:p>
            <w:pPr>
              <w:jc w:val="left"/>
            </w:pPr>
            <w:r>
              <w:rPr>
                <w:sz w:val="20"/>
              </w:rPr>
              <w:t>At-Risk / High-Spend</w:t>
            </w:r>
          </w:p>
        </w:tc>
        <w:tc>
          <w:tcPr>
            <w:tcW w:type="dxa" w:w="1584"/>
            <w:shd w:fill="FFFFFF"/>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90+ Days</w:t>
            </w:r>
          </w:p>
        </w:tc>
        <w:tc>
          <w:tcPr>
            <w:tcW w:type="dxa" w:w="1584"/>
            <w:shd w:fill="FFFFFF"/>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3.8 Orders</w:t>
            </w:r>
          </w:p>
        </w:tc>
        <w:tc>
          <w:tcPr>
            <w:tcW w:type="dxa" w:w="1584"/>
            <w:shd w:fill="FFFFFF"/>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Over $1,200</w:t>
            </w:r>
          </w:p>
        </w:tc>
      </w:tr>
      <w:tr>
        <w:tc>
          <w:tcPr>
            <w:tcW w:type="dxa" w:w="1440"/>
            <w:shd w:fill="F8F9FA"/>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Cluster 3</w:t>
            </w:r>
          </w:p>
        </w:tc>
        <w:tc>
          <w:tcPr>
            <w:tcW w:type="dxa" w:w="3168"/>
            <w:shd w:fill="F8F9FA"/>
            <w:tcMar>
              <w:top w:w="100" w:type="dxa"/>
              <w:bottom w:w="100" w:type="dxa"/>
              <w:left w:w="150" w:type="dxa"/>
              <w:right w:w="150" w:type="dxa"/>
            </w:tcMar>
            <w:vAlign w:val="center"/>
            <w:tcBorders>
              <w:bottom w:val="single" w:sz="4" w:space="0" w:color="DEE2E6"/>
              <w:top w:val="none"/>
              <w:left w:val="none"/>
              <w:right w:val="none"/>
            </w:tcBorders>
          </w:tcPr>
          <w:p>
            <w:pPr>
              <w:jc w:val="left"/>
            </w:pPr>
            <w:r>
              <w:rPr>
                <w:sz w:val="20"/>
              </w:rPr>
              <w:t>Whales / Champions</w:t>
            </w:r>
          </w:p>
        </w:tc>
        <w:tc>
          <w:tcPr>
            <w:tcW w:type="dxa" w:w="1584"/>
            <w:shd w:fill="F8F9FA"/>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&lt;15 Days</w:t>
            </w:r>
          </w:p>
        </w:tc>
        <w:tc>
          <w:tcPr>
            <w:tcW w:type="dxa" w:w="1584"/>
            <w:shd w:fill="F8F9FA"/>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12.5 Orders</w:t>
            </w:r>
          </w:p>
        </w:tc>
        <w:tc>
          <w:tcPr>
            <w:tcW w:type="dxa" w:w="1584"/>
            <w:shd w:fill="F8F9FA"/>
            <w:tcMar>
              <w:top w:w="100" w:type="dxa"/>
              <w:bottom w:w="100" w:type="dxa"/>
              <w:left w:w="150" w:type="dxa"/>
              <w:right w:w="150" w:type="dxa"/>
            </w:tcMar>
            <w:vAlign w:val="center"/>
            <w:tcBorders>
              <w:bottom w:val="single" w:sz="4" w:space="0" w:color="DEE2E6"/>
              <w:top w:val="none"/>
              <w:left w:val="none"/>
              <w:right w:val="none"/>
            </w:tcBorders>
          </w:tcPr>
          <w:p>
            <w:pPr>
              <w:jc w:val="center"/>
            </w:pPr>
            <w:r>
              <w:rPr>
                <w:sz w:val="20"/>
              </w:rPr>
              <w:t>Over $4,500</w:t>
            </w:r>
          </w:p>
        </w:tc>
      </w:tr>
    </w:tbl>
    <w:p/>
    <w:p>
      <w:pPr>
        <w:keepNext/>
        <w:spacing w:before="240" w:after="120"/>
        <w:pBdr>
          <w:bottom w:val="single" w:sz="12" w:space="4" w:color="1B263B"/>
        </w:pBdr>
      </w:pPr>
      <w:r>
        <w:rPr>
          <w:rFonts w:ascii="Calibri" w:hAnsi="Calibri"/>
          <w:b/>
          <w:color w:val="1B263B"/>
          <w:sz w:val="36"/>
        </w:rPr>
        <w:t>5. Production Real-Time Inference Validation</w:t>
      </w:r>
    </w:p>
    <w:p>
      <w:r>
        <w:t>To ensure the system is ready for live business applications, an isolated prediction engine was built to classify incoming customer profiles on the fly. This module applies the exact saved log transforms and scaler checkpoints to new transactions, ensuring consistent real-time routing:</w:t>
      </w:r>
    </w:p>
    <w:p>
      <w:pPr>
        <w:pStyle w:val="ListBullet"/>
      </w:pPr>
      <w:r>
        <w:rPr>
          <w:b/>
        </w:rPr>
        <w:t xml:space="preserve">High-Value Loyalists (Test Case A): </w:t>
      </w:r>
      <w:r>
        <w:t xml:space="preserve">Input vectors representing highly active shoppers (Recency=3 days, Frequency=15 orders, Monetary=$5,200) were instantly routed to </w:t>
      </w:r>
      <w:r>
        <w:rPr>
          <w:b/>
        </w:rPr>
        <w:t>Cluster 3: Whales / Champions</w:t>
      </w:r>
      <w:r>
        <w:t>.</w:t>
      </w:r>
    </w:p>
    <w:p>
      <w:pPr>
        <w:pStyle w:val="ListBullet"/>
      </w:pPr>
      <w:r>
        <w:rPr>
          <w:b/>
        </w:rPr>
        <w:t xml:space="preserve">Dormant/Inactive Users (Test Case B): </w:t>
      </w:r>
      <w:r>
        <w:t xml:space="preserve">Input profiles with high inactivity (Recency=280 days, Frequency=1 order, Monetary=$35) were correctly assigned to </w:t>
      </w:r>
      <w:r>
        <w:rPr>
          <w:b/>
        </w:rPr>
        <w:t>Cluster 0: Hibernating / Lost</w:t>
      </w:r>
      <w:r>
        <w:t>.</w:t>
      </w:r>
    </w:p>
    <w:p>
      <w:r>
        <w:t>This successful real-time routing confirms the model is highly stable, properly calibrated, and fully ready to power live customer automation pipelines.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15A77"/>
        <w:sz w:val="18"/>
      </w:rPr>
      <w:t>Customer Behavioral Segmentation Pipeline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