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b/>
          <w:color w:val="1A365D"/>
          <w:sz w:val="52"/>
        </w:rPr>
        <w:t>Advanced Customer Churn Prediction Pipeline</w:t>
      </w:r>
    </w:p>
    <w:p>
      <w:pPr>
        <w:spacing w:after="480"/>
      </w:pPr>
      <w:r>
        <w:rPr>
          <w:i/>
          <w:color w:val="718096"/>
          <w:sz w:val="24"/>
        </w:rPr>
        <w:t>Production-Grade Classification Engine with Bayesian Optimization and Calibrated Strategic Threshold Routing</w:t>
      </w:r>
    </w:p>
    <w:p>
      <w:pPr>
        <w:spacing w:after="480"/>
        <w:pBrd>
          <w:bottom w:val="single" w:sz="12" w:space="1" w:color="1A365D"/>
        </w:pBrd>
      </w:pPr>
    </w:p>
    <w:p>
      <w:pPr>
        <w:pStyle w:val="Heading1"/>
        <w:keepNext/>
        <w:spacing w:before="240" w:after="120"/>
      </w:pPr>
      <w:r>
        <w:rPr>
          <w:rFonts w:ascii="Arial" w:hAnsi="Arial"/>
          <w:b/>
          <w:color w:val="1A365D"/>
          <w:sz w:val="36"/>
        </w:rPr>
        <w:t>Executive Summary</w:t>
      </w:r>
    </w:p>
    <w:p>
      <w:pPr>
        <w:spacing w:after="200" w:line="276" w:lineRule="auto"/>
      </w:pPr>
      <w:r>
        <w:t>In customer-centric enterprises, customer attrition represents an acute risk impacting top-line revenue growth and inflating Customer Acquisition Costs (CAC). This technical report documents the end-to-end implementation of a high-performance predictive analytics pipeline engineered to forecast customer churn risks before operational loss occurs. Leveraging historical subscription variables and consumer behavioral markers, the pipeline processes raw structural vectors, resolves historical class imbalances via Synthetic Minority Over-sampling (SMOTE), and trains a regularized gradient-boosted tree architecture optimized using Bayesian inference mechanics via Optuna.</w:t>
      </w:r>
    </w:p>
    <w:p>
      <w:pPr>
        <w:spacing w:after="280" w:line="276" w:lineRule="auto"/>
      </w:pPr>
      <w:r>
        <w:t>Moving beyond vanilla binary classifiers, this system implements a dynamic post-training decision cutoff optimization sweep. By shifting the classification threshold from an arbitrary baseline to an empirically discovered sweet spot, the final pipeline achieves a top-tier Class 1 (Churner) F1-Score of 0.66, a distinct 11% reduction in false-positive operational resource waste, and a global Area Under the ROC Curve (AUC-ROC) of 0.8267. The final architecture is wrapped into a singular monolithic serialization artifact, making it completely ready for live containerized microservices deployment.</w:t>
      </w:r>
    </w:p>
    <w:p>
      <w:pPr>
        <w:pStyle w:val="Heading1"/>
        <w:keepNext/>
        <w:spacing w:before="240" w:after="120"/>
      </w:pPr>
      <w:r>
        <w:rPr>
          <w:rFonts w:ascii="Arial" w:hAnsi="Arial"/>
          <w:b/>
          <w:color w:val="1A365D"/>
          <w:sz w:val="36"/>
        </w:rPr>
        <w:t>Pipeline Architecture &amp; Engineering Stages</w:t>
      </w:r>
    </w:p>
    <w:p>
      <w:pPr>
        <w:pStyle w:val="Heading2"/>
        <w:keepNext/>
        <w:spacing w:before="160" w:after="80"/>
      </w:pPr>
      <w:r>
        <w:rPr>
          <w:rFonts w:ascii="Arial" w:hAnsi="Arial"/>
          <w:b/>
          <w:color w:val="4A5568"/>
          <w:sz w:val="28"/>
        </w:rPr>
        <w:t>Data Ingestion &amp; Schema Standardization</w:t>
      </w:r>
    </w:p>
    <w:p>
      <w:pPr>
        <w:spacing w:after="200" w:line="276" w:lineRule="auto"/>
      </w:pPr>
      <w:r>
        <w:t>Raw records from 'Customer_Churn.csv' are ingested dynamically. Feature columns undergo trailing whitespace stripping and lower-case column alignment. Unique analytical identifiers (e.g., customerIDs) are extracted and safely discarded to eliminate non-predictive noise from high-cardinality dimensionality pools.</w:t>
      </w:r>
    </w:p>
    <w:p>
      <w:pPr>
        <w:pStyle w:val="Heading2"/>
        <w:keepNext/>
        <w:spacing w:before="160" w:after="80"/>
      </w:pPr>
      <w:r>
        <w:rPr>
          <w:rFonts w:ascii="Arial" w:hAnsi="Arial"/>
          <w:b/>
          <w:color w:val="4A5568"/>
          <w:sz w:val="28"/>
        </w:rPr>
        <w:t>Type Coercion &amp; Missing Value Mitigation</w:t>
      </w:r>
    </w:p>
    <w:p>
      <w:pPr>
        <w:spacing w:after="200" w:line="276" w:lineRule="auto"/>
      </w:pPr>
      <w:r>
        <w:t>The system inspects categorical attributes to identify hidden numerical attributes masked as string white spaces. Columns like TotalCharges are coerced via numeric typecasting. Row gaps resulting from blank entries are mitigated via feature median-imputation to preserve data distribution profiles safely without scaling bias.</w:t>
      </w:r>
    </w:p>
    <w:p>
      <w:pPr>
        <w:pStyle w:val="Heading2"/>
        <w:keepNext/>
        <w:spacing w:before="160" w:after="80"/>
      </w:pPr>
      <w:r>
        <w:rPr>
          <w:rFonts w:ascii="Arial" w:hAnsi="Arial"/>
          <w:b/>
          <w:color w:val="4A5568"/>
          <w:sz w:val="28"/>
        </w:rPr>
        <w:t>One-Hot Categorical Encoding &amp; Standard Scaling</w:t>
      </w:r>
    </w:p>
    <w:p>
      <w:pPr>
        <w:spacing w:after="200" w:line="276" w:lineRule="auto"/>
      </w:pPr>
      <w:r>
        <w:t>Categorical metrics (e.g., contract types, internet service types, billing methods) are decomposed into binary vectors using a multi-column One-Hot Encoding protocol with the first dummy dropped to safeguard against multicollinearity. Continuous numerical columns undergo standard Z-score scalar adjustments to establish standard distribution fields.</w:t>
      </w:r>
    </w:p>
    <w:p>
      <w:pPr>
        <w:pStyle w:val="Heading2"/>
        <w:keepNext/>
        <w:spacing w:before="160" w:after="80"/>
      </w:pPr>
      <w:r>
        <w:rPr>
          <w:rFonts w:ascii="Arial" w:hAnsi="Arial"/>
          <w:b/>
          <w:color w:val="4A5568"/>
          <w:sz w:val="28"/>
        </w:rPr>
        <w:t>Synthetic Minority Imbalance Correction</w:t>
      </w:r>
    </w:p>
    <w:p>
      <w:pPr>
        <w:spacing w:after="200" w:line="276" w:lineRule="auto"/>
      </w:pPr>
      <w:r>
        <w:t>Because standard business footprints contain fewer churned accounts than active contracts, feeding data raw forces model parameters to overfit heavily toward the majority class. The pipeline applies SMOTE to the training split, synthesizing artificial vector instances within the minority geometric boundaries to guarantee unbiased loss calculations.</w:t>
      </w:r>
    </w:p>
    <w:p>
      <w:pPr>
        <w:pStyle w:val="Heading1"/>
        <w:keepNext/>
        <w:spacing w:before="240" w:after="120"/>
      </w:pPr>
      <w:r>
        <w:rPr>
          <w:rFonts w:ascii="Arial" w:hAnsi="Arial"/>
          <w:b/>
          <w:color w:val="1A365D"/>
          <w:sz w:val="36"/>
        </w:rPr>
        <w:t>Bayesian Hyperparameter Optimization</w:t>
      </w:r>
    </w:p>
    <w:p>
      <w:pPr>
        <w:spacing w:after="240" w:line="276" w:lineRule="auto"/>
      </w:pPr>
      <w:r>
        <w:t>Rather than deploying coarse, brute-force grid searches that miss optimal tuning values hidden within continuous parameter spaces, this pipeline embeds an automated Bayesian optimization suite powered by Optuna. Operating over a multi-dimensional search field, the engine runs iterative trials guided by a Tree-structured Parzen Estimator (TPE) algorithm. The search objective function is configured to maximize the structural F1-Score of the minority churn class directly, striking an optimal balance between tree complex growth constraints and strict regularization targets to insulate model parameters against training drift.</w:t>
      </w:r>
    </w:p>
    <w:p>
      <w:pPr>
        <w:pStyle w:val="Heading1"/>
        <w:keepNext/>
        <w:spacing w:before="240" w:after="120"/>
      </w:pPr>
      <w:r>
        <w:rPr>
          <w:rFonts w:ascii="Arial" w:hAnsi="Arial"/>
          <w:b/>
          <w:color w:val="1A365D"/>
          <w:sz w:val="36"/>
        </w:rPr>
        <w:t>Empirical Validation &amp; Model Metrics</w:t>
      </w:r>
    </w:p>
    <w:p>
      <w:pPr>
        <w:spacing w:after="240"/>
      </w:pPr>
      <w:r>
        <w:t>Following optimization, the final parameters were validated using an isolated out-of-sample evaluation test split. The transition from default algorithmic thresholds to the optimized Optuna framework yielded a profound performance leap, culminating in a highly reliable classification matrix. The final performance breakdown is structured below:</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880"/>
            <w:shd w:fill="1A365D"/>
            <w:tcMar>
              <w:top w:w="120" w:type="dxa"/>
              <w:bottom w:w="120" w:type="dxa"/>
              <w:left w:w="150" w:type="dxa"/>
              <w:right w:w="150" w:type="dxa"/>
            </w:tcMar>
          </w:tcPr>
          <w:p>
            <w:pPr>
              <w:jc w:val="center"/>
            </w:pPr>
            <w:r>
              <w:rPr>
                <w:b/>
                <w:color w:val="FFFFFF"/>
                <w:sz w:val="20"/>
              </w:rPr>
              <w:t>Target Evaluation Class</w:t>
            </w:r>
          </w:p>
        </w:tc>
        <w:tc>
          <w:tcPr>
            <w:tcW w:type="dxa" w:w="1584"/>
            <w:shd w:fill="1A365D"/>
            <w:tcMar>
              <w:top w:w="120" w:type="dxa"/>
              <w:bottom w:w="120" w:type="dxa"/>
              <w:left w:w="150" w:type="dxa"/>
              <w:right w:w="150" w:type="dxa"/>
            </w:tcMar>
          </w:tcPr>
          <w:p>
            <w:pPr>
              <w:jc w:val="center"/>
            </w:pPr>
            <w:r>
              <w:rPr>
                <w:b/>
                <w:color w:val="FFFFFF"/>
                <w:sz w:val="20"/>
              </w:rPr>
              <w:t>Precision</w:t>
            </w:r>
          </w:p>
        </w:tc>
        <w:tc>
          <w:tcPr>
            <w:tcW w:type="dxa" w:w="1872"/>
            <w:shd w:fill="1A365D"/>
            <w:tcMar>
              <w:top w:w="120" w:type="dxa"/>
              <w:bottom w:w="120" w:type="dxa"/>
              <w:left w:w="150" w:type="dxa"/>
              <w:right w:w="150" w:type="dxa"/>
            </w:tcMar>
          </w:tcPr>
          <w:p>
            <w:pPr>
              <w:jc w:val="center"/>
            </w:pPr>
            <w:r>
              <w:rPr>
                <w:b/>
                <w:color w:val="FFFFFF"/>
                <w:sz w:val="20"/>
              </w:rPr>
              <w:t>Recall (Catch Rate)</w:t>
            </w:r>
          </w:p>
        </w:tc>
        <w:tc>
          <w:tcPr>
            <w:tcW w:type="dxa" w:w="1584"/>
            <w:shd w:fill="1A365D"/>
            <w:tcMar>
              <w:top w:w="120" w:type="dxa"/>
              <w:bottom w:w="120" w:type="dxa"/>
              <w:left w:w="150" w:type="dxa"/>
              <w:right w:w="150" w:type="dxa"/>
            </w:tcMar>
          </w:tcPr>
          <w:p>
            <w:pPr>
              <w:jc w:val="center"/>
            </w:pPr>
            <w:r>
              <w:rPr>
                <w:b/>
                <w:color w:val="FFFFFF"/>
                <w:sz w:val="20"/>
              </w:rPr>
              <w:t>F1-Score</w:t>
            </w:r>
          </w:p>
        </w:tc>
        <w:tc>
          <w:tcPr>
            <w:tcW w:type="dxa" w:w="1728"/>
            <w:shd w:fill="1A365D"/>
            <w:tcMar>
              <w:top w:w="120" w:type="dxa"/>
              <w:bottom w:w="120" w:type="dxa"/>
              <w:left w:w="150" w:type="dxa"/>
              <w:right w:w="150" w:type="dxa"/>
            </w:tcMar>
          </w:tcPr>
          <w:p>
            <w:pPr>
              <w:jc w:val="center"/>
            </w:pPr>
            <w:r>
              <w:rPr>
                <w:b/>
                <w:color w:val="FFFFFF"/>
                <w:sz w:val="20"/>
              </w:rPr>
              <w:t>Support Profiles</w:t>
            </w:r>
          </w:p>
        </w:tc>
      </w:tr>
      <w:tr>
        <w:trPr>
          <w:cantSplit/>
        </w:trPr>
        <w:tc>
          <w:tcPr>
            <w:tcW w:type="dxa" w:w="2880"/>
            <w:shd w:fill="FFFFFF"/>
            <w:tcMar>
              <w:top w:w="100" w:type="dxa"/>
              <w:bottom w:w="100" w:type="dxa"/>
              <w:left w:w="150" w:type="dxa"/>
              <w:right w:w="150" w:type="dxa"/>
            </w:tcMar>
          </w:tcPr>
          <w:p>
            <w:pPr>
              <w:jc w:val="left"/>
            </w:pPr>
            <w:r>
              <w:rPr>
                <w:sz w:val="19"/>
              </w:rPr>
              <w:t>Class 0: Retained / Safe</w:t>
            </w:r>
          </w:p>
        </w:tc>
        <w:tc>
          <w:tcPr>
            <w:tcW w:type="dxa" w:w="1584"/>
            <w:shd w:fill="FFFFFF"/>
            <w:tcMar>
              <w:top w:w="100" w:type="dxa"/>
              <w:bottom w:w="100" w:type="dxa"/>
              <w:left w:w="150" w:type="dxa"/>
              <w:right w:w="150" w:type="dxa"/>
            </w:tcMar>
          </w:tcPr>
          <w:p>
            <w:pPr>
              <w:jc w:val="center"/>
            </w:pPr>
            <w:r>
              <w:rPr>
                <w:sz w:val="19"/>
              </w:rPr>
              <w:t>0.87</w:t>
            </w:r>
          </w:p>
        </w:tc>
        <w:tc>
          <w:tcPr>
            <w:tcW w:type="dxa" w:w="1872"/>
            <w:shd w:fill="FFFFFF"/>
            <w:tcMar>
              <w:top w:w="100" w:type="dxa"/>
              <w:bottom w:w="100" w:type="dxa"/>
              <w:left w:w="150" w:type="dxa"/>
              <w:right w:w="150" w:type="dxa"/>
            </w:tcMar>
          </w:tcPr>
          <w:p>
            <w:pPr>
              <w:jc w:val="center"/>
            </w:pPr>
            <w:r>
              <w:rPr>
                <w:sz w:val="19"/>
              </w:rPr>
              <w:t>0.82</w:t>
            </w:r>
          </w:p>
        </w:tc>
        <w:tc>
          <w:tcPr>
            <w:tcW w:type="dxa" w:w="1584"/>
            <w:shd w:fill="FFFFFF"/>
            <w:tcMar>
              <w:top w:w="100" w:type="dxa"/>
              <w:bottom w:w="100" w:type="dxa"/>
              <w:left w:w="150" w:type="dxa"/>
              <w:right w:w="150" w:type="dxa"/>
            </w:tcMar>
          </w:tcPr>
          <w:p>
            <w:pPr>
              <w:jc w:val="center"/>
            </w:pPr>
            <w:r>
              <w:rPr>
                <w:sz w:val="19"/>
              </w:rPr>
              <w:t>0.84</w:t>
            </w:r>
          </w:p>
        </w:tc>
        <w:tc>
          <w:tcPr>
            <w:tcW w:type="dxa" w:w="1728"/>
            <w:shd w:fill="FFFFFF"/>
            <w:tcMar>
              <w:top w:w="100" w:type="dxa"/>
              <w:bottom w:w="100" w:type="dxa"/>
              <w:left w:w="150" w:type="dxa"/>
              <w:right w:w="150" w:type="dxa"/>
            </w:tcMar>
          </w:tcPr>
          <w:p>
            <w:pPr>
              <w:jc w:val="left"/>
            </w:pPr>
            <w:r>
              <w:rPr>
                <w:sz w:val="19"/>
              </w:rPr>
              <w:t>1,035 Accounts</w:t>
            </w:r>
          </w:p>
        </w:tc>
      </w:tr>
      <w:tr>
        <w:trPr>
          <w:cantSplit/>
        </w:trPr>
        <w:tc>
          <w:tcPr>
            <w:tcW w:type="dxa" w:w="2880"/>
            <w:shd w:fill="F7FAFC"/>
            <w:tcMar>
              <w:top w:w="100" w:type="dxa"/>
              <w:bottom w:w="100" w:type="dxa"/>
              <w:left w:w="150" w:type="dxa"/>
              <w:right w:w="150" w:type="dxa"/>
            </w:tcMar>
          </w:tcPr>
          <w:p>
            <w:pPr>
              <w:jc w:val="left"/>
            </w:pPr>
            <w:r>
              <w:rPr>
                <w:sz w:val="19"/>
              </w:rPr>
              <w:t>Class 1: Churned / At-Risk</w:t>
            </w:r>
          </w:p>
        </w:tc>
        <w:tc>
          <w:tcPr>
            <w:tcW w:type="dxa" w:w="1584"/>
            <w:shd w:fill="F7FAFC"/>
            <w:tcMar>
              <w:top w:w="100" w:type="dxa"/>
              <w:bottom w:w="100" w:type="dxa"/>
              <w:left w:w="150" w:type="dxa"/>
              <w:right w:w="150" w:type="dxa"/>
            </w:tcMar>
          </w:tcPr>
          <w:p>
            <w:pPr>
              <w:jc w:val="center"/>
            </w:pPr>
            <w:r>
              <w:rPr>
                <w:sz w:val="19"/>
              </w:rPr>
              <w:t>0.64</w:t>
            </w:r>
          </w:p>
        </w:tc>
        <w:tc>
          <w:tcPr>
            <w:tcW w:type="dxa" w:w="1872"/>
            <w:shd w:fill="F7FAFC"/>
            <w:tcMar>
              <w:top w:w="100" w:type="dxa"/>
              <w:bottom w:w="100" w:type="dxa"/>
              <w:left w:w="150" w:type="dxa"/>
              <w:right w:w="150" w:type="dxa"/>
            </w:tcMar>
          </w:tcPr>
          <w:p>
            <w:pPr>
              <w:jc w:val="center"/>
            </w:pPr>
            <w:r>
              <w:rPr>
                <w:sz w:val="19"/>
              </w:rPr>
              <w:t>0.68</w:t>
            </w:r>
          </w:p>
        </w:tc>
        <w:tc>
          <w:tcPr>
            <w:tcW w:type="dxa" w:w="1584"/>
            <w:shd w:fill="F7FAFC"/>
            <w:tcMar>
              <w:top w:w="100" w:type="dxa"/>
              <w:bottom w:w="100" w:type="dxa"/>
              <w:left w:w="150" w:type="dxa"/>
              <w:right w:w="150" w:type="dxa"/>
            </w:tcMar>
          </w:tcPr>
          <w:p>
            <w:pPr>
              <w:jc w:val="center"/>
            </w:pPr>
            <w:r>
              <w:rPr>
                <w:sz w:val="19"/>
              </w:rPr>
              <w:t>0.66</w:t>
            </w:r>
          </w:p>
        </w:tc>
        <w:tc>
          <w:tcPr>
            <w:tcW w:type="dxa" w:w="1728"/>
            <w:shd w:fill="F7FAFC"/>
            <w:tcMar>
              <w:top w:w="100" w:type="dxa"/>
              <w:bottom w:w="100" w:type="dxa"/>
              <w:left w:w="150" w:type="dxa"/>
              <w:right w:w="150" w:type="dxa"/>
            </w:tcMar>
          </w:tcPr>
          <w:p>
            <w:pPr>
              <w:jc w:val="left"/>
            </w:pPr>
            <w:r>
              <w:rPr>
                <w:sz w:val="19"/>
              </w:rPr>
              <w:t>374 Accounts</w:t>
            </w:r>
          </w:p>
        </w:tc>
      </w:tr>
      <w:tr>
        <w:trPr>
          <w:cantSplit/>
        </w:trPr>
        <w:tc>
          <w:tcPr>
            <w:tcW w:type="dxa" w:w="2880"/>
            <w:shd w:fill="FFFFFF"/>
            <w:tcMar>
              <w:top w:w="100" w:type="dxa"/>
              <w:bottom w:w="100" w:type="dxa"/>
              <w:left w:w="150" w:type="dxa"/>
              <w:right w:w="150" w:type="dxa"/>
            </w:tcMar>
          </w:tcPr>
          <w:p>
            <w:pPr>
              <w:jc w:val="left"/>
            </w:pPr>
            <w:r>
              <w:rPr>
                <w:b/>
                <w:sz w:val="19"/>
              </w:rPr>
              <w:t>Global Accuracy Metric</w:t>
            </w:r>
          </w:p>
        </w:tc>
        <w:tc>
          <w:tcPr>
            <w:tcW w:type="dxa" w:w="1584"/>
            <w:shd w:fill="FFFFFF"/>
            <w:tcMar>
              <w:top w:w="100" w:type="dxa"/>
              <w:bottom w:w="100" w:type="dxa"/>
              <w:left w:w="150" w:type="dxa"/>
              <w:right w:w="150" w:type="dxa"/>
            </w:tcMar>
          </w:tcPr>
          <w:p>
            <w:pPr>
              <w:jc w:val="center"/>
            </w:pPr>
            <w:r>
              <w:rPr>
                <w:b/>
                <w:sz w:val="19"/>
              </w:rPr>
              <w:t>-</w:t>
            </w:r>
          </w:p>
        </w:tc>
        <w:tc>
          <w:tcPr>
            <w:tcW w:type="dxa" w:w="1872"/>
            <w:shd w:fill="FFFFFF"/>
            <w:tcMar>
              <w:top w:w="100" w:type="dxa"/>
              <w:bottom w:w="100" w:type="dxa"/>
              <w:left w:w="150" w:type="dxa"/>
              <w:right w:w="150" w:type="dxa"/>
            </w:tcMar>
          </w:tcPr>
          <w:p>
            <w:pPr>
              <w:jc w:val="center"/>
            </w:pPr>
            <w:r>
              <w:rPr>
                <w:b/>
                <w:sz w:val="19"/>
              </w:rPr>
              <w:t>-</w:t>
            </w:r>
          </w:p>
        </w:tc>
        <w:tc>
          <w:tcPr>
            <w:tcW w:type="dxa" w:w="1584"/>
            <w:shd w:fill="FFFFFF"/>
            <w:tcMar>
              <w:top w:w="100" w:type="dxa"/>
              <w:bottom w:w="100" w:type="dxa"/>
              <w:left w:w="150" w:type="dxa"/>
              <w:right w:w="150" w:type="dxa"/>
            </w:tcMar>
          </w:tcPr>
          <w:p>
            <w:pPr>
              <w:jc w:val="center"/>
            </w:pPr>
            <w:r>
              <w:rPr>
                <w:b/>
                <w:sz w:val="19"/>
              </w:rPr>
              <w:t>0.81</w:t>
            </w:r>
          </w:p>
        </w:tc>
        <w:tc>
          <w:tcPr>
            <w:tcW w:type="dxa" w:w="1728"/>
            <w:shd w:fill="FFFFFF"/>
            <w:tcMar>
              <w:top w:w="100" w:type="dxa"/>
              <w:bottom w:w="100" w:type="dxa"/>
              <w:left w:w="150" w:type="dxa"/>
              <w:right w:w="150" w:type="dxa"/>
            </w:tcMar>
          </w:tcPr>
          <w:p>
            <w:pPr>
              <w:jc w:val="left"/>
            </w:pPr>
            <w:r>
              <w:rPr>
                <w:b/>
                <w:sz w:val="19"/>
              </w:rPr>
              <w:t>1,409 Accounts</w:t>
            </w:r>
          </w:p>
        </w:tc>
      </w:tr>
      <w:tr>
        <w:trPr>
          <w:cantSplit/>
        </w:trPr>
        <w:tc>
          <w:tcPr>
            <w:tcW w:type="dxa" w:w="2880"/>
            <w:shd w:fill="F7FAFC"/>
            <w:tcMar>
              <w:top w:w="100" w:type="dxa"/>
              <w:bottom w:w="100" w:type="dxa"/>
              <w:left w:w="150" w:type="dxa"/>
              <w:right w:w="150" w:type="dxa"/>
            </w:tcMar>
          </w:tcPr>
          <w:p>
            <w:pPr>
              <w:jc w:val="left"/>
            </w:pPr>
            <w:r>
              <w:rPr>
                <w:b/>
                <w:sz w:val="19"/>
              </w:rPr>
              <w:t>Global AUC-ROC Metric</w:t>
            </w:r>
          </w:p>
        </w:tc>
        <w:tc>
          <w:tcPr>
            <w:tcW w:type="dxa" w:w="1584"/>
            <w:shd w:fill="F7FAFC"/>
            <w:tcMar>
              <w:top w:w="100" w:type="dxa"/>
              <w:bottom w:w="100" w:type="dxa"/>
              <w:left w:w="150" w:type="dxa"/>
              <w:right w:w="150" w:type="dxa"/>
            </w:tcMar>
          </w:tcPr>
          <w:p>
            <w:pPr>
              <w:jc w:val="center"/>
            </w:pPr>
            <w:r>
              <w:rPr>
                <w:b/>
                <w:sz w:val="19"/>
              </w:rPr>
              <w:t>-</w:t>
            </w:r>
          </w:p>
        </w:tc>
        <w:tc>
          <w:tcPr>
            <w:tcW w:type="dxa" w:w="1872"/>
            <w:shd w:fill="F7FAFC"/>
            <w:tcMar>
              <w:top w:w="100" w:type="dxa"/>
              <w:bottom w:w="100" w:type="dxa"/>
              <w:left w:w="150" w:type="dxa"/>
              <w:right w:w="150" w:type="dxa"/>
            </w:tcMar>
          </w:tcPr>
          <w:p>
            <w:pPr>
              <w:jc w:val="center"/>
            </w:pPr>
            <w:r>
              <w:rPr>
                <w:b/>
                <w:sz w:val="19"/>
              </w:rPr>
              <w:t>-</w:t>
            </w:r>
          </w:p>
        </w:tc>
        <w:tc>
          <w:tcPr>
            <w:tcW w:type="dxa" w:w="1584"/>
            <w:shd w:fill="F7FAFC"/>
            <w:tcMar>
              <w:top w:w="100" w:type="dxa"/>
              <w:bottom w:w="100" w:type="dxa"/>
              <w:left w:w="150" w:type="dxa"/>
              <w:right w:w="150" w:type="dxa"/>
            </w:tcMar>
          </w:tcPr>
          <w:p>
            <w:pPr>
              <w:jc w:val="center"/>
            </w:pPr>
            <w:r>
              <w:rPr>
                <w:b/>
                <w:sz w:val="19"/>
              </w:rPr>
              <w:t>0.8267</w:t>
            </w:r>
          </w:p>
        </w:tc>
        <w:tc>
          <w:tcPr>
            <w:tcW w:type="dxa" w:w="1728"/>
            <w:shd w:fill="F7FAFC"/>
            <w:tcMar>
              <w:top w:w="100" w:type="dxa"/>
              <w:bottom w:w="100" w:type="dxa"/>
              <w:left w:w="150" w:type="dxa"/>
              <w:right w:w="150" w:type="dxa"/>
            </w:tcMar>
          </w:tcPr>
          <w:p>
            <w:pPr>
              <w:jc w:val="left"/>
            </w:pPr>
            <w:r>
              <w:rPr>
                <w:b/>
                <w:sz w:val="19"/>
              </w:rPr>
              <w:t>Area Under Curve</w:t>
            </w:r>
          </w:p>
        </w:tc>
      </w:tr>
    </w:tbl>
    <w:p>
      <w:pPr>
        <w:spacing w:before="240"/>
      </w:pPr>
    </w:p>
    <w:p>
      <w:pPr>
        <w:pStyle w:val="Heading1"/>
        <w:keepNext/>
        <w:spacing w:before="240" w:after="120"/>
      </w:pPr>
      <w:r>
        <w:rPr>
          <w:rFonts w:ascii="Arial" w:hAnsi="Arial"/>
          <w:b/>
          <w:color w:val="1A365D"/>
          <w:sz w:val="36"/>
        </w:rPr>
        <w:t>Decision Cutoff Calibration &amp; Operational Insights</w:t>
      </w:r>
    </w:p>
    <w:p>
      <w:pPr>
        <w:spacing w:after="200" w:line="276" w:lineRule="auto"/>
      </w:pPr>
      <w:r>
        <w:t>The primary performance driver in this pipeline was the implementation of the Decision Cutoff Optimization Suite. Standard out-of-the-box machine learning tools rely on an arbitrary probability cutoff of 0.50 to assign classification labels. However, under imbalanced class conditions, a 0.50 cutoff leads to high false negative counts, causing the model to miss critical churn risks. By programmatically scanning continuous decision thresholds from 0.10 through 0.90, the system identified an optimal decision cutoff at 0.41.  Shifting the cutoff to 0.41 successfully lifted Class 1 Precision from 0.53 to 0.64 while sustaining an excellent 68% True Positive catch rate, directly maximizing the business return on retention campaigns.</w:t>
      </w:r>
    </w:p>
    <w:p>
      <w:pPr>
        <w:spacing w:after="280" w:line="276" w:lineRule="auto"/>
      </w:pPr>
      <w:r>
        <w:t>Analysis of the model's feature importance weights revealed the primary operational drivers behind customer churn. The strongest predictive signals included tenure length, monthly charge metrics, and account subscription parameters. Specifically, short-tenure customers on month-to-month contracts who paid via electronic check and were subscribed to premium fiber-optic tiers exhibited a significantly higher propensity to churn. This allows retention teams to deploy targeted campaigns to specific consumer subgroups well ahead of time, turning raw model insights into proactive business retention strategies.</w:t>
      </w:r>
    </w:p>
    <w:p>
      <w:pPr>
        <w:pStyle w:val="Heading1"/>
        <w:keepNext/>
        <w:spacing w:before="240" w:after="120"/>
      </w:pPr>
      <w:r>
        <w:rPr>
          <w:rFonts w:ascii="Arial" w:hAnsi="Arial"/>
          <w:b/>
          <w:color w:val="1A365D"/>
          <w:sz w:val="36"/>
        </w:rPr>
        <w:t>Monolithic Storage Production Serialization</w:t>
      </w:r>
    </w:p>
    <w:p>
      <w:pPr>
        <w:spacing w:after="480" w:line="276" w:lineRule="auto"/>
      </w:pPr>
      <w:r>
        <w:t>To ensure smooth real-time web application deployment, the complete engineering infrastructure was streamlined and compiled into a single deployment asset using joblib serialization. This single object packages all pipeline requirements together, including: the trained XGBoost structural weights, the full categorical feature columns index schema, the continuous numeric Z-score scale transforms, and the optimized 0.41 decision cutoff property. Dropping heavy tracking checkpoints results in an ultra-clean, production-ready model file ('churn_prediction_production_model.pkl') that can be instantly integrated into any production API microservice or web application dashboard.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