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caps w:val="0"/>
          <w:sz w:val="22"/>
          <w:szCs w:val="22"/>
        </w:rPr>
        <w:id w:val="1620178691"/>
        <w:docPartObj>
          <w:docPartGallery w:val="Table of Contents"/>
          <w:docPartUnique/>
        </w:docPartObj>
      </w:sdtPr>
      <w:sdtEndPr>
        <w:rPr>
          <w:bCs/>
          <w:noProof/>
        </w:rPr>
      </w:sdtEndPr>
      <w:sdtContent>
        <w:p w14:paraId="0D66BD05" w14:textId="57AF7416" w:rsidR="00FE5942" w:rsidRDefault="00FE5942" w:rsidP="007710F1">
          <w:pPr>
            <w:pStyle w:val="TOCHeading"/>
            <w:tabs>
              <w:tab w:val="left" w:pos="3075"/>
            </w:tabs>
          </w:pPr>
          <w:r>
            <w:t>Contents</w:t>
          </w:r>
          <w:r w:rsidR="007710F1">
            <w:tab/>
          </w:r>
        </w:p>
        <w:p w14:paraId="7DFED741" w14:textId="1B48941E" w:rsidR="00FE5942" w:rsidRDefault="00FE5942">
          <w:pPr>
            <w:pStyle w:val="TOC2"/>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0011547" w:history="1">
            <w:r w:rsidRPr="000F7499">
              <w:rPr>
                <w:rStyle w:val="Hyperlink"/>
                <w:noProof/>
              </w:rPr>
              <w:t>1. Executive Summary</w:t>
            </w:r>
            <w:r>
              <w:rPr>
                <w:noProof/>
                <w:webHidden/>
              </w:rPr>
              <w:tab/>
            </w:r>
            <w:r>
              <w:rPr>
                <w:noProof/>
                <w:webHidden/>
              </w:rPr>
              <w:fldChar w:fldCharType="begin"/>
            </w:r>
            <w:r>
              <w:rPr>
                <w:noProof/>
                <w:webHidden/>
              </w:rPr>
              <w:instrText xml:space="preserve"> PAGEREF _Toc220011547 \h </w:instrText>
            </w:r>
            <w:r>
              <w:rPr>
                <w:noProof/>
                <w:webHidden/>
              </w:rPr>
            </w:r>
            <w:r>
              <w:rPr>
                <w:noProof/>
                <w:webHidden/>
              </w:rPr>
              <w:fldChar w:fldCharType="separate"/>
            </w:r>
            <w:r w:rsidR="007710F1">
              <w:rPr>
                <w:noProof/>
                <w:webHidden/>
              </w:rPr>
              <w:t>1</w:t>
            </w:r>
            <w:r>
              <w:rPr>
                <w:noProof/>
                <w:webHidden/>
              </w:rPr>
              <w:fldChar w:fldCharType="end"/>
            </w:r>
          </w:hyperlink>
        </w:p>
        <w:p w14:paraId="3494D9F1" w14:textId="749F3DCC" w:rsidR="00FE5942" w:rsidRDefault="00FE5942">
          <w:pPr>
            <w:pStyle w:val="TOC2"/>
            <w:tabs>
              <w:tab w:val="right" w:leader="dot" w:pos="9350"/>
            </w:tabs>
            <w:rPr>
              <w:rFonts w:eastAsiaTheme="minorEastAsia"/>
              <w:noProof/>
              <w:kern w:val="2"/>
              <w:sz w:val="24"/>
              <w:szCs w:val="24"/>
              <w14:ligatures w14:val="standardContextual"/>
            </w:rPr>
          </w:pPr>
          <w:hyperlink w:anchor="_Toc220011548" w:history="1">
            <w:r w:rsidRPr="000F7499">
              <w:rPr>
                <w:rStyle w:val="Hyperlink"/>
                <w:noProof/>
              </w:rPr>
              <w:t>2. Module I: AMM Microstructure &amp; Impermanent Loss</w:t>
            </w:r>
            <w:r>
              <w:rPr>
                <w:noProof/>
                <w:webHidden/>
              </w:rPr>
              <w:tab/>
            </w:r>
            <w:r>
              <w:rPr>
                <w:noProof/>
                <w:webHidden/>
              </w:rPr>
              <w:fldChar w:fldCharType="begin"/>
            </w:r>
            <w:r>
              <w:rPr>
                <w:noProof/>
                <w:webHidden/>
              </w:rPr>
              <w:instrText xml:space="preserve"> PAGEREF _Toc220011548 \h </w:instrText>
            </w:r>
            <w:r>
              <w:rPr>
                <w:noProof/>
                <w:webHidden/>
              </w:rPr>
            </w:r>
            <w:r>
              <w:rPr>
                <w:noProof/>
                <w:webHidden/>
              </w:rPr>
              <w:fldChar w:fldCharType="separate"/>
            </w:r>
            <w:r w:rsidR="007710F1">
              <w:rPr>
                <w:noProof/>
                <w:webHidden/>
              </w:rPr>
              <w:t>1</w:t>
            </w:r>
            <w:r>
              <w:rPr>
                <w:noProof/>
                <w:webHidden/>
              </w:rPr>
              <w:fldChar w:fldCharType="end"/>
            </w:r>
          </w:hyperlink>
        </w:p>
        <w:p w14:paraId="4D79B9CF" w14:textId="111A7983" w:rsidR="00FE5942" w:rsidRDefault="00FE5942">
          <w:pPr>
            <w:pStyle w:val="TOC3"/>
            <w:tabs>
              <w:tab w:val="right" w:leader="dot" w:pos="9350"/>
            </w:tabs>
            <w:rPr>
              <w:rFonts w:eastAsiaTheme="minorEastAsia"/>
              <w:noProof/>
              <w:kern w:val="2"/>
              <w:sz w:val="24"/>
              <w:szCs w:val="24"/>
              <w14:ligatures w14:val="standardContextual"/>
            </w:rPr>
          </w:pPr>
          <w:hyperlink w:anchor="_Toc220011549" w:history="1">
            <w:r w:rsidRPr="000F7499">
              <w:rPr>
                <w:rStyle w:val="Hyperlink"/>
                <w:noProof/>
              </w:rPr>
              <w:t>2.1 The Mathematics of Slippage</w:t>
            </w:r>
            <w:r>
              <w:rPr>
                <w:noProof/>
                <w:webHidden/>
              </w:rPr>
              <w:tab/>
            </w:r>
            <w:r>
              <w:rPr>
                <w:noProof/>
                <w:webHidden/>
              </w:rPr>
              <w:fldChar w:fldCharType="begin"/>
            </w:r>
            <w:r>
              <w:rPr>
                <w:noProof/>
                <w:webHidden/>
              </w:rPr>
              <w:instrText xml:space="preserve"> PAGEREF _Toc220011549 \h </w:instrText>
            </w:r>
            <w:r>
              <w:rPr>
                <w:noProof/>
                <w:webHidden/>
              </w:rPr>
            </w:r>
            <w:r>
              <w:rPr>
                <w:noProof/>
                <w:webHidden/>
              </w:rPr>
              <w:fldChar w:fldCharType="separate"/>
            </w:r>
            <w:r w:rsidR="007710F1">
              <w:rPr>
                <w:noProof/>
                <w:webHidden/>
              </w:rPr>
              <w:t>1</w:t>
            </w:r>
            <w:r>
              <w:rPr>
                <w:noProof/>
                <w:webHidden/>
              </w:rPr>
              <w:fldChar w:fldCharType="end"/>
            </w:r>
          </w:hyperlink>
        </w:p>
        <w:p w14:paraId="51DA0A12" w14:textId="386B0BE3" w:rsidR="00FE5942" w:rsidRDefault="00FE5942">
          <w:pPr>
            <w:pStyle w:val="TOC3"/>
            <w:tabs>
              <w:tab w:val="right" w:leader="dot" w:pos="9350"/>
            </w:tabs>
            <w:rPr>
              <w:rFonts w:eastAsiaTheme="minorEastAsia"/>
              <w:noProof/>
              <w:kern w:val="2"/>
              <w:sz w:val="24"/>
              <w:szCs w:val="24"/>
              <w14:ligatures w14:val="standardContextual"/>
            </w:rPr>
          </w:pPr>
          <w:hyperlink w:anchor="_Toc220011550" w:history="1">
            <w:r w:rsidRPr="000F7499">
              <w:rPr>
                <w:rStyle w:val="Hyperlink"/>
                <w:noProof/>
              </w:rPr>
              <w:t>2.2 Quantifying Impermanent Loss (IL)</w:t>
            </w:r>
            <w:r>
              <w:rPr>
                <w:noProof/>
                <w:webHidden/>
              </w:rPr>
              <w:tab/>
            </w:r>
            <w:r>
              <w:rPr>
                <w:noProof/>
                <w:webHidden/>
              </w:rPr>
              <w:fldChar w:fldCharType="begin"/>
            </w:r>
            <w:r>
              <w:rPr>
                <w:noProof/>
                <w:webHidden/>
              </w:rPr>
              <w:instrText xml:space="preserve"> PAGEREF _Toc220011550 \h </w:instrText>
            </w:r>
            <w:r>
              <w:rPr>
                <w:noProof/>
                <w:webHidden/>
              </w:rPr>
            </w:r>
            <w:r>
              <w:rPr>
                <w:noProof/>
                <w:webHidden/>
              </w:rPr>
              <w:fldChar w:fldCharType="separate"/>
            </w:r>
            <w:r w:rsidR="007710F1">
              <w:rPr>
                <w:noProof/>
                <w:webHidden/>
              </w:rPr>
              <w:t>2</w:t>
            </w:r>
            <w:r>
              <w:rPr>
                <w:noProof/>
                <w:webHidden/>
              </w:rPr>
              <w:fldChar w:fldCharType="end"/>
            </w:r>
          </w:hyperlink>
        </w:p>
        <w:p w14:paraId="34C14682" w14:textId="20386A38" w:rsidR="00FE5942" w:rsidRDefault="00FE5942">
          <w:pPr>
            <w:pStyle w:val="TOC2"/>
            <w:tabs>
              <w:tab w:val="right" w:leader="dot" w:pos="9350"/>
            </w:tabs>
            <w:rPr>
              <w:rFonts w:eastAsiaTheme="minorEastAsia"/>
              <w:noProof/>
              <w:kern w:val="2"/>
              <w:sz w:val="24"/>
              <w:szCs w:val="24"/>
              <w14:ligatures w14:val="standardContextual"/>
            </w:rPr>
          </w:pPr>
          <w:hyperlink w:anchor="_Toc220011551" w:history="1">
            <w:r w:rsidRPr="000F7499">
              <w:rPr>
                <w:rStyle w:val="Hyperlink"/>
                <w:noProof/>
              </w:rPr>
              <w:t>3. Module II: High-Frequency Statistical Arbitrage</w:t>
            </w:r>
            <w:r>
              <w:rPr>
                <w:noProof/>
                <w:webHidden/>
              </w:rPr>
              <w:tab/>
            </w:r>
            <w:r>
              <w:rPr>
                <w:noProof/>
                <w:webHidden/>
              </w:rPr>
              <w:fldChar w:fldCharType="begin"/>
            </w:r>
            <w:r>
              <w:rPr>
                <w:noProof/>
                <w:webHidden/>
              </w:rPr>
              <w:instrText xml:space="preserve"> PAGEREF _Toc220011551 \h </w:instrText>
            </w:r>
            <w:r>
              <w:rPr>
                <w:noProof/>
                <w:webHidden/>
              </w:rPr>
            </w:r>
            <w:r>
              <w:rPr>
                <w:noProof/>
                <w:webHidden/>
              </w:rPr>
              <w:fldChar w:fldCharType="separate"/>
            </w:r>
            <w:r w:rsidR="007710F1">
              <w:rPr>
                <w:noProof/>
                <w:webHidden/>
              </w:rPr>
              <w:t>3</w:t>
            </w:r>
            <w:r>
              <w:rPr>
                <w:noProof/>
                <w:webHidden/>
              </w:rPr>
              <w:fldChar w:fldCharType="end"/>
            </w:r>
          </w:hyperlink>
        </w:p>
        <w:p w14:paraId="75BAA744" w14:textId="0CD9AB8B" w:rsidR="00FE5942" w:rsidRDefault="00FE5942">
          <w:pPr>
            <w:pStyle w:val="TOC3"/>
            <w:tabs>
              <w:tab w:val="right" w:leader="dot" w:pos="9350"/>
            </w:tabs>
            <w:rPr>
              <w:rFonts w:eastAsiaTheme="minorEastAsia"/>
              <w:noProof/>
              <w:kern w:val="2"/>
              <w:sz w:val="24"/>
              <w:szCs w:val="24"/>
              <w14:ligatures w14:val="standardContextual"/>
            </w:rPr>
          </w:pPr>
          <w:hyperlink w:anchor="_Toc220011552" w:history="1">
            <w:r w:rsidRPr="000F7499">
              <w:rPr>
                <w:rStyle w:val="Hyperlink"/>
                <w:noProof/>
              </w:rPr>
              <w:t>3.1 Cointegration Analysis</w:t>
            </w:r>
            <w:r>
              <w:rPr>
                <w:noProof/>
                <w:webHidden/>
              </w:rPr>
              <w:tab/>
            </w:r>
            <w:r>
              <w:rPr>
                <w:noProof/>
                <w:webHidden/>
              </w:rPr>
              <w:fldChar w:fldCharType="begin"/>
            </w:r>
            <w:r>
              <w:rPr>
                <w:noProof/>
                <w:webHidden/>
              </w:rPr>
              <w:instrText xml:space="preserve"> PAGEREF _Toc220011552 \h </w:instrText>
            </w:r>
            <w:r>
              <w:rPr>
                <w:noProof/>
                <w:webHidden/>
              </w:rPr>
            </w:r>
            <w:r>
              <w:rPr>
                <w:noProof/>
                <w:webHidden/>
              </w:rPr>
              <w:fldChar w:fldCharType="separate"/>
            </w:r>
            <w:r w:rsidR="007710F1">
              <w:rPr>
                <w:noProof/>
                <w:webHidden/>
              </w:rPr>
              <w:t>3</w:t>
            </w:r>
            <w:r>
              <w:rPr>
                <w:noProof/>
                <w:webHidden/>
              </w:rPr>
              <w:fldChar w:fldCharType="end"/>
            </w:r>
          </w:hyperlink>
        </w:p>
        <w:p w14:paraId="14AFC4D5" w14:textId="1214A2DF" w:rsidR="00FE5942" w:rsidRDefault="00FE5942">
          <w:pPr>
            <w:pStyle w:val="TOC3"/>
            <w:tabs>
              <w:tab w:val="right" w:leader="dot" w:pos="9350"/>
            </w:tabs>
            <w:rPr>
              <w:rFonts w:eastAsiaTheme="minorEastAsia"/>
              <w:noProof/>
              <w:kern w:val="2"/>
              <w:sz w:val="24"/>
              <w:szCs w:val="24"/>
              <w14:ligatures w14:val="standardContextual"/>
            </w:rPr>
          </w:pPr>
          <w:hyperlink w:anchor="_Toc220011553" w:history="1">
            <w:r w:rsidRPr="000F7499">
              <w:rPr>
                <w:rStyle w:val="Hyperlink"/>
                <w:noProof/>
              </w:rPr>
              <w:t>3.2 Strategy Performance</w:t>
            </w:r>
            <w:r>
              <w:rPr>
                <w:noProof/>
                <w:webHidden/>
              </w:rPr>
              <w:tab/>
            </w:r>
            <w:r>
              <w:rPr>
                <w:noProof/>
                <w:webHidden/>
              </w:rPr>
              <w:fldChar w:fldCharType="begin"/>
            </w:r>
            <w:r>
              <w:rPr>
                <w:noProof/>
                <w:webHidden/>
              </w:rPr>
              <w:instrText xml:space="preserve"> PAGEREF _Toc220011553 \h </w:instrText>
            </w:r>
            <w:r>
              <w:rPr>
                <w:noProof/>
                <w:webHidden/>
              </w:rPr>
            </w:r>
            <w:r>
              <w:rPr>
                <w:noProof/>
                <w:webHidden/>
              </w:rPr>
              <w:fldChar w:fldCharType="separate"/>
            </w:r>
            <w:r w:rsidR="007710F1">
              <w:rPr>
                <w:noProof/>
                <w:webHidden/>
              </w:rPr>
              <w:t>4</w:t>
            </w:r>
            <w:r>
              <w:rPr>
                <w:noProof/>
                <w:webHidden/>
              </w:rPr>
              <w:fldChar w:fldCharType="end"/>
            </w:r>
          </w:hyperlink>
        </w:p>
        <w:p w14:paraId="361ECCDC" w14:textId="30BBA4FE" w:rsidR="00FE5942" w:rsidRDefault="00FE5942">
          <w:pPr>
            <w:pStyle w:val="TOC2"/>
            <w:tabs>
              <w:tab w:val="right" w:leader="dot" w:pos="9350"/>
            </w:tabs>
            <w:rPr>
              <w:rFonts w:eastAsiaTheme="minorEastAsia"/>
              <w:noProof/>
              <w:kern w:val="2"/>
              <w:sz w:val="24"/>
              <w:szCs w:val="24"/>
              <w14:ligatures w14:val="standardContextual"/>
            </w:rPr>
          </w:pPr>
          <w:hyperlink w:anchor="_Toc220011554" w:history="1">
            <w:r w:rsidRPr="000F7499">
              <w:rPr>
                <w:rStyle w:val="Hyperlink"/>
                <w:noProof/>
              </w:rPr>
              <w:t>4. Module III: Stochastic Risk Modeling (Monte Carlo)</w:t>
            </w:r>
            <w:r>
              <w:rPr>
                <w:noProof/>
                <w:webHidden/>
              </w:rPr>
              <w:tab/>
            </w:r>
            <w:r>
              <w:rPr>
                <w:noProof/>
                <w:webHidden/>
              </w:rPr>
              <w:fldChar w:fldCharType="begin"/>
            </w:r>
            <w:r>
              <w:rPr>
                <w:noProof/>
                <w:webHidden/>
              </w:rPr>
              <w:instrText xml:space="preserve"> PAGEREF _Toc220011554 \h </w:instrText>
            </w:r>
            <w:r>
              <w:rPr>
                <w:noProof/>
                <w:webHidden/>
              </w:rPr>
            </w:r>
            <w:r>
              <w:rPr>
                <w:noProof/>
                <w:webHidden/>
              </w:rPr>
              <w:fldChar w:fldCharType="separate"/>
            </w:r>
            <w:r w:rsidR="007710F1">
              <w:rPr>
                <w:noProof/>
                <w:webHidden/>
              </w:rPr>
              <w:t>4</w:t>
            </w:r>
            <w:r>
              <w:rPr>
                <w:noProof/>
                <w:webHidden/>
              </w:rPr>
              <w:fldChar w:fldCharType="end"/>
            </w:r>
          </w:hyperlink>
        </w:p>
        <w:p w14:paraId="56A5F793" w14:textId="22E330D3" w:rsidR="00FE5942" w:rsidRDefault="00FE5942">
          <w:pPr>
            <w:pStyle w:val="TOC3"/>
            <w:tabs>
              <w:tab w:val="right" w:leader="dot" w:pos="9350"/>
            </w:tabs>
            <w:rPr>
              <w:rFonts w:eastAsiaTheme="minorEastAsia"/>
              <w:noProof/>
              <w:kern w:val="2"/>
              <w:sz w:val="24"/>
              <w:szCs w:val="24"/>
              <w14:ligatures w14:val="standardContextual"/>
            </w:rPr>
          </w:pPr>
          <w:hyperlink w:anchor="_Toc220011555" w:history="1">
            <w:r w:rsidRPr="000F7499">
              <w:rPr>
                <w:rStyle w:val="Hyperlink"/>
                <w:noProof/>
              </w:rPr>
              <w:t>4.1 Methodology</w:t>
            </w:r>
            <w:r>
              <w:rPr>
                <w:noProof/>
                <w:webHidden/>
              </w:rPr>
              <w:tab/>
            </w:r>
            <w:r>
              <w:rPr>
                <w:noProof/>
                <w:webHidden/>
              </w:rPr>
              <w:fldChar w:fldCharType="begin"/>
            </w:r>
            <w:r>
              <w:rPr>
                <w:noProof/>
                <w:webHidden/>
              </w:rPr>
              <w:instrText xml:space="preserve"> PAGEREF _Toc220011555 \h </w:instrText>
            </w:r>
            <w:r>
              <w:rPr>
                <w:noProof/>
                <w:webHidden/>
              </w:rPr>
            </w:r>
            <w:r>
              <w:rPr>
                <w:noProof/>
                <w:webHidden/>
              </w:rPr>
              <w:fldChar w:fldCharType="separate"/>
            </w:r>
            <w:r w:rsidR="007710F1">
              <w:rPr>
                <w:noProof/>
                <w:webHidden/>
              </w:rPr>
              <w:t>4</w:t>
            </w:r>
            <w:r>
              <w:rPr>
                <w:noProof/>
                <w:webHidden/>
              </w:rPr>
              <w:fldChar w:fldCharType="end"/>
            </w:r>
          </w:hyperlink>
        </w:p>
        <w:p w14:paraId="3817B292" w14:textId="549714EF" w:rsidR="00FE5942" w:rsidRDefault="00FE5942">
          <w:pPr>
            <w:pStyle w:val="TOC3"/>
            <w:tabs>
              <w:tab w:val="right" w:leader="dot" w:pos="9350"/>
            </w:tabs>
            <w:rPr>
              <w:rFonts w:eastAsiaTheme="minorEastAsia"/>
              <w:noProof/>
              <w:kern w:val="2"/>
              <w:sz w:val="24"/>
              <w:szCs w:val="24"/>
              <w14:ligatures w14:val="standardContextual"/>
            </w:rPr>
          </w:pPr>
          <w:hyperlink w:anchor="_Toc220011556" w:history="1">
            <w:r w:rsidRPr="000F7499">
              <w:rPr>
                <w:rStyle w:val="Hyperlink"/>
                <w:noProof/>
              </w:rPr>
              <w:t>4.2 Risk Metrics</w:t>
            </w:r>
            <w:r>
              <w:rPr>
                <w:noProof/>
                <w:webHidden/>
              </w:rPr>
              <w:tab/>
            </w:r>
            <w:r>
              <w:rPr>
                <w:noProof/>
                <w:webHidden/>
              </w:rPr>
              <w:fldChar w:fldCharType="begin"/>
            </w:r>
            <w:r>
              <w:rPr>
                <w:noProof/>
                <w:webHidden/>
              </w:rPr>
              <w:instrText xml:space="preserve"> PAGEREF _Toc220011556 \h </w:instrText>
            </w:r>
            <w:r>
              <w:rPr>
                <w:noProof/>
                <w:webHidden/>
              </w:rPr>
            </w:r>
            <w:r>
              <w:rPr>
                <w:noProof/>
                <w:webHidden/>
              </w:rPr>
              <w:fldChar w:fldCharType="separate"/>
            </w:r>
            <w:r w:rsidR="007710F1">
              <w:rPr>
                <w:noProof/>
                <w:webHidden/>
              </w:rPr>
              <w:t>5</w:t>
            </w:r>
            <w:r>
              <w:rPr>
                <w:noProof/>
                <w:webHidden/>
              </w:rPr>
              <w:fldChar w:fldCharType="end"/>
            </w:r>
          </w:hyperlink>
        </w:p>
        <w:p w14:paraId="002A61A9" w14:textId="09EBFEB6" w:rsidR="00FE5942" w:rsidRDefault="00FE5942">
          <w:pPr>
            <w:pStyle w:val="TOC2"/>
            <w:tabs>
              <w:tab w:val="right" w:leader="dot" w:pos="9350"/>
            </w:tabs>
            <w:rPr>
              <w:rFonts w:eastAsiaTheme="minorEastAsia"/>
              <w:noProof/>
              <w:kern w:val="2"/>
              <w:sz w:val="24"/>
              <w:szCs w:val="24"/>
              <w14:ligatures w14:val="standardContextual"/>
            </w:rPr>
          </w:pPr>
          <w:hyperlink w:anchor="_Toc220011557" w:history="1">
            <w:r w:rsidRPr="000F7499">
              <w:rPr>
                <w:rStyle w:val="Hyperlink"/>
                <w:noProof/>
              </w:rPr>
              <w:t>5. Module IV: Derivatives Pricing (DeFi Options)</w:t>
            </w:r>
            <w:r>
              <w:rPr>
                <w:noProof/>
                <w:webHidden/>
              </w:rPr>
              <w:tab/>
            </w:r>
            <w:r>
              <w:rPr>
                <w:noProof/>
                <w:webHidden/>
              </w:rPr>
              <w:fldChar w:fldCharType="begin"/>
            </w:r>
            <w:r>
              <w:rPr>
                <w:noProof/>
                <w:webHidden/>
              </w:rPr>
              <w:instrText xml:space="preserve"> PAGEREF _Toc220011557 \h </w:instrText>
            </w:r>
            <w:r>
              <w:rPr>
                <w:noProof/>
                <w:webHidden/>
              </w:rPr>
            </w:r>
            <w:r>
              <w:rPr>
                <w:noProof/>
                <w:webHidden/>
              </w:rPr>
              <w:fldChar w:fldCharType="separate"/>
            </w:r>
            <w:r w:rsidR="007710F1">
              <w:rPr>
                <w:noProof/>
                <w:webHidden/>
              </w:rPr>
              <w:t>6</w:t>
            </w:r>
            <w:r>
              <w:rPr>
                <w:noProof/>
                <w:webHidden/>
              </w:rPr>
              <w:fldChar w:fldCharType="end"/>
            </w:r>
          </w:hyperlink>
        </w:p>
        <w:p w14:paraId="74F142F8" w14:textId="58EFBA96" w:rsidR="00FE5942" w:rsidRDefault="00FE5942">
          <w:pPr>
            <w:pStyle w:val="TOC3"/>
            <w:tabs>
              <w:tab w:val="right" w:leader="dot" w:pos="9350"/>
            </w:tabs>
            <w:rPr>
              <w:rFonts w:eastAsiaTheme="minorEastAsia"/>
              <w:noProof/>
              <w:kern w:val="2"/>
              <w:sz w:val="24"/>
              <w:szCs w:val="24"/>
              <w14:ligatures w14:val="standardContextual"/>
            </w:rPr>
          </w:pPr>
          <w:hyperlink w:anchor="_Toc220011558" w:history="1">
            <w:r w:rsidRPr="000F7499">
              <w:rPr>
                <w:rStyle w:val="Hyperlink"/>
                <w:noProof/>
              </w:rPr>
              <w:t>5.1 Black-Scholes Valuation</w:t>
            </w:r>
            <w:r>
              <w:rPr>
                <w:noProof/>
                <w:webHidden/>
              </w:rPr>
              <w:tab/>
            </w:r>
            <w:r>
              <w:rPr>
                <w:noProof/>
                <w:webHidden/>
              </w:rPr>
              <w:fldChar w:fldCharType="begin"/>
            </w:r>
            <w:r>
              <w:rPr>
                <w:noProof/>
                <w:webHidden/>
              </w:rPr>
              <w:instrText xml:space="preserve"> PAGEREF _Toc220011558 \h </w:instrText>
            </w:r>
            <w:r>
              <w:rPr>
                <w:noProof/>
                <w:webHidden/>
              </w:rPr>
            </w:r>
            <w:r>
              <w:rPr>
                <w:noProof/>
                <w:webHidden/>
              </w:rPr>
              <w:fldChar w:fldCharType="separate"/>
            </w:r>
            <w:r w:rsidR="007710F1">
              <w:rPr>
                <w:noProof/>
                <w:webHidden/>
              </w:rPr>
              <w:t>6</w:t>
            </w:r>
            <w:r>
              <w:rPr>
                <w:noProof/>
                <w:webHidden/>
              </w:rPr>
              <w:fldChar w:fldCharType="end"/>
            </w:r>
          </w:hyperlink>
        </w:p>
        <w:p w14:paraId="66A3153C" w14:textId="6EFEA5F3" w:rsidR="00FE5942" w:rsidRDefault="00FE5942">
          <w:pPr>
            <w:pStyle w:val="TOC3"/>
            <w:tabs>
              <w:tab w:val="right" w:leader="dot" w:pos="9350"/>
            </w:tabs>
            <w:rPr>
              <w:rFonts w:eastAsiaTheme="minorEastAsia"/>
              <w:noProof/>
              <w:kern w:val="2"/>
              <w:sz w:val="24"/>
              <w:szCs w:val="24"/>
              <w14:ligatures w14:val="standardContextual"/>
            </w:rPr>
          </w:pPr>
          <w:hyperlink w:anchor="_Toc220011559" w:history="1">
            <w:r w:rsidRPr="000F7499">
              <w:rPr>
                <w:rStyle w:val="Hyperlink"/>
                <w:noProof/>
              </w:rPr>
              <w:t>5.2 The Greeks (Risk Sensitivities)</w:t>
            </w:r>
            <w:r>
              <w:rPr>
                <w:noProof/>
                <w:webHidden/>
              </w:rPr>
              <w:tab/>
            </w:r>
            <w:r>
              <w:rPr>
                <w:noProof/>
                <w:webHidden/>
              </w:rPr>
              <w:fldChar w:fldCharType="begin"/>
            </w:r>
            <w:r>
              <w:rPr>
                <w:noProof/>
                <w:webHidden/>
              </w:rPr>
              <w:instrText xml:space="preserve"> PAGEREF _Toc220011559 \h </w:instrText>
            </w:r>
            <w:r>
              <w:rPr>
                <w:noProof/>
                <w:webHidden/>
              </w:rPr>
            </w:r>
            <w:r>
              <w:rPr>
                <w:noProof/>
                <w:webHidden/>
              </w:rPr>
              <w:fldChar w:fldCharType="separate"/>
            </w:r>
            <w:r w:rsidR="007710F1">
              <w:rPr>
                <w:noProof/>
                <w:webHidden/>
              </w:rPr>
              <w:t>6</w:t>
            </w:r>
            <w:r>
              <w:rPr>
                <w:noProof/>
                <w:webHidden/>
              </w:rPr>
              <w:fldChar w:fldCharType="end"/>
            </w:r>
          </w:hyperlink>
        </w:p>
        <w:p w14:paraId="197291AA" w14:textId="47C2122C" w:rsidR="00FE5942" w:rsidRDefault="00FE5942">
          <w:pPr>
            <w:pStyle w:val="TOC2"/>
            <w:tabs>
              <w:tab w:val="right" w:leader="dot" w:pos="9350"/>
            </w:tabs>
            <w:rPr>
              <w:rFonts w:eastAsiaTheme="minorEastAsia"/>
              <w:noProof/>
              <w:kern w:val="2"/>
              <w:sz w:val="24"/>
              <w:szCs w:val="24"/>
              <w14:ligatures w14:val="standardContextual"/>
            </w:rPr>
          </w:pPr>
          <w:hyperlink w:anchor="_Toc220011560" w:history="1">
            <w:r w:rsidRPr="000F7499">
              <w:rPr>
                <w:rStyle w:val="Hyperlink"/>
                <w:noProof/>
              </w:rPr>
              <w:t>6. Conclusion</w:t>
            </w:r>
            <w:r>
              <w:rPr>
                <w:noProof/>
                <w:webHidden/>
              </w:rPr>
              <w:tab/>
            </w:r>
            <w:r>
              <w:rPr>
                <w:noProof/>
                <w:webHidden/>
              </w:rPr>
              <w:fldChar w:fldCharType="begin"/>
            </w:r>
            <w:r>
              <w:rPr>
                <w:noProof/>
                <w:webHidden/>
              </w:rPr>
              <w:instrText xml:space="preserve"> PAGEREF _Toc220011560 \h </w:instrText>
            </w:r>
            <w:r>
              <w:rPr>
                <w:noProof/>
                <w:webHidden/>
              </w:rPr>
            </w:r>
            <w:r>
              <w:rPr>
                <w:noProof/>
                <w:webHidden/>
              </w:rPr>
              <w:fldChar w:fldCharType="separate"/>
            </w:r>
            <w:r w:rsidR="007710F1">
              <w:rPr>
                <w:noProof/>
                <w:webHidden/>
              </w:rPr>
              <w:t>7</w:t>
            </w:r>
            <w:r>
              <w:rPr>
                <w:noProof/>
                <w:webHidden/>
              </w:rPr>
              <w:fldChar w:fldCharType="end"/>
            </w:r>
          </w:hyperlink>
        </w:p>
        <w:p w14:paraId="396E3372" w14:textId="5B4AEBB1" w:rsidR="00FE5942" w:rsidRDefault="00FE5942">
          <w:r>
            <w:rPr>
              <w:b/>
              <w:bCs/>
              <w:noProof/>
            </w:rPr>
            <w:fldChar w:fldCharType="end"/>
          </w:r>
        </w:p>
      </w:sdtContent>
    </w:sdt>
    <w:p w14:paraId="540BB07C" w14:textId="77777777" w:rsidR="00FE5942" w:rsidRDefault="00FE5942" w:rsidP="00961016">
      <w:pPr>
        <w:pStyle w:val="Heading1"/>
        <w:spacing w:line="360" w:lineRule="auto"/>
        <w:sectPr w:rsidR="00FE5942" w:rsidSect="007710F1">
          <w:pgSz w:w="12240" w:h="15840" w:code="1"/>
          <w:pgMar w:top="1440" w:right="1440" w:bottom="1440" w:left="1440" w:header="709" w:footer="709" w:gutter="0"/>
          <w:cols w:space="708"/>
          <w:vAlign w:val="center"/>
          <w:docGrid w:linePitch="360"/>
        </w:sectPr>
      </w:pPr>
    </w:p>
    <w:p w14:paraId="20539C6D" w14:textId="77777777" w:rsidR="00961016" w:rsidRPr="00961016" w:rsidRDefault="00961016" w:rsidP="00961016">
      <w:pPr>
        <w:pStyle w:val="Heading2"/>
        <w:spacing w:line="360" w:lineRule="auto"/>
      </w:pPr>
      <w:bookmarkStart w:id="0" w:name="_Toc220011547"/>
      <w:r w:rsidRPr="00961016">
        <w:lastRenderedPageBreak/>
        <w:t>1. Executive Summary</w:t>
      </w:r>
      <w:bookmarkEnd w:id="0"/>
    </w:p>
    <w:p w14:paraId="42A4BAC5" w14:textId="77777777" w:rsidR="00961016" w:rsidRPr="00961016" w:rsidRDefault="00961016" w:rsidP="00961016">
      <w:pPr>
        <w:spacing w:line="360" w:lineRule="auto"/>
        <w:ind w:firstLine="720"/>
        <w:jc w:val="both"/>
        <w:rPr>
          <w:rFonts w:cstheme="minorHAnsi"/>
        </w:rPr>
      </w:pPr>
      <w:r w:rsidRPr="00961016">
        <w:rPr>
          <w:rFonts w:cstheme="minorHAnsi"/>
        </w:rPr>
        <w:t>This research project provides a rigorous quantitative assessment of the DeFi market structure. By synthesizing concepts from Automated Market Makers (AMMs), stochastic calculus, and statistical arbitrage, this study aims to quantify the unique risks and opportunities present in crypto-asset markets.</w:t>
      </w:r>
    </w:p>
    <w:p w14:paraId="449DE1BF" w14:textId="77777777" w:rsidR="00961016" w:rsidRPr="00961016" w:rsidRDefault="00961016" w:rsidP="00961016">
      <w:pPr>
        <w:spacing w:line="360" w:lineRule="auto"/>
        <w:jc w:val="both"/>
        <w:rPr>
          <w:rFonts w:cstheme="minorHAnsi"/>
        </w:rPr>
      </w:pPr>
      <w:r w:rsidRPr="00961016">
        <w:rPr>
          <w:rFonts w:cstheme="minorHAnsi"/>
        </w:rPr>
        <w:t>The analysis led to three critical conclusions:</w:t>
      </w:r>
    </w:p>
    <w:p w14:paraId="77EA2F7B" w14:textId="77777777" w:rsidR="00961016" w:rsidRPr="00961016" w:rsidRDefault="00961016">
      <w:pPr>
        <w:numPr>
          <w:ilvl w:val="0"/>
          <w:numId w:val="2"/>
        </w:numPr>
        <w:spacing w:line="360" w:lineRule="auto"/>
        <w:jc w:val="both"/>
        <w:rPr>
          <w:rFonts w:cstheme="minorHAnsi"/>
        </w:rPr>
      </w:pPr>
      <w:r w:rsidRPr="00961016">
        <w:rPr>
          <w:rFonts w:cstheme="minorHAnsi"/>
          <w:b/>
          <w:bCs/>
        </w:rPr>
        <w:t>Liquidity Provision</w:t>
      </w:r>
      <w:r w:rsidRPr="00961016">
        <w:rPr>
          <w:rFonts w:cstheme="minorHAnsi"/>
        </w:rPr>
        <w:t xml:space="preserve"> is effectively a short-convexity strategy; LPs suffer "Impermanent Loss" that mimics the payout profile of a short straddle.</w:t>
      </w:r>
    </w:p>
    <w:p w14:paraId="6E2C6C61" w14:textId="77777777" w:rsidR="00961016" w:rsidRPr="00961016" w:rsidRDefault="00961016">
      <w:pPr>
        <w:numPr>
          <w:ilvl w:val="0"/>
          <w:numId w:val="2"/>
        </w:numPr>
        <w:spacing w:line="360" w:lineRule="auto"/>
        <w:jc w:val="both"/>
        <w:rPr>
          <w:rFonts w:cstheme="minorHAnsi"/>
        </w:rPr>
      </w:pPr>
      <w:r w:rsidRPr="00961016">
        <w:rPr>
          <w:rFonts w:cstheme="minorHAnsi"/>
          <w:b/>
          <w:bCs/>
        </w:rPr>
        <w:t>Statistical Arbitrage</w:t>
      </w:r>
      <w:r w:rsidRPr="00961016">
        <w:rPr>
          <w:rFonts w:cstheme="minorHAnsi"/>
        </w:rPr>
        <w:t xml:space="preserve"> strategies must employ strict regime filters (ADF tests), as high correlation (0.98) does not guarantee cointegration in crypto markets.</w:t>
      </w:r>
    </w:p>
    <w:p w14:paraId="3946B841" w14:textId="77777777" w:rsidR="00961016" w:rsidRPr="00961016" w:rsidRDefault="00961016">
      <w:pPr>
        <w:numPr>
          <w:ilvl w:val="0"/>
          <w:numId w:val="2"/>
        </w:numPr>
        <w:spacing w:line="360" w:lineRule="auto"/>
        <w:jc w:val="both"/>
        <w:rPr>
          <w:rFonts w:cstheme="minorHAnsi"/>
        </w:rPr>
      </w:pPr>
      <w:r w:rsidRPr="00961016">
        <w:rPr>
          <w:rFonts w:cstheme="minorHAnsi"/>
          <w:b/>
          <w:bCs/>
        </w:rPr>
        <w:t>Protocol Solvency</w:t>
      </w:r>
      <w:r w:rsidRPr="00961016">
        <w:rPr>
          <w:rFonts w:cstheme="minorHAnsi"/>
        </w:rPr>
        <w:t xml:space="preserve"> requires dynamic collateralization; Monte Carlo simulations indicate a 5.87% probability of insolvency events over a 30-day horizon, necessitating conservative Loan-to-Value (LTV) ratios.</w:t>
      </w:r>
    </w:p>
    <w:p w14:paraId="421312B6" w14:textId="77777777" w:rsidR="00961016" w:rsidRPr="00961016" w:rsidRDefault="00961016" w:rsidP="00961016">
      <w:pPr>
        <w:pStyle w:val="Heading2"/>
        <w:spacing w:line="360" w:lineRule="auto"/>
      </w:pPr>
      <w:bookmarkStart w:id="1" w:name="_Toc220011548"/>
      <w:r w:rsidRPr="00961016">
        <w:t>2. Module I: AMM Microstructure &amp; Impermanent Loss</w:t>
      </w:r>
      <w:bookmarkEnd w:id="1"/>
    </w:p>
    <w:p w14:paraId="70C1A502" w14:textId="1487278C" w:rsidR="00961016" w:rsidRPr="00961016" w:rsidRDefault="00961016" w:rsidP="00961016">
      <w:pPr>
        <w:spacing w:line="360" w:lineRule="auto"/>
        <w:jc w:val="both"/>
        <w:rPr>
          <w:rFonts w:eastAsiaTheme="minorEastAsia" w:cstheme="minorHAnsi"/>
        </w:rPr>
      </w:pPr>
      <w:r w:rsidRPr="00961016">
        <w:rPr>
          <w:rFonts w:cstheme="minorHAnsi"/>
          <w:b/>
          <w:bCs/>
        </w:rPr>
        <w:t>Objective:</w:t>
      </w:r>
      <w:r w:rsidRPr="00961016">
        <w:rPr>
          <w:rFonts w:cstheme="minorHAnsi"/>
        </w:rPr>
        <w:t xml:space="preserve"> To reverse-engineer the Uniswap V2 Constant Product algorithm </w:t>
      </w:r>
      <m:oMath>
        <m:r>
          <w:rPr>
            <w:rFonts w:ascii="Cambria Math" w:hAnsi="Cambria Math" w:cstheme="minorHAnsi"/>
          </w:rPr>
          <m:t xml:space="preserve">x </m:t>
        </m:r>
        <m:r>
          <m:rPr>
            <m:sty m:val="p"/>
          </m:rPr>
          <w:rPr>
            <w:rFonts w:ascii="Cambria Math" w:hAnsi="Cambria Math" w:cstheme="minorHAnsi"/>
          </w:rPr>
          <m:t>⋅</m:t>
        </m:r>
        <m:r>
          <w:rPr>
            <w:rFonts w:ascii="Cambria Math" w:hAnsi="Cambria Math" w:cstheme="minorHAnsi"/>
          </w:rPr>
          <m:t>y = k</m:t>
        </m:r>
      </m:oMath>
      <w:r w:rsidRPr="00961016">
        <w:rPr>
          <w:rFonts w:cstheme="minorHAnsi"/>
        </w:rPr>
        <w:t xml:space="preserve"> and quantify the cost of liquidity provision.</w:t>
      </w:r>
    </w:p>
    <w:p w14:paraId="4FE43636" w14:textId="77777777" w:rsidR="00961016" w:rsidRPr="00961016" w:rsidRDefault="00961016" w:rsidP="00961016">
      <w:pPr>
        <w:pStyle w:val="Heading3"/>
        <w:spacing w:line="360" w:lineRule="auto"/>
      </w:pPr>
      <w:bookmarkStart w:id="2" w:name="_Toc220011549"/>
      <w:r w:rsidRPr="00961016">
        <w:t>2.1 The Mathematics of Slippage</w:t>
      </w:r>
      <w:bookmarkEnd w:id="2"/>
    </w:p>
    <w:p w14:paraId="01009275" w14:textId="77777777" w:rsidR="00961016" w:rsidRDefault="00961016" w:rsidP="00961016">
      <w:pPr>
        <w:spacing w:line="360" w:lineRule="auto"/>
        <w:jc w:val="both"/>
        <w:rPr>
          <w:rFonts w:cstheme="minorHAnsi"/>
        </w:rPr>
      </w:pPr>
      <w:r w:rsidRPr="00961016">
        <w:rPr>
          <w:rFonts w:cstheme="minorHAnsi"/>
        </w:rPr>
        <w:t>We modeled the "Bonding Curve" to determine the execution price impact of trade size relative to pool depth. The resulting heatmap (Figure 1) demonstrates the exponential relationship between order size and slippage.</w:t>
      </w:r>
    </w:p>
    <w:p w14:paraId="7560266B" w14:textId="42FF1FC1" w:rsidR="00961016" w:rsidRPr="00961016" w:rsidRDefault="00961016" w:rsidP="00961016">
      <w:pPr>
        <w:spacing w:line="360" w:lineRule="auto"/>
        <w:jc w:val="both"/>
        <w:rPr>
          <w:rFonts w:cstheme="minorHAnsi"/>
        </w:rPr>
      </w:pPr>
      <w:r>
        <w:rPr>
          <w:rFonts w:cstheme="minorHAnsi"/>
          <w:noProof/>
        </w:rPr>
        <w:lastRenderedPageBreak/>
        <w:drawing>
          <wp:inline distT="0" distB="0" distL="0" distR="0" wp14:anchorId="50720EDF" wp14:editId="63DFACAB">
            <wp:extent cx="5943600" cy="5038090"/>
            <wp:effectExtent l="0" t="0" r="0" b="0"/>
            <wp:docPr id="89187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74238" name="Picture 891874238"/>
                    <pic:cNvPicPr/>
                  </pic:nvPicPr>
                  <pic:blipFill>
                    <a:blip r:embed="rId8">
                      <a:extLst>
                        <a:ext uri="{28A0092B-C50C-407E-A947-70E740481C1C}">
                          <a14:useLocalDpi xmlns:a14="http://schemas.microsoft.com/office/drawing/2010/main" val="0"/>
                        </a:ext>
                      </a:extLst>
                    </a:blip>
                    <a:stretch>
                      <a:fillRect/>
                    </a:stretch>
                  </pic:blipFill>
                  <pic:spPr>
                    <a:xfrm>
                      <a:off x="0" y="0"/>
                      <a:ext cx="5943600" cy="5038090"/>
                    </a:xfrm>
                    <a:prstGeom prst="rect">
                      <a:avLst/>
                    </a:prstGeom>
                  </pic:spPr>
                </pic:pic>
              </a:graphicData>
            </a:graphic>
          </wp:inline>
        </w:drawing>
      </w:r>
    </w:p>
    <w:p w14:paraId="157A1C5E" w14:textId="77777777" w:rsidR="00961016" w:rsidRPr="00961016" w:rsidRDefault="00961016" w:rsidP="00961016">
      <w:pPr>
        <w:spacing w:line="360" w:lineRule="auto"/>
        <w:jc w:val="both"/>
        <w:rPr>
          <w:rFonts w:cstheme="minorHAnsi"/>
        </w:rPr>
      </w:pPr>
      <w:r w:rsidRPr="00961016">
        <w:rPr>
          <w:rFonts w:cstheme="minorHAnsi"/>
        </w:rPr>
        <w:t>Figure 1: Slippage Heatmap. A $100k trade in a $50k pool results in catastrophic slippage (&gt;400%), illustrating the necessity of deep liquidity.</w:t>
      </w:r>
    </w:p>
    <w:p w14:paraId="089F0480" w14:textId="77777777" w:rsidR="00961016" w:rsidRPr="00961016" w:rsidRDefault="00961016" w:rsidP="00961016">
      <w:pPr>
        <w:pStyle w:val="Heading3"/>
        <w:spacing w:line="360" w:lineRule="auto"/>
      </w:pPr>
      <w:bookmarkStart w:id="3" w:name="_Toc220011550"/>
      <w:r w:rsidRPr="00961016">
        <w:t>2.2 Quantifying Impermanent Loss (IL)</w:t>
      </w:r>
      <w:bookmarkEnd w:id="3"/>
    </w:p>
    <w:p w14:paraId="577C6320" w14:textId="77777777" w:rsidR="00961016" w:rsidRPr="00961016" w:rsidRDefault="00961016" w:rsidP="00961016">
      <w:pPr>
        <w:spacing w:line="360" w:lineRule="auto"/>
        <w:jc w:val="both"/>
        <w:rPr>
          <w:rFonts w:cstheme="minorHAnsi"/>
        </w:rPr>
      </w:pPr>
      <w:r w:rsidRPr="00961016">
        <w:rPr>
          <w:rFonts w:cstheme="minorHAnsi"/>
        </w:rPr>
        <w:t>Using historical ETH data (2024-2025), we simulated the performance of a Liquidity Provider (LP) versus a HODL strategy.</w:t>
      </w:r>
    </w:p>
    <w:p w14:paraId="59F3A2CB" w14:textId="77777777" w:rsidR="00961016" w:rsidRPr="00961016" w:rsidRDefault="00961016">
      <w:pPr>
        <w:numPr>
          <w:ilvl w:val="0"/>
          <w:numId w:val="3"/>
        </w:numPr>
        <w:spacing w:line="360" w:lineRule="auto"/>
        <w:jc w:val="both"/>
        <w:rPr>
          <w:rFonts w:cstheme="minorHAnsi"/>
        </w:rPr>
      </w:pPr>
      <w:r w:rsidRPr="00961016">
        <w:rPr>
          <w:rFonts w:cstheme="minorHAnsi"/>
          <w:b/>
          <w:bCs/>
        </w:rPr>
        <w:t>Result:</w:t>
      </w:r>
      <w:r w:rsidRPr="00961016">
        <w:rPr>
          <w:rFonts w:cstheme="minorHAnsi"/>
        </w:rPr>
        <w:t xml:space="preserve"> The LP strategy consistently underperformed the HODL strategy during trending markets.</w:t>
      </w:r>
    </w:p>
    <w:p w14:paraId="72B937EF" w14:textId="77777777" w:rsidR="00961016" w:rsidRDefault="00961016">
      <w:pPr>
        <w:numPr>
          <w:ilvl w:val="0"/>
          <w:numId w:val="3"/>
        </w:numPr>
        <w:spacing w:line="360" w:lineRule="auto"/>
        <w:jc w:val="both"/>
        <w:rPr>
          <w:rFonts w:cstheme="minorHAnsi"/>
        </w:rPr>
      </w:pPr>
      <w:r w:rsidRPr="00961016">
        <w:rPr>
          <w:rFonts w:cstheme="minorHAnsi"/>
          <w:b/>
          <w:bCs/>
        </w:rPr>
        <w:t>Max Drawdown:</w:t>
      </w:r>
      <w:r w:rsidRPr="00961016">
        <w:rPr>
          <w:rFonts w:cstheme="minorHAnsi"/>
        </w:rPr>
        <w:t xml:space="preserve"> The simulation recorded a divergence of </w:t>
      </w:r>
      <w:r w:rsidRPr="00961016">
        <w:rPr>
          <w:rFonts w:cstheme="minorHAnsi"/>
          <w:b/>
          <w:bCs/>
        </w:rPr>
        <w:t>-11.2%</w:t>
      </w:r>
      <w:r w:rsidRPr="00961016">
        <w:rPr>
          <w:rFonts w:cstheme="minorHAnsi"/>
        </w:rPr>
        <w:t xml:space="preserve"> during peak volatility.</w:t>
      </w:r>
    </w:p>
    <w:p w14:paraId="546CEFD0" w14:textId="0900E289" w:rsidR="00961016" w:rsidRPr="00961016" w:rsidRDefault="00961016" w:rsidP="00961016">
      <w:pPr>
        <w:spacing w:line="360" w:lineRule="auto"/>
        <w:jc w:val="both"/>
        <w:rPr>
          <w:rFonts w:cstheme="minorHAnsi"/>
        </w:rPr>
      </w:pPr>
      <w:r>
        <w:rPr>
          <w:rFonts w:cstheme="minorHAnsi"/>
          <w:noProof/>
        </w:rPr>
        <w:lastRenderedPageBreak/>
        <w:drawing>
          <wp:inline distT="0" distB="0" distL="0" distR="0" wp14:anchorId="01FF4ECE" wp14:editId="760D4365">
            <wp:extent cx="5943600" cy="1949450"/>
            <wp:effectExtent l="0" t="0" r="0" b="0"/>
            <wp:docPr id="1051934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4824" name="Picture 1051934824"/>
                    <pic:cNvPicPr/>
                  </pic:nvPicPr>
                  <pic:blipFill>
                    <a:blip r:embed="rId9">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inline>
        </w:drawing>
      </w:r>
    </w:p>
    <w:p w14:paraId="13CE8631" w14:textId="77777777" w:rsidR="00961016" w:rsidRPr="00961016" w:rsidRDefault="00961016" w:rsidP="00961016">
      <w:pPr>
        <w:spacing w:line="360" w:lineRule="auto"/>
        <w:jc w:val="both"/>
        <w:rPr>
          <w:rFonts w:cstheme="minorHAnsi"/>
        </w:rPr>
      </w:pPr>
      <w:r w:rsidRPr="00961016">
        <w:rPr>
          <w:rFonts w:cstheme="minorHAnsi"/>
        </w:rPr>
        <w:t>Figure 2: Cumulative Impermanent Loss. The red area represents the value lost by LPs compared to simply holding the assets.</w:t>
      </w:r>
    </w:p>
    <w:p w14:paraId="6B6446F8" w14:textId="77777777" w:rsidR="00961016" w:rsidRPr="00961016" w:rsidRDefault="00961016" w:rsidP="00961016">
      <w:pPr>
        <w:pStyle w:val="Heading2"/>
        <w:spacing w:line="360" w:lineRule="auto"/>
      </w:pPr>
      <w:bookmarkStart w:id="4" w:name="_Toc220011551"/>
      <w:r w:rsidRPr="00961016">
        <w:t>3. Module II: High-Frequency Statistical Arbitrage</w:t>
      </w:r>
      <w:bookmarkEnd w:id="4"/>
    </w:p>
    <w:p w14:paraId="01039BBF" w14:textId="77777777" w:rsidR="00961016" w:rsidRPr="00961016" w:rsidRDefault="00961016" w:rsidP="00961016">
      <w:pPr>
        <w:spacing w:line="360" w:lineRule="auto"/>
        <w:jc w:val="both"/>
        <w:rPr>
          <w:rFonts w:cstheme="minorHAnsi"/>
        </w:rPr>
      </w:pPr>
      <w:r w:rsidRPr="00961016">
        <w:rPr>
          <w:rFonts w:cstheme="minorHAnsi"/>
          <w:b/>
          <w:bCs/>
        </w:rPr>
        <w:t>Objective:</w:t>
      </w:r>
      <w:r w:rsidRPr="00961016">
        <w:rPr>
          <w:rFonts w:cstheme="minorHAnsi"/>
        </w:rPr>
        <w:t xml:space="preserve"> To test a Mean-Reversion strategy on the BTC/ETH pair using 1-minute interval data.</w:t>
      </w:r>
    </w:p>
    <w:p w14:paraId="027AA769" w14:textId="77777777" w:rsidR="00961016" w:rsidRPr="00961016" w:rsidRDefault="00961016" w:rsidP="00961016">
      <w:pPr>
        <w:pStyle w:val="Heading3"/>
        <w:spacing w:line="360" w:lineRule="auto"/>
      </w:pPr>
      <w:bookmarkStart w:id="5" w:name="_Toc220011552"/>
      <w:r w:rsidRPr="00961016">
        <w:t>3.1 Cointegration Analysis</w:t>
      </w:r>
      <w:bookmarkEnd w:id="5"/>
    </w:p>
    <w:p w14:paraId="36752364" w14:textId="77777777" w:rsidR="00961016" w:rsidRPr="00961016" w:rsidRDefault="00961016" w:rsidP="00961016">
      <w:pPr>
        <w:spacing w:line="360" w:lineRule="auto"/>
        <w:jc w:val="both"/>
        <w:rPr>
          <w:rFonts w:cstheme="minorHAnsi"/>
        </w:rPr>
      </w:pPr>
      <w:r w:rsidRPr="00961016">
        <w:rPr>
          <w:rFonts w:cstheme="minorHAnsi"/>
        </w:rPr>
        <w:t xml:space="preserve">While the pair exhibited an extreme correlation coefficient of </w:t>
      </w:r>
      <w:r w:rsidRPr="00961016">
        <w:rPr>
          <w:rFonts w:cstheme="minorHAnsi"/>
          <w:b/>
          <w:bCs/>
        </w:rPr>
        <w:t>0.98</w:t>
      </w:r>
      <w:r w:rsidRPr="00961016">
        <w:rPr>
          <w:rFonts w:cstheme="minorHAnsi"/>
        </w:rPr>
        <w:t>, the Augmented Dickey-Fuller (ADF) test revealed a critical insight:</w:t>
      </w:r>
    </w:p>
    <w:p w14:paraId="46DB73CD" w14:textId="77777777" w:rsidR="00961016" w:rsidRPr="00961016" w:rsidRDefault="00961016">
      <w:pPr>
        <w:numPr>
          <w:ilvl w:val="0"/>
          <w:numId w:val="4"/>
        </w:numPr>
        <w:spacing w:line="360" w:lineRule="auto"/>
        <w:jc w:val="both"/>
        <w:rPr>
          <w:rFonts w:cstheme="minorHAnsi"/>
        </w:rPr>
      </w:pPr>
      <w:r w:rsidRPr="00961016">
        <w:rPr>
          <w:rFonts w:cstheme="minorHAnsi"/>
          <w:b/>
          <w:bCs/>
        </w:rPr>
        <w:t>ADF P-Value:</w:t>
      </w:r>
      <w:r w:rsidRPr="00961016">
        <w:rPr>
          <w:rFonts w:cstheme="minorHAnsi"/>
        </w:rPr>
        <w:t xml:space="preserve"> 0.477</w:t>
      </w:r>
    </w:p>
    <w:p w14:paraId="6BF6611A" w14:textId="77777777" w:rsidR="00961016" w:rsidRDefault="00961016">
      <w:pPr>
        <w:numPr>
          <w:ilvl w:val="0"/>
          <w:numId w:val="4"/>
        </w:numPr>
        <w:spacing w:line="360" w:lineRule="auto"/>
        <w:jc w:val="both"/>
        <w:rPr>
          <w:rFonts w:cstheme="minorHAnsi"/>
        </w:rPr>
      </w:pPr>
      <w:r w:rsidRPr="00961016">
        <w:rPr>
          <w:rFonts w:cstheme="minorHAnsi"/>
          <w:b/>
          <w:bCs/>
        </w:rPr>
        <w:t>Conclusion:</w:t>
      </w:r>
      <w:r w:rsidRPr="00961016">
        <w:rPr>
          <w:rFonts w:cstheme="minorHAnsi"/>
        </w:rPr>
        <w:t xml:space="preserve"> The spread was </w:t>
      </w:r>
      <w:r w:rsidRPr="00961016">
        <w:rPr>
          <w:rFonts w:cstheme="minorHAnsi"/>
          <w:b/>
          <w:bCs/>
        </w:rPr>
        <w:t>non-stationary</w:t>
      </w:r>
      <w:r w:rsidRPr="00961016">
        <w:rPr>
          <w:rFonts w:cstheme="minorHAnsi"/>
        </w:rPr>
        <w:t xml:space="preserve"> (Random Walk). The null hypothesis of mean reversion could not be rejected.</w:t>
      </w:r>
    </w:p>
    <w:p w14:paraId="6C4C2C70" w14:textId="7526FCBF" w:rsidR="00961016" w:rsidRPr="00961016" w:rsidRDefault="00961016" w:rsidP="00961016">
      <w:pPr>
        <w:spacing w:line="360" w:lineRule="auto"/>
        <w:jc w:val="both"/>
        <w:rPr>
          <w:rFonts w:cstheme="minorHAnsi"/>
        </w:rPr>
      </w:pPr>
      <w:r>
        <w:rPr>
          <w:rFonts w:cstheme="minorHAnsi"/>
          <w:noProof/>
        </w:rPr>
        <w:lastRenderedPageBreak/>
        <w:drawing>
          <wp:inline distT="0" distB="0" distL="0" distR="0" wp14:anchorId="73BB2AE9" wp14:editId="1338EF74">
            <wp:extent cx="5943600" cy="2752090"/>
            <wp:effectExtent l="0" t="0" r="0" b="0"/>
            <wp:docPr id="1463485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85478" name="Picture 1463485478"/>
                    <pic:cNvPicPr/>
                  </pic:nvPicPr>
                  <pic:blipFill>
                    <a:blip r:embed="rId10">
                      <a:extLst>
                        <a:ext uri="{28A0092B-C50C-407E-A947-70E740481C1C}">
                          <a14:useLocalDpi xmlns:a14="http://schemas.microsoft.com/office/drawing/2010/main" val="0"/>
                        </a:ext>
                      </a:extLst>
                    </a:blip>
                    <a:stretch>
                      <a:fillRect/>
                    </a:stretch>
                  </pic:blipFill>
                  <pic:spPr>
                    <a:xfrm>
                      <a:off x="0" y="0"/>
                      <a:ext cx="5943600" cy="2752090"/>
                    </a:xfrm>
                    <a:prstGeom prst="rect">
                      <a:avLst/>
                    </a:prstGeom>
                  </pic:spPr>
                </pic:pic>
              </a:graphicData>
            </a:graphic>
          </wp:inline>
        </w:drawing>
      </w:r>
    </w:p>
    <w:p w14:paraId="797BC176" w14:textId="77777777" w:rsidR="00961016" w:rsidRPr="00961016" w:rsidRDefault="00961016" w:rsidP="00961016">
      <w:pPr>
        <w:spacing w:line="360" w:lineRule="auto"/>
        <w:jc w:val="both"/>
        <w:rPr>
          <w:rFonts w:cstheme="minorHAnsi"/>
        </w:rPr>
      </w:pPr>
      <w:r w:rsidRPr="00961016">
        <w:rPr>
          <w:rFonts w:cstheme="minorHAnsi"/>
        </w:rPr>
        <w:t>Figure 3: Rolling Z-Score of the Spread. Note the persistent drift away from zero (the mean), indicating a breakdown in the equilibrium relationship.</w:t>
      </w:r>
    </w:p>
    <w:p w14:paraId="1BB9CEFF" w14:textId="77777777" w:rsidR="00961016" w:rsidRPr="00961016" w:rsidRDefault="00961016" w:rsidP="00961016">
      <w:pPr>
        <w:pStyle w:val="Heading3"/>
        <w:spacing w:line="360" w:lineRule="auto"/>
      </w:pPr>
      <w:bookmarkStart w:id="6" w:name="_Toc220011553"/>
      <w:r w:rsidRPr="00961016">
        <w:t>3.2 Strategy Performance</w:t>
      </w:r>
      <w:bookmarkEnd w:id="6"/>
    </w:p>
    <w:p w14:paraId="4246BB51" w14:textId="77777777" w:rsidR="00961016" w:rsidRPr="00961016" w:rsidRDefault="00961016" w:rsidP="00961016">
      <w:pPr>
        <w:spacing w:line="360" w:lineRule="auto"/>
        <w:jc w:val="both"/>
        <w:rPr>
          <w:rFonts w:cstheme="minorHAnsi"/>
        </w:rPr>
      </w:pPr>
      <w:r w:rsidRPr="00961016">
        <w:rPr>
          <w:rFonts w:cstheme="minorHAnsi"/>
        </w:rPr>
        <w:t xml:space="preserve">Due to the lack of stationarity, the mean-reversion algo "fought the trend," resulting in a net loss of </w:t>
      </w:r>
      <w:r w:rsidRPr="00961016">
        <w:rPr>
          <w:rFonts w:cstheme="minorHAnsi"/>
          <w:b/>
          <w:bCs/>
        </w:rPr>
        <w:t>-$398.88</w:t>
      </w:r>
      <w:r w:rsidRPr="00961016">
        <w:rPr>
          <w:rFonts w:cstheme="minorHAnsi"/>
        </w:rPr>
        <w:t xml:space="preserve">. This negative result serves as </w:t>
      </w:r>
      <w:proofErr w:type="gramStart"/>
      <w:r w:rsidRPr="00961016">
        <w:rPr>
          <w:rFonts w:cstheme="minorHAnsi"/>
        </w:rPr>
        <w:t>a proof</w:t>
      </w:r>
      <w:proofErr w:type="gramEnd"/>
      <w:r w:rsidRPr="00961016">
        <w:rPr>
          <w:rFonts w:cstheme="minorHAnsi"/>
        </w:rPr>
        <w:t>-of-concept for the importance of stationarity testing (ADF) before deploying capital.</w:t>
      </w:r>
    </w:p>
    <w:p w14:paraId="703F53A3" w14:textId="77777777" w:rsidR="00961016" w:rsidRPr="00961016" w:rsidRDefault="00961016" w:rsidP="00961016">
      <w:pPr>
        <w:pStyle w:val="Heading2"/>
        <w:spacing w:line="360" w:lineRule="auto"/>
      </w:pPr>
      <w:bookmarkStart w:id="7" w:name="_Toc220011554"/>
      <w:r w:rsidRPr="00961016">
        <w:t>4. Module III: Stochastic Risk Modeling (Monte Carlo)</w:t>
      </w:r>
      <w:bookmarkEnd w:id="7"/>
    </w:p>
    <w:p w14:paraId="48789730" w14:textId="77777777" w:rsidR="00961016" w:rsidRPr="00961016" w:rsidRDefault="00961016" w:rsidP="00961016">
      <w:pPr>
        <w:spacing w:line="360" w:lineRule="auto"/>
        <w:jc w:val="both"/>
        <w:rPr>
          <w:rFonts w:cstheme="minorHAnsi"/>
        </w:rPr>
      </w:pPr>
      <w:r w:rsidRPr="00961016">
        <w:rPr>
          <w:rFonts w:cstheme="minorHAnsi"/>
          <w:b/>
          <w:bCs/>
        </w:rPr>
        <w:t>Objective:</w:t>
      </w:r>
      <w:r w:rsidRPr="00961016">
        <w:rPr>
          <w:rFonts w:cstheme="minorHAnsi"/>
        </w:rPr>
        <w:t xml:space="preserve"> To estimate the "Value at Risk" (</w:t>
      </w:r>
      <w:proofErr w:type="spellStart"/>
      <w:r w:rsidRPr="00961016">
        <w:rPr>
          <w:rFonts w:cstheme="minorHAnsi"/>
        </w:rPr>
        <w:t>VaR</w:t>
      </w:r>
      <w:proofErr w:type="spellEnd"/>
      <w:r w:rsidRPr="00961016">
        <w:rPr>
          <w:rFonts w:cstheme="minorHAnsi"/>
        </w:rPr>
        <w:t>) for a DeFi lending protocol holding ETH collateral.</w:t>
      </w:r>
    </w:p>
    <w:p w14:paraId="554CF9C2" w14:textId="77777777" w:rsidR="00961016" w:rsidRPr="00961016" w:rsidRDefault="00961016" w:rsidP="00961016">
      <w:pPr>
        <w:pStyle w:val="Heading3"/>
        <w:spacing w:line="360" w:lineRule="auto"/>
      </w:pPr>
      <w:bookmarkStart w:id="8" w:name="_Toc220011555"/>
      <w:r w:rsidRPr="00961016">
        <w:t>4.1 Methodology</w:t>
      </w:r>
      <w:bookmarkEnd w:id="8"/>
    </w:p>
    <w:p w14:paraId="051661D8" w14:textId="55785214" w:rsidR="00961016" w:rsidRDefault="00961016" w:rsidP="00961016">
      <w:pPr>
        <w:spacing w:line="360" w:lineRule="auto"/>
        <w:jc w:val="both"/>
        <w:rPr>
          <w:rFonts w:cstheme="minorHAnsi"/>
        </w:rPr>
      </w:pPr>
      <w:r w:rsidRPr="00961016">
        <w:rPr>
          <w:rFonts w:cstheme="minorHAnsi"/>
        </w:rPr>
        <w:t xml:space="preserve">We calibrated a Geometric Brownian Motion (GBM) model using realized daily drift </w:t>
      </w:r>
      <m:oMath>
        <m:r>
          <m:rPr>
            <m:sty m:val="p"/>
          </m:rPr>
          <w:rPr>
            <w:rFonts w:ascii="Cambria Math" w:hAnsi="Cambria Math" w:cstheme="minorHAnsi"/>
          </w:rPr>
          <m:t>μ≈</m:t>
        </m:r>
        <m:r>
          <w:rPr>
            <w:rFonts w:ascii="Cambria Math" w:hAnsi="Cambria Math" w:cstheme="minorHAnsi"/>
          </w:rPr>
          <m:t>0</m:t>
        </m:r>
      </m:oMath>
      <w:r w:rsidRPr="00961016">
        <w:rPr>
          <w:rFonts w:cstheme="minorHAnsi"/>
        </w:rPr>
        <w:t xml:space="preserve"> and volatility </w:t>
      </w:r>
      <m:oMath>
        <m:r>
          <m:rPr>
            <m:sty m:val="p"/>
          </m:rPr>
          <w:rPr>
            <w:rFonts w:ascii="Cambria Math" w:hAnsi="Cambria Math" w:cstheme="minorHAnsi"/>
          </w:rPr>
          <m:t>σ≈</m:t>
        </m:r>
        <m:r>
          <w:rPr>
            <w:rFonts w:ascii="Cambria Math" w:hAnsi="Cambria Math" w:cstheme="minorHAnsi"/>
          </w:rPr>
          <m:t>3.8\%</m:t>
        </m:r>
      </m:oMath>
      <w:r w:rsidRPr="00961016">
        <w:rPr>
          <w:rFonts w:cstheme="minorHAnsi"/>
        </w:rPr>
        <w:t>. We then ran 10,000 simulations over a 30-day horizon.</w:t>
      </w:r>
    </w:p>
    <w:p w14:paraId="6AEDD33E" w14:textId="34300764" w:rsidR="00961016" w:rsidRPr="00961016" w:rsidRDefault="00961016" w:rsidP="00961016">
      <w:pPr>
        <w:spacing w:line="360" w:lineRule="auto"/>
        <w:jc w:val="both"/>
        <w:rPr>
          <w:rFonts w:eastAsiaTheme="minorEastAsia" w:cstheme="minorHAnsi"/>
        </w:rPr>
      </w:pPr>
      <w:r>
        <w:rPr>
          <w:rFonts w:eastAsiaTheme="minorEastAsia" w:cstheme="minorHAnsi"/>
          <w:noProof/>
        </w:rPr>
        <w:lastRenderedPageBreak/>
        <w:drawing>
          <wp:inline distT="0" distB="0" distL="0" distR="0" wp14:anchorId="31984A51" wp14:editId="06962B9A">
            <wp:extent cx="5943600" cy="3204845"/>
            <wp:effectExtent l="0" t="0" r="0" b="0"/>
            <wp:docPr id="1454234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34601" name="Picture 1454234601"/>
                    <pic:cNvPicPr/>
                  </pic:nvPicPr>
                  <pic:blipFill>
                    <a:blip r:embed="rId11">
                      <a:extLst>
                        <a:ext uri="{28A0092B-C50C-407E-A947-70E740481C1C}">
                          <a14:useLocalDpi xmlns:a14="http://schemas.microsoft.com/office/drawing/2010/main" val="0"/>
                        </a:ext>
                      </a:extLst>
                    </a:blip>
                    <a:stretch>
                      <a:fillRect/>
                    </a:stretch>
                  </pic:blipFill>
                  <pic:spPr>
                    <a:xfrm>
                      <a:off x="0" y="0"/>
                      <a:ext cx="5943600" cy="3204845"/>
                    </a:xfrm>
                    <a:prstGeom prst="rect">
                      <a:avLst/>
                    </a:prstGeom>
                  </pic:spPr>
                </pic:pic>
              </a:graphicData>
            </a:graphic>
          </wp:inline>
        </w:drawing>
      </w:r>
    </w:p>
    <w:p w14:paraId="0E9BA7B6" w14:textId="77777777" w:rsidR="00961016" w:rsidRPr="00961016" w:rsidRDefault="00961016" w:rsidP="00961016">
      <w:pPr>
        <w:spacing w:line="360" w:lineRule="auto"/>
        <w:jc w:val="both"/>
        <w:rPr>
          <w:rFonts w:cstheme="minorHAnsi"/>
        </w:rPr>
      </w:pPr>
      <w:r w:rsidRPr="00961016">
        <w:rPr>
          <w:rFonts w:cstheme="minorHAnsi"/>
        </w:rPr>
        <w:t>Figure 4: 10,000 simulated future price paths for ETH over 30 days.</w:t>
      </w:r>
    </w:p>
    <w:p w14:paraId="047D9B9B" w14:textId="77777777" w:rsidR="00961016" w:rsidRPr="00961016" w:rsidRDefault="00961016" w:rsidP="00961016">
      <w:pPr>
        <w:pStyle w:val="Heading3"/>
        <w:spacing w:line="360" w:lineRule="auto"/>
      </w:pPr>
      <w:bookmarkStart w:id="9" w:name="_Toc220011556"/>
      <w:r w:rsidRPr="00961016">
        <w:t>4.2 Risk Metrics</w:t>
      </w:r>
      <w:bookmarkEnd w:id="9"/>
    </w:p>
    <w:p w14:paraId="61C73C68" w14:textId="77777777" w:rsidR="00961016" w:rsidRPr="00961016" w:rsidRDefault="00961016" w:rsidP="00961016">
      <w:pPr>
        <w:spacing w:line="360" w:lineRule="auto"/>
        <w:jc w:val="both"/>
        <w:rPr>
          <w:rFonts w:cstheme="minorHAnsi"/>
        </w:rPr>
      </w:pPr>
      <w:r w:rsidRPr="00961016">
        <w:rPr>
          <w:rFonts w:cstheme="minorHAnsi"/>
        </w:rPr>
        <w:t>The simulation produced the following solvency metrics:</w:t>
      </w:r>
    </w:p>
    <w:p w14:paraId="33655D57" w14:textId="77777777" w:rsidR="00961016" w:rsidRPr="00961016" w:rsidRDefault="00961016">
      <w:pPr>
        <w:numPr>
          <w:ilvl w:val="0"/>
          <w:numId w:val="5"/>
        </w:numPr>
        <w:spacing w:line="360" w:lineRule="auto"/>
        <w:jc w:val="both"/>
        <w:rPr>
          <w:rFonts w:cstheme="minorHAnsi"/>
        </w:rPr>
      </w:pPr>
      <w:r w:rsidRPr="00961016">
        <w:rPr>
          <w:rFonts w:cstheme="minorHAnsi"/>
          <w:b/>
          <w:bCs/>
        </w:rPr>
        <w:t xml:space="preserve">95% </w:t>
      </w:r>
      <w:proofErr w:type="spellStart"/>
      <w:r w:rsidRPr="00961016">
        <w:rPr>
          <w:rFonts w:cstheme="minorHAnsi"/>
          <w:b/>
          <w:bCs/>
        </w:rPr>
        <w:t>VaR</w:t>
      </w:r>
      <w:proofErr w:type="spellEnd"/>
      <w:r w:rsidRPr="00961016">
        <w:rPr>
          <w:rFonts w:cstheme="minorHAnsi"/>
          <w:b/>
          <w:bCs/>
        </w:rPr>
        <w:t>:</w:t>
      </w:r>
      <w:r w:rsidRPr="00961016">
        <w:rPr>
          <w:rFonts w:cstheme="minorHAnsi"/>
        </w:rPr>
        <w:t xml:space="preserve"> $2,255.85. We are 95% confident ETH will stay above this level.</w:t>
      </w:r>
    </w:p>
    <w:p w14:paraId="52BA9A3C" w14:textId="77777777" w:rsidR="00961016" w:rsidRDefault="00961016">
      <w:pPr>
        <w:numPr>
          <w:ilvl w:val="0"/>
          <w:numId w:val="5"/>
        </w:numPr>
        <w:spacing w:line="360" w:lineRule="auto"/>
        <w:jc w:val="both"/>
        <w:rPr>
          <w:rFonts w:cstheme="minorHAnsi"/>
        </w:rPr>
      </w:pPr>
      <w:r w:rsidRPr="00961016">
        <w:rPr>
          <w:rFonts w:cstheme="minorHAnsi"/>
          <w:b/>
          <w:bCs/>
        </w:rPr>
        <w:t>Liquidation Probability:</w:t>
      </w:r>
      <w:r w:rsidRPr="00961016">
        <w:rPr>
          <w:rFonts w:cstheme="minorHAnsi"/>
        </w:rPr>
        <w:t xml:space="preserve"> 5.87%. There is a ~1 in 17 chance of ETH dropping below the liquidation threshold ($2,290) in the next month.</w:t>
      </w:r>
    </w:p>
    <w:p w14:paraId="3ABB9C87" w14:textId="5F5D1589" w:rsidR="00961016" w:rsidRPr="00961016" w:rsidRDefault="00961016" w:rsidP="007710F1">
      <w:pPr>
        <w:spacing w:line="360" w:lineRule="auto"/>
        <w:jc w:val="center"/>
        <w:rPr>
          <w:rFonts w:cstheme="minorHAnsi"/>
        </w:rPr>
      </w:pPr>
      <w:r>
        <w:rPr>
          <w:rFonts w:cstheme="minorHAnsi"/>
          <w:noProof/>
        </w:rPr>
        <w:lastRenderedPageBreak/>
        <w:drawing>
          <wp:inline distT="0" distB="0" distL="0" distR="0" wp14:anchorId="11101040" wp14:editId="774C515C">
            <wp:extent cx="5943600" cy="3230880"/>
            <wp:effectExtent l="0" t="0" r="0" b="7620"/>
            <wp:docPr id="464300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00111" name="Picture 464300111"/>
                    <pic:cNvPicPr/>
                  </pic:nvPicPr>
                  <pic:blipFill>
                    <a:blip r:embed="rId12">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p>
    <w:p w14:paraId="51ED98F3" w14:textId="77777777" w:rsidR="00961016" w:rsidRPr="00961016" w:rsidRDefault="00961016" w:rsidP="00961016">
      <w:pPr>
        <w:spacing w:line="360" w:lineRule="auto"/>
        <w:jc w:val="both"/>
        <w:rPr>
          <w:rFonts w:cstheme="minorHAnsi"/>
        </w:rPr>
      </w:pPr>
      <w:r w:rsidRPr="00961016">
        <w:rPr>
          <w:rFonts w:cstheme="minorHAnsi"/>
        </w:rPr>
        <w:t xml:space="preserve">Figure 5: </w:t>
      </w:r>
      <w:proofErr w:type="gramStart"/>
      <w:r w:rsidRPr="00961016">
        <w:rPr>
          <w:rFonts w:cstheme="minorHAnsi"/>
        </w:rPr>
        <w:t>Probability</w:t>
      </w:r>
      <w:proofErr w:type="gramEnd"/>
      <w:r w:rsidRPr="00961016">
        <w:rPr>
          <w:rFonts w:cstheme="minorHAnsi"/>
        </w:rPr>
        <w:t xml:space="preserve"> distribution of final prices. The red dashed line indicates the 95% Value at Risk cutoff.</w:t>
      </w:r>
    </w:p>
    <w:p w14:paraId="72B08719" w14:textId="77777777" w:rsidR="00961016" w:rsidRPr="00961016" w:rsidRDefault="00961016" w:rsidP="00961016">
      <w:pPr>
        <w:pStyle w:val="Heading2"/>
        <w:spacing w:line="360" w:lineRule="auto"/>
      </w:pPr>
      <w:bookmarkStart w:id="10" w:name="_Toc220011557"/>
      <w:r w:rsidRPr="00961016">
        <w:t>5. Module IV: Derivatives Pricing (DeFi Options)</w:t>
      </w:r>
      <w:bookmarkEnd w:id="10"/>
    </w:p>
    <w:p w14:paraId="793BD047" w14:textId="77777777" w:rsidR="00961016" w:rsidRPr="00961016" w:rsidRDefault="00961016" w:rsidP="00961016">
      <w:pPr>
        <w:spacing w:line="360" w:lineRule="auto"/>
        <w:jc w:val="both"/>
        <w:rPr>
          <w:rFonts w:cstheme="minorHAnsi"/>
        </w:rPr>
      </w:pPr>
      <w:r w:rsidRPr="00961016">
        <w:rPr>
          <w:rFonts w:cstheme="minorHAnsi"/>
          <w:b/>
          <w:bCs/>
        </w:rPr>
        <w:t>Objective:</w:t>
      </w:r>
      <w:r w:rsidRPr="00961016">
        <w:rPr>
          <w:rFonts w:cstheme="minorHAnsi"/>
        </w:rPr>
        <w:t xml:space="preserve"> To price an ETH Call Option for an Automated Option Vault (DOV) strategy.</w:t>
      </w:r>
    </w:p>
    <w:p w14:paraId="06B219ED" w14:textId="77777777" w:rsidR="00961016" w:rsidRPr="00961016" w:rsidRDefault="00961016" w:rsidP="00961016">
      <w:pPr>
        <w:pStyle w:val="Heading3"/>
        <w:spacing w:line="360" w:lineRule="auto"/>
      </w:pPr>
      <w:bookmarkStart w:id="11" w:name="_Toc220011558"/>
      <w:r w:rsidRPr="00961016">
        <w:t>5.1 Black-Scholes Valuation</w:t>
      </w:r>
      <w:bookmarkEnd w:id="11"/>
    </w:p>
    <w:p w14:paraId="79993C63" w14:textId="1C7F9783" w:rsidR="00961016" w:rsidRPr="00961016" w:rsidRDefault="00961016" w:rsidP="00961016">
      <w:pPr>
        <w:spacing w:line="360" w:lineRule="auto"/>
        <w:jc w:val="both"/>
        <w:rPr>
          <w:rFonts w:eastAsiaTheme="minorEastAsia" w:cstheme="minorHAnsi"/>
        </w:rPr>
      </w:pPr>
      <w:r w:rsidRPr="00961016">
        <w:rPr>
          <w:rFonts w:cstheme="minorHAnsi"/>
        </w:rPr>
        <w:t xml:space="preserve">Using the </w:t>
      </w:r>
      <w:proofErr w:type="gramStart"/>
      <w:r w:rsidRPr="00961016">
        <w:rPr>
          <w:rFonts w:cstheme="minorHAnsi"/>
        </w:rPr>
        <w:t>derived volatility</w:t>
      </w:r>
      <w:proofErr w:type="gramEnd"/>
      <w:r w:rsidRPr="00961016">
        <w:rPr>
          <w:rFonts w:cstheme="minorHAnsi"/>
        </w:rPr>
        <w:t xml:space="preserve"> from Module III </w:t>
      </w:r>
      <m:oMath>
        <m:sSub>
          <m:sSubPr>
            <m:ctrlPr>
              <w:rPr>
                <w:rFonts w:ascii="Cambria Math" w:hAnsi="Cambria Math" w:cstheme="minorHAnsi"/>
                <w:i/>
              </w:rPr>
            </m:ctrlPr>
          </m:sSubPr>
          <m:e>
            <m:r>
              <m:rPr>
                <m:sty m:val="p"/>
              </m:rPr>
              <w:rPr>
                <w:rFonts w:ascii="Cambria Math" w:hAnsi="Cambria Math" w:cstheme="minorHAnsi"/>
              </w:rPr>
              <m:t>σ</m:t>
            </m:r>
            <m:ctrlPr>
              <w:rPr>
                <w:rFonts w:ascii="Cambria Math" w:hAnsi="Cambria Math" w:cstheme="minorHAnsi"/>
              </w:rPr>
            </m:ctrlPr>
          </m:e>
          <m:sub>
            <m:r>
              <w:rPr>
                <w:rFonts w:ascii="Cambria Math" w:hAnsi="Cambria Math" w:cstheme="minorHAnsi"/>
              </w:rPr>
              <m:t>annual</m:t>
            </m:r>
          </m:sub>
        </m:sSub>
        <m:r>
          <w:rPr>
            <w:rFonts w:ascii="Cambria Math" w:hAnsi="Cambria Math" w:cstheme="minorHAnsi"/>
          </w:rPr>
          <m:t>=60%</m:t>
        </m:r>
      </m:oMath>
      <w:r w:rsidRPr="00961016">
        <w:rPr>
          <w:rFonts w:cstheme="minorHAnsi"/>
        </w:rPr>
        <w:t>, we priced an Out-of-the-Money (OTM) Call Option:</w:t>
      </w:r>
    </w:p>
    <w:p w14:paraId="06AE9103" w14:textId="77777777" w:rsidR="00961016" w:rsidRPr="00961016" w:rsidRDefault="00961016">
      <w:pPr>
        <w:numPr>
          <w:ilvl w:val="0"/>
          <w:numId w:val="6"/>
        </w:numPr>
        <w:spacing w:line="360" w:lineRule="auto"/>
        <w:jc w:val="both"/>
        <w:rPr>
          <w:rFonts w:cstheme="minorHAnsi"/>
        </w:rPr>
      </w:pPr>
      <w:r w:rsidRPr="00961016">
        <w:rPr>
          <w:rFonts w:cstheme="minorHAnsi"/>
          <w:b/>
          <w:bCs/>
        </w:rPr>
        <w:t>Spot Price:</w:t>
      </w:r>
      <w:r w:rsidRPr="00961016">
        <w:rPr>
          <w:rFonts w:cstheme="minorHAnsi"/>
        </w:rPr>
        <w:t xml:space="preserve"> $2,500</w:t>
      </w:r>
    </w:p>
    <w:p w14:paraId="71FDDB0E" w14:textId="77777777" w:rsidR="00961016" w:rsidRPr="00961016" w:rsidRDefault="00961016">
      <w:pPr>
        <w:numPr>
          <w:ilvl w:val="0"/>
          <w:numId w:val="6"/>
        </w:numPr>
        <w:spacing w:line="360" w:lineRule="auto"/>
        <w:jc w:val="both"/>
        <w:rPr>
          <w:rFonts w:cstheme="minorHAnsi"/>
        </w:rPr>
      </w:pPr>
      <w:r w:rsidRPr="00961016">
        <w:rPr>
          <w:rFonts w:cstheme="minorHAnsi"/>
          <w:b/>
          <w:bCs/>
        </w:rPr>
        <w:t>Strike Price:</w:t>
      </w:r>
      <w:r w:rsidRPr="00961016">
        <w:rPr>
          <w:rFonts w:cstheme="minorHAnsi"/>
        </w:rPr>
        <w:t xml:space="preserve"> $2,600 (Expiry: 30 Days)</w:t>
      </w:r>
    </w:p>
    <w:p w14:paraId="32C9A66B" w14:textId="77777777" w:rsidR="00961016" w:rsidRPr="00961016" w:rsidRDefault="00961016">
      <w:pPr>
        <w:numPr>
          <w:ilvl w:val="0"/>
          <w:numId w:val="6"/>
        </w:numPr>
        <w:spacing w:line="360" w:lineRule="auto"/>
        <w:jc w:val="both"/>
        <w:rPr>
          <w:rFonts w:cstheme="minorHAnsi"/>
        </w:rPr>
      </w:pPr>
      <w:r w:rsidRPr="00961016">
        <w:rPr>
          <w:rFonts w:cstheme="minorHAnsi"/>
          <w:b/>
          <w:bCs/>
        </w:rPr>
        <w:t>Theoretical Price:</w:t>
      </w:r>
      <w:r w:rsidRPr="00961016">
        <w:rPr>
          <w:rFonts w:cstheme="minorHAnsi"/>
        </w:rPr>
        <w:t xml:space="preserve"> </w:t>
      </w:r>
      <w:r w:rsidRPr="00961016">
        <w:rPr>
          <w:rFonts w:cstheme="minorHAnsi"/>
          <w:b/>
          <w:bCs/>
        </w:rPr>
        <w:t>$133.35</w:t>
      </w:r>
    </w:p>
    <w:p w14:paraId="7D0213EF" w14:textId="77777777" w:rsidR="00961016" w:rsidRPr="00961016" w:rsidRDefault="00961016" w:rsidP="00961016">
      <w:pPr>
        <w:pStyle w:val="Heading3"/>
        <w:spacing w:line="360" w:lineRule="auto"/>
      </w:pPr>
      <w:bookmarkStart w:id="12" w:name="_Toc220011559"/>
      <w:r w:rsidRPr="00961016">
        <w:t>5.2 The Greeks (Risk Sensitivities)</w:t>
      </w:r>
      <w:bookmarkEnd w:id="12"/>
    </w:p>
    <w:p w14:paraId="53C3B973" w14:textId="63395CFD" w:rsidR="00961016" w:rsidRPr="00961016" w:rsidRDefault="00961016">
      <w:pPr>
        <w:numPr>
          <w:ilvl w:val="0"/>
          <w:numId w:val="7"/>
        </w:numPr>
        <w:spacing w:line="360" w:lineRule="auto"/>
        <w:jc w:val="both"/>
        <w:rPr>
          <w:rFonts w:eastAsiaTheme="minorEastAsia" w:cstheme="minorHAnsi"/>
        </w:rPr>
      </w:pPr>
      <w:r w:rsidRPr="00961016">
        <w:rPr>
          <w:rFonts w:cstheme="minorHAnsi"/>
          <w:b/>
          <w:bCs/>
        </w:rPr>
        <w:t xml:space="preserve">Delta </w:t>
      </w:r>
      <m:oMath>
        <m:r>
          <m:rPr>
            <m:sty m:val="b"/>
          </m:rPr>
          <w:rPr>
            <w:rFonts w:ascii="Cambria Math" w:hAnsi="Cambria Math" w:cstheme="minorHAnsi"/>
          </w:rPr>
          <m:t>Δ</m:t>
        </m:r>
      </m:oMath>
      <w:r w:rsidRPr="00961016">
        <w:rPr>
          <w:rFonts w:cstheme="minorHAnsi"/>
          <w:b/>
          <w:bCs/>
        </w:rPr>
        <w:t>: 0.4530.</w:t>
      </w:r>
    </w:p>
    <w:p w14:paraId="16AE53E9" w14:textId="77777777" w:rsidR="00961016" w:rsidRPr="00961016" w:rsidRDefault="00961016">
      <w:pPr>
        <w:numPr>
          <w:ilvl w:val="1"/>
          <w:numId w:val="7"/>
        </w:numPr>
        <w:spacing w:line="360" w:lineRule="auto"/>
        <w:jc w:val="both"/>
        <w:rPr>
          <w:rFonts w:cstheme="minorHAnsi"/>
        </w:rPr>
      </w:pPr>
      <w:r w:rsidRPr="00961016">
        <w:rPr>
          <w:rFonts w:cstheme="minorHAnsi"/>
          <w:i/>
          <w:iCs/>
        </w:rPr>
        <w:t>Interpretation:</w:t>
      </w:r>
      <w:r w:rsidRPr="00961016">
        <w:rPr>
          <w:rFonts w:cstheme="minorHAnsi"/>
        </w:rPr>
        <w:t xml:space="preserve"> For every $1.00 increase in ETH price, the option value increases by $0.45. To </w:t>
      </w:r>
      <w:proofErr w:type="gramStart"/>
      <w:r w:rsidRPr="00961016">
        <w:rPr>
          <w:rFonts w:cstheme="minorHAnsi"/>
        </w:rPr>
        <w:t>delta-hedge</w:t>
      </w:r>
      <w:proofErr w:type="gramEnd"/>
      <w:r w:rsidRPr="00961016">
        <w:rPr>
          <w:rFonts w:cstheme="minorHAnsi"/>
        </w:rPr>
        <w:t xml:space="preserve"> this position, the vault would need to hold 0.45 ETH for every option sold.</w:t>
      </w:r>
    </w:p>
    <w:p w14:paraId="38D5D109" w14:textId="69B35035" w:rsidR="00961016" w:rsidRPr="00961016" w:rsidRDefault="00961016">
      <w:pPr>
        <w:numPr>
          <w:ilvl w:val="0"/>
          <w:numId w:val="7"/>
        </w:numPr>
        <w:spacing w:line="360" w:lineRule="auto"/>
        <w:jc w:val="both"/>
        <w:rPr>
          <w:rFonts w:eastAsiaTheme="minorEastAsia" w:cstheme="minorHAnsi"/>
        </w:rPr>
      </w:pPr>
      <w:r w:rsidRPr="00961016">
        <w:rPr>
          <w:rFonts w:cstheme="minorHAnsi"/>
          <w:b/>
          <w:bCs/>
        </w:rPr>
        <w:t xml:space="preserve">Gamma </w:t>
      </w:r>
      <m:oMath>
        <m:r>
          <m:rPr>
            <m:sty m:val="b"/>
          </m:rPr>
          <w:rPr>
            <w:rFonts w:ascii="Cambria Math" w:hAnsi="Cambria Math" w:cstheme="minorHAnsi"/>
          </w:rPr>
          <m:t>Γ</m:t>
        </m:r>
      </m:oMath>
      <w:r w:rsidRPr="00961016">
        <w:rPr>
          <w:rFonts w:cstheme="minorHAnsi"/>
          <w:b/>
          <w:bCs/>
        </w:rPr>
        <w:t>:</w:t>
      </w:r>
      <w:r w:rsidRPr="00961016">
        <w:rPr>
          <w:rFonts w:cstheme="minorHAnsi"/>
        </w:rPr>
        <w:t xml:space="preserve"> Visualized in Figure 6, Gamma peaks at the strike price, indicating where hedging risk is highest.</w:t>
      </w:r>
    </w:p>
    <w:p w14:paraId="1D56D74F" w14:textId="26F05AAF" w:rsidR="00961016" w:rsidRPr="00961016" w:rsidRDefault="00961016" w:rsidP="007710F1">
      <w:pPr>
        <w:spacing w:line="360" w:lineRule="auto"/>
        <w:jc w:val="center"/>
        <w:rPr>
          <w:rFonts w:eastAsiaTheme="minorEastAsia" w:cstheme="minorHAnsi"/>
        </w:rPr>
      </w:pPr>
      <w:r>
        <w:rPr>
          <w:rFonts w:eastAsiaTheme="minorEastAsia" w:cstheme="minorHAnsi"/>
          <w:noProof/>
        </w:rPr>
        <w:lastRenderedPageBreak/>
        <w:drawing>
          <wp:inline distT="0" distB="0" distL="0" distR="0" wp14:anchorId="6DD3BAD9" wp14:editId="079ED7F3">
            <wp:extent cx="6507503" cy="2409825"/>
            <wp:effectExtent l="0" t="0" r="7620" b="0"/>
            <wp:docPr id="1578043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43258" name="Picture 15780432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08472" cy="2410184"/>
                    </a:xfrm>
                    <a:prstGeom prst="rect">
                      <a:avLst/>
                    </a:prstGeom>
                  </pic:spPr>
                </pic:pic>
              </a:graphicData>
            </a:graphic>
          </wp:inline>
        </w:drawing>
      </w:r>
    </w:p>
    <w:p w14:paraId="7310F9D4" w14:textId="77777777" w:rsidR="00961016" w:rsidRPr="00961016" w:rsidRDefault="00961016" w:rsidP="00961016">
      <w:pPr>
        <w:spacing w:line="360" w:lineRule="auto"/>
        <w:jc w:val="both"/>
        <w:rPr>
          <w:rFonts w:cstheme="minorHAnsi"/>
        </w:rPr>
      </w:pPr>
      <w:r w:rsidRPr="00961016">
        <w:rPr>
          <w:rFonts w:cstheme="minorHAnsi"/>
        </w:rPr>
        <w:t>Figure 6: Sensitivity analysis showing Option Price (Convexity), Delta (Velocity), and Gamma (Acceleration).</w:t>
      </w:r>
    </w:p>
    <w:p w14:paraId="426F79C0" w14:textId="77777777" w:rsidR="00961016" w:rsidRPr="00961016" w:rsidRDefault="00961016" w:rsidP="00961016">
      <w:pPr>
        <w:pStyle w:val="Heading2"/>
        <w:spacing w:line="360" w:lineRule="auto"/>
      </w:pPr>
      <w:bookmarkStart w:id="13" w:name="_Toc220011560"/>
      <w:r w:rsidRPr="00961016">
        <w:t>6. Conclusion</w:t>
      </w:r>
      <w:bookmarkEnd w:id="13"/>
    </w:p>
    <w:p w14:paraId="499EA4C6" w14:textId="77777777" w:rsidR="00961016" w:rsidRPr="00961016" w:rsidRDefault="00961016" w:rsidP="00961016">
      <w:pPr>
        <w:spacing w:line="360" w:lineRule="auto"/>
        <w:jc w:val="both"/>
        <w:rPr>
          <w:rFonts w:cstheme="minorHAnsi"/>
        </w:rPr>
      </w:pPr>
      <w:r w:rsidRPr="00961016">
        <w:rPr>
          <w:rFonts w:cstheme="minorHAnsi"/>
        </w:rPr>
        <w:t>This capstone project demonstrates that DeFi markets, while innovative, adhere to the fundamental laws of financial mathematics.</w:t>
      </w:r>
    </w:p>
    <w:p w14:paraId="66241A97" w14:textId="77777777" w:rsidR="00961016" w:rsidRPr="00961016" w:rsidRDefault="00961016">
      <w:pPr>
        <w:numPr>
          <w:ilvl w:val="0"/>
          <w:numId w:val="8"/>
        </w:numPr>
        <w:spacing w:line="360" w:lineRule="auto"/>
        <w:jc w:val="both"/>
        <w:rPr>
          <w:rFonts w:cstheme="minorHAnsi"/>
        </w:rPr>
      </w:pPr>
      <w:r w:rsidRPr="00961016">
        <w:rPr>
          <w:rFonts w:cstheme="minorHAnsi"/>
          <w:b/>
          <w:bCs/>
        </w:rPr>
        <w:t>Arbitrage:</w:t>
      </w:r>
      <w:r w:rsidRPr="00961016">
        <w:rPr>
          <w:rFonts w:cstheme="minorHAnsi"/>
        </w:rPr>
        <w:t xml:space="preserve"> is not guaranteed by correlation alone.</w:t>
      </w:r>
    </w:p>
    <w:p w14:paraId="121D0AD2" w14:textId="77777777" w:rsidR="00961016" w:rsidRPr="00961016" w:rsidRDefault="00961016">
      <w:pPr>
        <w:numPr>
          <w:ilvl w:val="0"/>
          <w:numId w:val="8"/>
        </w:numPr>
        <w:spacing w:line="360" w:lineRule="auto"/>
        <w:jc w:val="both"/>
        <w:rPr>
          <w:rFonts w:cstheme="minorHAnsi"/>
        </w:rPr>
      </w:pPr>
      <w:r w:rsidRPr="00961016">
        <w:rPr>
          <w:rFonts w:cstheme="minorHAnsi"/>
          <w:b/>
          <w:bCs/>
        </w:rPr>
        <w:t>Risk:</w:t>
      </w:r>
      <w:r w:rsidRPr="00961016">
        <w:rPr>
          <w:rFonts w:cstheme="minorHAnsi"/>
        </w:rPr>
        <w:t xml:space="preserve"> is quantifiable via stochastic simulation.</w:t>
      </w:r>
    </w:p>
    <w:p w14:paraId="7F34C658" w14:textId="77777777" w:rsidR="00961016" w:rsidRPr="00961016" w:rsidRDefault="00961016">
      <w:pPr>
        <w:numPr>
          <w:ilvl w:val="0"/>
          <w:numId w:val="8"/>
        </w:numPr>
        <w:spacing w:line="360" w:lineRule="auto"/>
        <w:jc w:val="both"/>
        <w:rPr>
          <w:rFonts w:cstheme="minorHAnsi"/>
        </w:rPr>
      </w:pPr>
      <w:r w:rsidRPr="00961016">
        <w:rPr>
          <w:rFonts w:cstheme="minorHAnsi"/>
          <w:b/>
          <w:bCs/>
        </w:rPr>
        <w:t>Yield:</w:t>
      </w:r>
      <w:r w:rsidRPr="00961016">
        <w:rPr>
          <w:rFonts w:cstheme="minorHAnsi"/>
        </w:rPr>
        <w:t xml:space="preserve"> (from AMMs or Options) is simply compensation for assuming convexity risk.</w:t>
      </w:r>
    </w:p>
    <w:p w14:paraId="4679D062" w14:textId="0B2E9EAF" w:rsidR="00C40136" w:rsidRPr="00961016" w:rsidRDefault="00961016" w:rsidP="00961016">
      <w:pPr>
        <w:spacing w:line="360" w:lineRule="auto"/>
        <w:jc w:val="both"/>
        <w:rPr>
          <w:rFonts w:cstheme="minorHAnsi"/>
        </w:rPr>
      </w:pPr>
      <w:r w:rsidRPr="00961016">
        <w:rPr>
          <w:rFonts w:cstheme="minorHAnsi"/>
        </w:rPr>
        <w:t>Future work will focus on integrating these modules into a live "Vault Strategy" that dynamically hedges AMM Impermanent Loss using the options priced in Module IV.</w:t>
      </w:r>
    </w:p>
    <w:sectPr w:rsidR="00C40136" w:rsidRPr="00961016" w:rsidSect="007710F1">
      <w:footerReference w:type="default" r:id="rId14"/>
      <w:pgSz w:w="12240" w:h="15840" w:code="1"/>
      <w:pgMar w:top="1440" w:right="1440" w:bottom="1440" w:left="1440" w:header="709" w:footer="227" w:gutter="0"/>
      <w:pgNumType w:start="1"/>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8B975" w14:textId="77777777" w:rsidR="00D737F1" w:rsidRDefault="00D737F1" w:rsidP="00FE5942">
      <w:pPr>
        <w:spacing w:after="0" w:line="240" w:lineRule="auto"/>
      </w:pPr>
      <w:r>
        <w:separator/>
      </w:r>
    </w:p>
  </w:endnote>
  <w:endnote w:type="continuationSeparator" w:id="0">
    <w:p w14:paraId="358BBB5D" w14:textId="77777777" w:rsidR="00D737F1" w:rsidRDefault="00D737F1" w:rsidP="00FE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E3F4" w14:textId="77777777" w:rsidR="00FE5942" w:rsidRDefault="00FE5942">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358C5D45" w14:textId="77777777" w:rsidR="00FE5942" w:rsidRDefault="00FE5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DDF8F" w14:textId="77777777" w:rsidR="00D737F1" w:rsidRDefault="00D737F1" w:rsidP="00FE5942">
      <w:pPr>
        <w:spacing w:after="0" w:line="240" w:lineRule="auto"/>
      </w:pPr>
      <w:r>
        <w:separator/>
      </w:r>
    </w:p>
  </w:footnote>
  <w:footnote w:type="continuationSeparator" w:id="0">
    <w:p w14:paraId="04701404" w14:textId="77777777" w:rsidR="00D737F1" w:rsidRDefault="00D737F1" w:rsidP="00FE59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9C6"/>
    <w:multiLevelType w:val="multilevel"/>
    <w:tmpl w:val="F43A20AE"/>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80300"/>
    <w:multiLevelType w:val="multilevel"/>
    <w:tmpl w:val="AA8072E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03CC8"/>
    <w:multiLevelType w:val="multilevel"/>
    <w:tmpl w:val="27821250"/>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47A11"/>
    <w:multiLevelType w:val="multilevel"/>
    <w:tmpl w:val="2C2A8D7E"/>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21A1E"/>
    <w:multiLevelType w:val="multilevel"/>
    <w:tmpl w:val="C612237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3B49A1"/>
    <w:multiLevelType w:val="hybridMultilevel"/>
    <w:tmpl w:val="B1EAEE3C"/>
    <w:styleLink w:val="Bullet"/>
    <w:lvl w:ilvl="0" w:tplc="3ACAABE6">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0F6283D0">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5BC87E46">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A652478E">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83CFB50">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E976EA24">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ECC4B698">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979EFAEC">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E5CC6D2A">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15:restartNumberingAfterBreak="0">
    <w:nsid w:val="788442D7"/>
    <w:multiLevelType w:val="multilevel"/>
    <w:tmpl w:val="72F4872C"/>
    <w:lvl w:ilvl="0">
      <w:start w:val="1"/>
      <w:numFmt w:val="bullet"/>
      <w:lvlText w:val=""/>
      <w:lvlJc w:val="left"/>
      <w:pPr>
        <w:tabs>
          <w:tab w:val="num" w:pos="720"/>
        </w:tabs>
        <w:ind w:left="720" w:hanging="360"/>
      </w:pPr>
      <w:rPr>
        <w:rFonts w:ascii="Symbol" w:hAnsi="Symbol" w:hint="default"/>
        <w:b/>
        <w:bCs/>
        <w:sz w:val="20"/>
      </w:rPr>
    </w:lvl>
    <w:lvl w:ilvl="1">
      <w:start w:val="1"/>
      <w:numFmt w:val="bullet"/>
      <w:lvlText w:val="o"/>
      <w:lvlJc w:val="left"/>
      <w:pPr>
        <w:tabs>
          <w:tab w:val="num" w:pos="1440"/>
        </w:tabs>
        <w:ind w:left="1440" w:hanging="360"/>
      </w:pPr>
      <w:rPr>
        <w:rFonts w:ascii="Courier New" w:hAnsi="Courier New"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A7113"/>
    <w:multiLevelType w:val="multilevel"/>
    <w:tmpl w:val="C2EE9C2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148610">
    <w:abstractNumId w:val="5"/>
  </w:num>
  <w:num w:numId="2" w16cid:durableId="1193223889">
    <w:abstractNumId w:val="4"/>
  </w:num>
  <w:num w:numId="3" w16cid:durableId="989363444">
    <w:abstractNumId w:val="3"/>
  </w:num>
  <w:num w:numId="4" w16cid:durableId="158429822">
    <w:abstractNumId w:val="0"/>
  </w:num>
  <w:num w:numId="5" w16cid:durableId="1430783453">
    <w:abstractNumId w:val="1"/>
  </w:num>
  <w:num w:numId="6" w16cid:durableId="1926843383">
    <w:abstractNumId w:val="2"/>
  </w:num>
  <w:num w:numId="7" w16cid:durableId="1062171968">
    <w:abstractNumId w:val="6"/>
  </w:num>
  <w:num w:numId="8" w16cid:durableId="128595948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96"/>
    <w:rsid w:val="00000A67"/>
    <w:rsid w:val="00000BD0"/>
    <w:rsid w:val="000033C4"/>
    <w:rsid w:val="00006EB4"/>
    <w:rsid w:val="00011CD7"/>
    <w:rsid w:val="00012317"/>
    <w:rsid w:val="00012417"/>
    <w:rsid w:val="00012922"/>
    <w:rsid w:val="0001353D"/>
    <w:rsid w:val="000138AF"/>
    <w:rsid w:val="000145A2"/>
    <w:rsid w:val="000171BC"/>
    <w:rsid w:val="00017687"/>
    <w:rsid w:val="00020184"/>
    <w:rsid w:val="00020913"/>
    <w:rsid w:val="000227B5"/>
    <w:rsid w:val="00022B98"/>
    <w:rsid w:val="00022D21"/>
    <w:rsid w:val="00024D0D"/>
    <w:rsid w:val="00025257"/>
    <w:rsid w:val="00026BE9"/>
    <w:rsid w:val="00030632"/>
    <w:rsid w:val="00031E23"/>
    <w:rsid w:val="0003730D"/>
    <w:rsid w:val="00037849"/>
    <w:rsid w:val="000415A5"/>
    <w:rsid w:val="00041AAC"/>
    <w:rsid w:val="00041F19"/>
    <w:rsid w:val="00042C2F"/>
    <w:rsid w:val="00044C2B"/>
    <w:rsid w:val="00046C7B"/>
    <w:rsid w:val="00046D7E"/>
    <w:rsid w:val="000475A5"/>
    <w:rsid w:val="00050929"/>
    <w:rsid w:val="00051773"/>
    <w:rsid w:val="000549F2"/>
    <w:rsid w:val="00056BE1"/>
    <w:rsid w:val="00061629"/>
    <w:rsid w:val="00061F55"/>
    <w:rsid w:val="00065243"/>
    <w:rsid w:val="00066882"/>
    <w:rsid w:val="00067AB1"/>
    <w:rsid w:val="0007045A"/>
    <w:rsid w:val="000718A1"/>
    <w:rsid w:val="00080397"/>
    <w:rsid w:val="00080539"/>
    <w:rsid w:val="00081529"/>
    <w:rsid w:val="0008743E"/>
    <w:rsid w:val="000912A6"/>
    <w:rsid w:val="0009163A"/>
    <w:rsid w:val="00093A8E"/>
    <w:rsid w:val="00094FB2"/>
    <w:rsid w:val="0009533E"/>
    <w:rsid w:val="0009601C"/>
    <w:rsid w:val="00096CB8"/>
    <w:rsid w:val="000A180A"/>
    <w:rsid w:val="000A2314"/>
    <w:rsid w:val="000A5362"/>
    <w:rsid w:val="000B0E55"/>
    <w:rsid w:val="000B1BCC"/>
    <w:rsid w:val="000B3F61"/>
    <w:rsid w:val="000C22E5"/>
    <w:rsid w:val="000C2BEE"/>
    <w:rsid w:val="000C389A"/>
    <w:rsid w:val="000C5908"/>
    <w:rsid w:val="000C5981"/>
    <w:rsid w:val="000C5ADF"/>
    <w:rsid w:val="000C6710"/>
    <w:rsid w:val="000D0D2B"/>
    <w:rsid w:val="000D339D"/>
    <w:rsid w:val="000D5612"/>
    <w:rsid w:val="000D5C52"/>
    <w:rsid w:val="000F0645"/>
    <w:rsid w:val="000F20C1"/>
    <w:rsid w:val="000F2D3D"/>
    <w:rsid w:val="000F4147"/>
    <w:rsid w:val="000F7ECF"/>
    <w:rsid w:val="000F7F28"/>
    <w:rsid w:val="00100C20"/>
    <w:rsid w:val="00103DC6"/>
    <w:rsid w:val="00104726"/>
    <w:rsid w:val="001076B8"/>
    <w:rsid w:val="001077DF"/>
    <w:rsid w:val="00110A19"/>
    <w:rsid w:val="00110E99"/>
    <w:rsid w:val="001110C2"/>
    <w:rsid w:val="00113E8C"/>
    <w:rsid w:val="001178BC"/>
    <w:rsid w:val="0012036E"/>
    <w:rsid w:val="00122666"/>
    <w:rsid w:val="00125498"/>
    <w:rsid w:val="00125C3D"/>
    <w:rsid w:val="00133A52"/>
    <w:rsid w:val="0013688D"/>
    <w:rsid w:val="00136B6F"/>
    <w:rsid w:val="00137C5E"/>
    <w:rsid w:val="0014037C"/>
    <w:rsid w:val="00141736"/>
    <w:rsid w:val="001426A3"/>
    <w:rsid w:val="001433A0"/>
    <w:rsid w:val="0014427E"/>
    <w:rsid w:val="00152888"/>
    <w:rsid w:val="00153BE3"/>
    <w:rsid w:val="001540C7"/>
    <w:rsid w:val="00155C23"/>
    <w:rsid w:val="00156041"/>
    <w:rsid w:val="00156400"/>
    <w:rsid w:val="00161A44"/>
    <w:rsid w:val="00161D0A"/>
    <w:rsid w:val="0016206B"/>
    <w:rsid w:val="001625BA"/>
    <w:rsid w:val="00163FC4"/>
    <w:rsid w:val="00167127"/>
    <w:rsid w:val="001677CD"/>
    <w:rsid w:val="0017261D"/>
    <w:rsid w:val="00173731"/>
    <w:rsid w:val="0017554E"/>
    <w:rsid w:val="001778C6"/>
    <w:rsid w:val="001811EC"/>
    <w:rsid w:val="00181540"/>
    <w:rsid w:val="00181692"/>
    <w:rsid w:val="00181D25"/>
    <w:rsid w:val="00182507"/>
    <w:rsid w:val="00183701"/>
    <w:rsid w:val="00183784"/>
    <w:rsid w:val="00186BFB"/>
    <w:rsid w:val="00190FDA"/>
    <w:rsid w:val="001913DE"/>
    <w:rsid w:val="00191B10"/>
    <w:rsid w:val="00194744"/>
    <w:rsid w:val="001962E2"/>
    <w:rsid w:val="00197091"/>
    <w:rsid w:val="001A2FB8"/>
    <w:rsid w:val="001A4AF9"/>
    <w:rsid w:val="001A6EEB"/>
    <w:rsid w:val="001B0443"/>
    <w:rsid w:val="001B0605"/>
    <w:rsid w:val="001B2238"/>
    <w:rsid w:val="001C2E88"/>
    <w:rsid w:val="001C3E99"/>
    <w:rsid w:val="001C4CA4"/>
    <w:rsid w:val="001C7235"/>
    <w:rsid w:val="001C7B70"/>
    <w:rsid w:val="001D0B3B"/>
    <w:rsid w:val="001D1834"/>
    <w:rsid w:val="001D42F8"/>
    <w:rsid w:val="001E1A63"/>
    <w:rsid w:val="001E2909"/>
    <w:rsid w:val="001E31CE"/>
    <w:rsid w:val="001E3F68"/>
    <w:rsid w:val="001E43F9"/>
    <w:rsid w:val="001E5740"/>
    <w:rsid w:val="001E5DA3"/>
    <w:rsid w:val="001F494E"/>
    <w:rsid w:val="00200229"/>
    <w:rsid w:val="00200730"/>
    <w:rsid w:val="00200F4F"/>
    <w:rsid w:val="00204857"/>
    <w:rsid w:val="00211710"/>
    <w:rsid w:val="00211CC7"/>
    <w:rsid w:val="00212458"/>
    <w:rsid w:val="002144C9"/>
    <w:rsid w:val="00214EB7"/>
    <w:rsid w:val="00216E13"/>
    <w:rsid w:val="0021799C"/>
    <w:rsid w:val="0022260A"/>
    <w:rsid w:val="0022283A"/>
    <w:rsid w:val="00222F81"/>
    <w:rsid w:val="002238EC"/>
    <w:rsid w:val="00225E4B"/>
    <w:rsid w:val="00227FB8"/>
    <w:rsid w:val="00234B52"/>
    <w:rsid w:val="00236157"/>
    <w:rsid w:val="00237C91"/>
    <w:rsid w:val="00240DAD"/>
    <w:rsid w:val="00240E0E"/>
    <w:rsid w:val="00242117"/>
    <w:rsid w:val="00242951"/>
    <w:rsid w:val="00245826"/>
    <w:rsid w:val="0024656F"/>
    <w:rsid w:val="00247C18"/>
    <w:rsid w:val="00247F66"/>
    <w:rsid w:val="00247FBE"/>
    <w:rsid w:val="00254F9E"/>
    <w:rsid w:val="0025641C"/>
    <w:rsid w:val="00256F1C"/>
    <w:rsid w:val="00260DA6"/>
    <w:rsid w:val="00261C96"/>
    <w:rsid w:val="00263D1A"/>
    <w:rsid w:val="00264457"/>
    <w:rsid w:val="00264659"/>
    <w:rsid w:val="00265901"/>
    <w:rsid w:val="00265C9F"/>
    <w:rsid w:val="00270875"/>
    <w:rsid w:val="00271927"/>
    <w:rsid w:val="0027416D"/>
    <w:rsid w:val="0027558D"/>
    <w:rsid w:val="0028038A"/>
    <w:rsid w:val="00282D27"/>
    <w:rsid w:val="0028303D"/>
    <w:rsid w:val="00283F97"/>
    <w:rsid w:val="002842AC"/>
    <w:rsid w:val="0028512B"/>
    <w:rsid w:val="00287B58"/>
    <w:rsid w:val="00292D19"/>
    <w:rsid w:val="00293E97"/>
    <w:rsid w:val="0029529B"/>
    <w:rsid w:val="00295864"/>
    <w:rsid w:val="00295EFF"/>
    <w:rsid w:val="002A4DC5"/>
    <w:rsid w:val="002A69E5"/>
    <w:rsid w:val="002B71F4"/>
    <w:rsid w:val="002C3D55"/>
    <w:rsid w:val="002C51F9"/>
    <w:rsid w:val="002C5774"/>
    <w:rsid w:val="002C6DCD"/>
    <w:rsid w:val="002C7412"/>
    <w:rsid w:val="002D0089"/>
    <w:rsid w:val="002D2C66"/>
    <w:rsid w:val="002D3143"/>
    <w:rsid w:val="002D34FF"/>
    <w:rsid w:val="002D36FD"/>
    <w:rsid w:val="002D4B83"/>
    <w:rsid w:val="002D6476"/>
    <w:rsid w:val="002D67D6"/>
    <w:rsid w:val="002E0941"/>
    <w:rsid w:val="002E45BB"/>
    <w:rsid w:val="002E61F1"/>
    <w:rsid w:val="002F03DD"/>
    <w:rsid w:val="002F07D7"/>
    <w:rsid w:val="002F31FE"/>
    <w:rsid w:val="002F454B"/>
    <w:rsid w:val="0030055D"/>
    <w:rsid w:val="00300AD9"/>
    <w:rsid w:val="00302199"/>
    <w:rsid w:val="003035F4"/>
    <w:rsid w:val="003049B1"/>
    <w:rsid w:val="00305826"/>
    <w:rsid w:val="00316CB3"/>
    <w:rsid w:val="00317973"/>
    <w:rsid w:val="0032095C"/>
    <w:rsid w:val="003225BE"/>
    <w:rsid w:val="00322F58"/>
    <w:rsid w:val="00327420"/>
    <w:rsid w:val="003303BB"/>
    <w:rsid w:val="0033104F"/>
    <w:rsid w:val="00332001"/>
    <w:rsid w:val="00334DCE"/>
    <w:rsid w:val="00335A51"/>
    <w:rsid w:val="00335ED1"/>
    <w:rsid w:val="0034477D"/>
    <w:rsid w:val="00345CB5"/>
    <w:rsid w:val="00345F98"/>
    <w:rsid w:val="003462D6"/>
    <w:rsid w:val="00351E9A"/>
    <w:rsid w:val="00352848"/>
    <w:rsid w:val="0035292F"/>
    <w:rsid w:val="00354C74"/>
    <w:rsid w:val="00355CC9"/>
    <w:rsid w:val="00361815"/>
    <w:rsid w:val="003626B8"/>
    <w:rsid w:val="00363395"/>
    <w:rsid w:val="00367F04"/>
    <w:rsid w:val="003713FC"/>
    <w:rsid w:val="0037226B"/>
    <w:rsid w:val="0037322E"/>
    <w:rsid w:val="00374BF9"/>
    <w:rsid w:val="00374E5E"/>
    <w:rsid w:val="00380334"/>
    <w:rsid w:val="003818B4"/>
    <w:rsid w:val="003836FF"/>
    <w:rsid w:val="00385BA2"/>
    <w:rsid w:val="00385FCE"/>
    <w:rsid w:val="003864D1"/>
    <w:rsid w:val="00391F60"/>
    <w:rsid w:val="003942F6"/>
    <w:rsid w:val="0039464B"/>
    <w:rsid w:val="003948EF"/>
    <w:rsid w:val="0039779E"/>
    <w:rsid w:val="003A17BF"/>
    <w:rsid w:val="003A1A03"/>
    <w:rsid w:val="003A1A15"/>
    <w:rsid w:val="003A212F"/>
    <w:rsid w:val="003A4356"/>
    <w:rsid w:val="003A4A6A"/>
    <w:rsid w:val="003A54B7"/>
    <w:rsid w:val="003A5E8C"/>
    <w:rsid w:val="003A74C1"/>
    <w:rsid w:val="003A7C59"/>
    <w:rsid w:val="003B253F"/>
    <w:rsid w:val="003B4D0A"/>
    <w:rsid w:val="003B74DD"/>
    <w:rsid w:val="003B7E96"/>
    <w:rsid w:val="003C0D46"/>
    <w:rsid w:val="003C0F23"/>
    <w:rsid w:val="003C2174"/>
    <w:rsid w:val="003C34CD"/>
    <w:rsid w:val="003C4F4F"/>
    <w:rsid w:val="003C5AAB"/>
    <w:rsid w:val="003C5B82"/>
    <w:rsid w:val="003D1ECC"/>
    <w:rsid w:val="003D6A6B"/>
    <w:rsid w:val="003E6DCE"/>
    <w:rsid w:val="003F0451"/>
    <w:rsid w:val="003F1F38"/>
    <w:rsid w:val="003F7B44"/>
    <w:rsid w:val="00400D08"/>
    <w:rsid w:val="00403700"/>
    <w:rsid w:val="00405325"/>
    <w:rsid w:val="00406873"/>
    <w:rsid w:val="00411466"/>
    <w:rsid w:val="00412B4C"/>
    <w:rsid w:val="00417B58"/>
    <w:rsid w:val="00420CCB"/>
    <w:rsid w:val="00421EA7"/>
    <w:rsid w:val="0042215C"/>
    <w:rsid w:val="00422B70"/>
    <w:rsid w:val="00423E90"/>
    <w:rsid w:val="0042705C"/>
    <w:rsid w:val="00427C11"/>
    <w:rsid w:val="0043020B"/>
    <w:rsid w:val="00431060"/>
    <w:rsid w:val="00434833"/>
    <w:rsid w:val="00436EDE"/>
    <w:rsid w:val="004462E5"/>
    <w:rsid w:val="00446C5E"/>
    <w:rsid w:val="00450E11"/>
    <w:rsid w:val="0045106E"/>
    <w:rsid w:val="00452B96"/>
    <w:rsid w:val="00457E47"/>
    <w:rsid w:val="00461A44"/>
    <w:rsid w:val="0046200D"/>
    <w:rsid w:val="004620E5"/>
    <w:rsid w:val="00464484"/>
    <w:rsid w:val="004704A4"/>
    <w:rsid w:val="00471A2A"/>
    <w:rsid w:val="00473AEA"/>
    <w:rsid w:val="00474EB8"/>
    <w:rsid w:val="004757F1"/>
    <w:rsid w:val="00477BAB"/>
    <w:rsid w:val="0048089F"/>
    <w:rsid w:val="004823BF"/>
    <w:rsid w:val="004824A4"/>
    <w:rsid w:val="0048387B"/>
    <w:rsid w:val="00487FCD"/>
    <w:rsid w:val="00490567"/>
    <w:rsid w:val="00491911"/>
    <w:rsid w:val="004935C5"/>
    <w:rsid w:val="004971E5"/>
    <w:rsid w:val="00497644"/>
    <w:rsid w:val="004A19D0"/>
    <w:rsid w:val="004A33D8"/>
    <w:rsid w:val="004B5571"/>
    <w:rsid w:val="004B60EE"/>
    <w:rsid w:val="004C2214"/>
    <w:rsid w:val="004C2709"/>
    <w:rsid w:val="004C3511"/>
    <w:rsid w:val="004C3A51"/>
    <w:rsid w:val="004C3D8F"/>
    <w:rsid w:val="004C420E"/>
    <w:rsid w:val="004C62F2"/>
    <w:rsid w:val="004C6BF0"/>
    <w:rsid w:val="004C7E14"/>
    <w:rsid w:val="004D412B"/>
    <w:rsid w:val="004D68DA"/>
    <w:rsid w:val="004D6BD2"/>
    <w:rsid w:val="004E0339"/>
    <w:rsid w:val="004E1A4E"/>
    <w:rsid w:val="004E21E3"/>
    <w:rsid w:val="004E2B38"/>
    <w:rsid w:val="004E461C"/>
    <w:rsid w:val="004E54B8"/>
    <w:rsid w:val="004E5BA4"/>
    <w:rsid w:val="004F02C8"/>
    <w:rsid w:val="004F0C49"/>
    <w:rsid w:val="004F0C90"/>
    <w:rsid w:val="004F0E52"/>
    <w:rsid w:val="00500114"/>
    <w:rsid w:val="00501205"/>
    <w:rsid w:val="0050161B"/>
    <w:rsid w:val="005017CB"/>
    <w:rsid w:val="00501C02"/>
    <w:rsid w:val="00504545"/>
    <w:rsid w:val="00505219"/>
    <w:rsid w:val="00511E52"/>
    <w:rsid w:val="005128E2"/>
    <w:rsid w:val="005133D7"/>
    <w:rsid w:val="00514DBA"/>
    <w:rsid w:val="00515B66"/>
    <w:rsid w:val="0051613A"/>
    <w:rsid w:val="00520BE6"/>
    <w:rsid w:val="0052543B"/>
    <w:rsid w:val="005270FD"/>
    <w:rsid w:val="00527BA9"/>
    <w:rsid w:val="00531A0F"/>
    <w:rsid w:val="00531DF6"/>
    <w:rsid w:val="00542584"/>
    <w:rsid w:val="005426C9"/>
    <w:rsid w:val="00543093"/>
    <w:rsid w:val="00546E8F"/>
    <w:rsid w:val="00547093"/>
    <w:rsid w:val="00551161"/>
    <w:rsid w:val="005514D6"/>
    <w:rsid w:val="00551754"/>
    <w:rsid w:val="0056337F"/>
    <w:rsid w:val="00563E5A"/>
    <w:rsid w:val="00564C88"/>
    <w:rsid w:val="00565482"/>
    <w:rsid w:val="00566CF9"/>
    <w:rsid w:val="00566FD1"/>
    <w:rsid w:val="00576B95"/>
    <w:rsid w:val="00580539"/>
    <w:rsid w:val="00582671"/>
    <w:rsid w:val="00587AE2"/>
    <w:rsid w:val="005904B4"/>
    <w:rsid w:val="00590598"/>
    <w:rsid w:val="00591497"/>
    <w:rsid w:val="00591BBB"/>
    <w:rsid w:val="005A37C0"/>
    <w:rsid w:val="005A3A7D"/>
    <w:rsid w:val="005A4AA3"/>
    <w:rsid w:val="005A5866"/>
    <w:rsid w:val="005A5C1E"/>
    <w:rsid w:val="005A6BB8"/>
    <w:rsid w:val="005A6F18"/>
    <w:rsid w:val="005B0118"/>
    <w:rsid w:val="005B06B8"/>
    <w:rsid w:val="005B072A"/>
    <w:rsid w:val="005B3EE0"/>
    <w:rsid w:val="005B4DC5"/>
    <w:rsid w:val="005B5004"/>
    <w:rsid w:val="005B5918"/>
    <w:rsid w:val="005B746E"/>
    <w:rsid w:val="005C0A45"/>
    <w:rsid w:val="005C35FA"/>
    <w:rsid w:val="005C59B3"/>
    <w:rsid w:val="005C5C83"/>
    <w:rsid w:val="005C64E8"/>
    <w:rsid w:val="005C79A2"/>
    <w:rsid w:val="005C79B4"/>
    <w:rsid w:val="005D04AA"/>
    <w:rsid w:val="005D09FC"/>
    <w:rsid w:val="005D1A5F"/>
    <w:rsid w:val="005D23C9"/>
    <w:rsid w:val="005D2A23"/>
    <w:rsid w:val="005D4843"/>
    <w:rsid w:val="005D5A37"/>
    <w:rsid w:val="005D5DE6"/>
    <w:rsid w:val="005E33B6"/>
    <w:rsid w:val="005E35E2"/>
    <w:rsid w:val="005F2ECE"/>
    <w:rsid w:val="00601856"/>
    <w:rsid w:val="00604F73"/>
    <w:rsid w:val="00610ACA"/>
    <w:rsid w:val="00612596"/>
    <w:rsid w:val="00612957"/>
    <w:rsid w:val="00613547"/>
    <w:rsid w:val="00614113"/>
    <w:rsid w:val="006155AA"/>
    <w:rsid w:val="00616A1C"/>
    <w:rsid w:val="00620633"/>
    <w:rsid w:val="00621648"/>
    <w:rsid w:val="006217F8"/>
    <w:rsid w:val="006224A5"/>
    <w:rsid w:val="0062411A"/>
    <w:rsid w:val="00624C92"/>
    <w:rsid w:val="006254C8"/>
    <w:rsid w:val="00626605"/>
    <w:rsid w:val="0062718A"/>
    <w:rsid w:val="00627CE0"/>
    <w:rsid w:val="006347A1"/>
    <w:rsid w:val="00636CA4"/>
    <w:rsid w:val="006446A9"/>
    <w:rsid w:val="00644B0E"/>
    <w:rsid w:val="00644D2C"/>
    <w:rsid w:val="00645FCD"/>
    <w:rsid w:val="00652E80"/>
    <w:rsid w:val="006532C7"/>
    <w:rsid w:val="00654605"/>
    <w:rsid w:val="00656504"/>
    <w:rsid w:val="00656589"/>
    <w:rsid w:val="00656A78"/>
    <w:rsid w:val="00667ED4"/>
    <w:rsid w:val="006708D3"/>
    <w:rsid w:val="0067094D"/>
    <w:rsid w:val="00671837"/>
    <w:rsid w:val="00672862"/>
    <w:rsid w:val="006772DA"/>
    <w:rsid w:val="00680A6E"/>
    <w:rsid w:val="00680E4C"/>
    <w:rsid w:val="00681190"/>
    <w:rsid w:val="0068358E"/>
    <w:rsid w:val="00686C47"/>
    <w:rsid w:val="00687196"/>
    <w:rsid w:val="006910AD"/>
    <w:rsid w:val="006916F0"/>
    <w:rsid w:val="006928E0"/>
    <w:rsid w:val="0069495F"/>
    <w:rsid w:val="00696707"/>
    <w:rsid w:val="0069683B"/>
    <w:rsid w:val="006A180F"/>
    <w:rsid w:val="006A2003"/>
    <w:rsid w:val="006A5602"/>
    <w:rsid w:val="006A5612"/>
    <w:rsid w:val="006A641C"/>
    <w:rsid w:val="006A77C2"/>
    <w:rsid w:val="006B0165"/>
    <w:rsid w:val="006B3F0A"/>
    <w:rsid w:val="006B4E03"/>
    <w:rsid w:val="006B51A6"/>
    <w:rsid w:val="006C07FA"/>
    <w:rsid w:val="006C11A6"/>
    <w:rsid w:val="006C16DE"/>
    <w:rsid w:val="006C38FA"/>
    <w:rsid w:val="006C408E"/>
    <w:rsid w:val="006C4786"/>
    <w:rsid w:val="006C52D5"/>
    <w:rsid w:val="006D1A61"/>
    <w:rsid w:val="006D353D"/>
    <w:rsid w:val="006D47C8"/>
    <w:rsid w:val="006D6AF6"/>
    <w:rsid w:val="006E013C"/>
    <w:rsid w:val="006E117C"/>
    <w:rsid w:val="006E523D"/>
    <w:rsid w:val="006E72AE"/>
    <w:rsid w:val="006E7591"/>
    <w:rsid w:val="006F0DBF"/>
    <w:rsid w:val="006F31B7"/>
    <w:rsid w:val="006F38D5"/>
    <w:rsid w:val="006F3EB7"/>
    <w:rsid w:val="006F53E2"/>
    <w:rsid w:val="006F6DB6"/>
    <w:rsid w:val="006F7AD8"/>
    <w:rsid w:val="00701AB8"/>
    <w:rsid w:val="007048E9"/>
    <w:rsid w:val="00706D99"/>
    <w:rsid w:val="00707BF1"/>
    <w:rsid w:val="00711EBC"/>
    <w:rsid w:val="00714D8D"/>
    <w:rsid w:val="00720174"/>
    <w:rsid w:val="00722386"/>
    <w:rsid w:val="00723FDB"/>
    <w:rsid w:val="00724629"/>
    <w:rsid w:val="007254C0"/>
    <w:rsid w:val="00727991"/>
    <w:rsid w:val="00740438"/>
    <w:rsid w:val="007425A7"/>
    <w:rsid w:val="00743330"/>
    <w:rsid w:val="007452C4"/>
    <w:rsid w:val="00745717"/>
    <w:rsid w:val="00753C8C"/>
    <w:rsid w:val="0075422B"/>
    <w:rsid w:val="00754E92"/>
    <w:rsid w:val="00757C93"/>
    <w:rsid w:val="00760DCF"/>
    <w:rsid w:val="00761E0F"/>
    <w:rsid w:val="00770E64"/>
    <w:rsid w:val="00770E6C"/>
    <w:rsid w:val="007710F1"/>
    <w:rsid w:val="007717D0"/>
    <w:rsid w:val="00773F21"/>
    <w:rsid w:val="007764F9"/>
    <w:rsid w:val="0077745A"/>
    <w:rsid w:val="0077752D"/>
    <w:rsid w:val="0078148E"/>
    <w:rsid w:val="0078251B"/>
    <w:rsid w:val="0078319D"/>
    <w:rsid w:val="00794536"/>
    <w:rsid w:val="007A1F3D"/>
    <w:rsid w:val="007A43DA"/>
    <w:rsid w:val="007A5339"/>
    <w:rsid w:val="007A5A27"/>
    <w:rsid w:val="007A7CDB"/>
    <w:rsid w:val="007B2A30"/>
    <w:rsid w:val="007B33BD"/>
    <w:rsid w:val="007B5521"/>
    <w:rsid w:val="007B594F"/>
    <w:rsid w:val="007B5AC6"/>
    <w:rsid w:val="007B6856"/>
    <w:rsid w:val="007B6ED0"/>
    <w:rsid w:val="007C04C2"/>
    <w:rsid w:val="007C09F7"/>
    <w:rsid w:val="007C11AD"/>
    <w:rsid w:val="007C196D"/>
    <w:rsid w:val="007C20CA"/>
    <w:rsid w:val="007C2901"/>
    <w:rsid w:val="007C604F"/>
    <w:rsid w:val="007D0780"/>
    <w:rsid w:val="007D1C39"/>
    <w:rsid w:val="007D3202"/>
    <w:rsid w:val="007D4D3F"/>
    <w:rsid w:val="007D663F"/>
    <w:rsid w:val="007E45F0"/>
    <w:rsid w:val="007E4AE9"/>
    <w:rsid w:val="007E7E19"/>
    <w:rsid w:val="007F23D2"/>
    <w:rsid w:val="007F3427"/>
    <w:rsid w:val="007F45B5"/>
    <w:rsid w:val="007F5D18"/>
    <w:rsid w:val="007F6145"/>
    <w:rsid w:val="0080296A"/>
    <w:rsid w:val="00802A96"/>
    <w:rsid w:val="00803744"/>
    <w:rsid w:val="008039A8"/>
    <w:rsid w:val="00803F7D"/>
    <w:rsid w:val="008059F7"/>
    <w:rsid w:val="00805A59"/>
    <w:rsid w:val="0081105E"/>
    <w:rsid w:val="00813AFE"/>
    <w:rsid w:val="00816CB7"/>
    <w:rsid w:val="00817B36"/>
    <w:rsid w:val="00824331"/>
    <w:rsid w:val="00834CE4"/>
    <w:rsid w:val="00835384"/>
    <w:rsid w:val="008367D4"/>
    <w:rsid w:val="00840257"/>
    <w:rsid w:val="00840AD3"/>
    <w:rsid w:val="00840EE0"/>
    <w:rsid w:val="00841A5B"/>
    <w:rsid w:val="0084435A"/>
    <w:rsid w:val="00851689"/>
    <w:rsid w:val="00851DD8"/>
    <w:rsid w:val="008533F6"/>
    <w:rsid w:val="00855199"/>
    <w:rsid w:val="0085602B"/>
    <w:rsid w:val="00856E58"/>
    <w:rsid w:val="00860A81"/>
    <w:rsid w:val="008621E6"/>
    <w:rsid w:val="00862403"/>
    <w:rsid w:val="008626C9"/>
    <w:rsid w:val="008642A7"/>
    <w:rsid w:val="00864CFA"/>
    <w:rsid w:val="008653B8"/>
    <w:rsid w:val="00870D1F"/>
    <w:rsid w:val="008716A2"/>
    <w:rsid w:val="008724E7"/>
    <w:rsid w:val="00873479"/>
    <w:rsid w:val="00874ACE"/>
    <w:rsid w:val="008769AA"/>
    <w:rsid w:val="008778FF"/>
    <w:rsid w:val="0088087E"/>
    <w:rsid w:val="00880936"/>
    <w:rsid w:val="00881CCB"/>
    <w:rsid w:val="008825F0"/>
    <w:rsid w:val="008838A1"/>
    <w:rsid w:val="00883BC2"/>
    <w:rsid w:val="008845AD"/>
    <w:rsid w:val="00884EC1"/>
    <w:rsid w:val="00885669"/>
    <w:rsid w:val="00885BF4"/>
    <w:rsid w:val="00890A81"/>
    <w:rsid w:val="0089139E"/>
    <w:rsid w:val="00891A95"/>
    <w:rsid w:val="00891E3E"/>
    <w:rsid w:val="00894B86"/>
    <w:rsid w:val="008950AB"/>
    <w:rsid w:val="0089740D"/>
    <w:rsid w:val="008A0B70"/>
    <w:rsid w:val="008A0D0F"/>
    <w:rsid w:val="008A1A94"/>
    <w:rsid w:val="008A2F4D"/>
    <w:rsid w:val="008A35F4"/>
    <w:rsid w:val="008A70DA"/>
    <w:rsid w:val="008B166C"/>
    <w:rsid w:val="008B2D6A"/>
    <w:rsid w:val="008B30A4"/>
    <w:rsid w:val="008B33BB"/>
    <w:rsid w:val="008B33FF"/>
    <w:rsid w:val="008B7096"/>
    <w:rsid w:val="008C2821"/>
    <w:rsid w:val="008C4F76"/>
    <w:rsid w:val="008C5075"/>
    <w:rsid w:val="008C5FE8"/>
    <w:rsid w:val="008C7C43"/>
    <w:rsid w:val="008D041D"/>
    <w:rsid w:val="008D17E5"/>
    <w:rsid w:val="008D3B39"/>
    <w:rsid w:val="008D4A6B"/>
    <w:rsid w:val="008D5DBD"/>
    <w:rsid w:val="008D708C"/>
    <w:rsid w:val="008D74D3"/>
    <w:rsid w:val="008E29F3"/>
    <w:rsid w:val="008E6571"/>
    <w:rsid w:val="008E7C7A"/>
    <w:rsid w:val="008F0262"/>
    <w:rsid w:val="008F223E"/>
    <w:rsid w:val="008F316F"/>
    <w:rsid w:val="008F65D9"/>
    <w:rsid w:val="008F76D9"/>
    <w:rsid w:val="00900925"/>
    <w:rsid w:val="00903ECC"/>
    <w:rsid w:val="009110AD"/>
    <w:rsid w:val="00911AB7"/>
    <w:rsid w:val="009129F5"/>
    <w:rsid w:val="00915519"/>
    <w:rsid w:val="00924629"/>
    <w:rsid w:val="00931D18"/>
    <w:rsid w:val="00932FAE"/>
    <w:rsid w:val="00933F5B"/>
    <w:rsid w:val="00935CDD"/>
    <w:rsid w:val="00941243"/>
    <w:rsid w:val="00942255"/>
    <w:rsid w:val="00943670"/>
    <w:rsid w:val="009443FB"/>
    <w:rsid w:val="00952BE1"/>
    <w:rsid w:val="00953A97"/>
    <w:rsid w:val="0095594A"/>
    <w:rsid w:val="0095599C"/>
    <w:rsid w:val="00955F13"/>
    <w:rsid w:val="00956568"/>
    <w:rsid w:val="009566B4"/>
    <w:rsid w:val="009572C1"/>
    <w:rsid w:val="00960144"/>
    <w:rsid w:val="00961016"/>
    <w:rsid w:val="00961120"/>
    <w:rsid w:val="00964543"/>
    <w:rsid w:val="00966A0D"/>
    <w:rsid w:val="0097295F"/>
    <w:rsid w:val="009733C8"/>
    <w:rsid w:val="0097475C"/>
    <w:rsid w:val="0097624B"/>
    <w:rsid w:val="00976723"/>
    <w:rsid w:val="00980D81"/>
    <w:rsid w:val="00981D73"/>
    <w:rsid w:val="00982294"/>
    <w:rsid w:val="009874A6"/>
    <w:rsid w:val="00990112"/>
    <w:rsid w:val="00990DDA"/>
    <w:rsid w:val="0099384E"/>
    <w:rsid w:val="00996A45"/>
    <w:rsid w:val="009A07A6"/>
    <w:rsid w:val="009A16D1"/>
    <w:rsid w:val="009A1FDA"/>
    <w:rsid w:val="009A315E"/>
    <w:rsid w:val="009A3B11"/>
    <w:rsid w:val="009A45AF"/>
    <w:rsid w:val="009A7324"/>
    <w:rsid w:val="009A7542"/>
    <w:rsid w:val="009B05D3"/>
    <w:rsid w:val="009B0CCB"/>
    <w:rsid w:val="009B15E5"/>
    <w:rsid w:val="009B2CB4"/>
    <w:rsid w:val="009B5D8F"/>
    <w:rsid w:val="009B632C"/>
    <w:rsid w:val="009C024D"/>
    <w:rsid w:val="009C02B2"/>
    <w:rsid w:val="009C5895"/>
    <w:rsid w:val="009C7202"/>
    <w:rsid w:val="009D0E4D"/>
    <w:rsid w:val="009D19B0"/>
    <w:rsid w:val="009D2DB8"/>
    <w:rsid w:val="009D3E9D"/>
    <w:rsid w:val="009D4209"/>
    <w:rsid w:val="009D444A"/>
    <w:rsid w:val="009D5360"/>
    <w:rsid w:val="009D5E33"/>
    <w:rsid w:val="009D646D"/>
    <w:rsid w:val="009D674C"/>
    <w:rsid w:val="009D6BF7"/>
    <w:rsid w:val="009D6D4D"/>
    <w:rsid w:val="009E0782"/>
    <w:rsid w:val="009E0AF1"/>
    <w:rsid w:val="009E1CC7"/>
    <w:rsid w:val="009E3633"/>
    <w:rsid w:val="009F2036"/>
    <w:rsid w:val="009F236D"/>
    <w:rsid w:val="009F553F"/>
    <w:rsid w:val="009F57B7"/>
    <w:rsid w:val="00A00973"/>
    <w:rsid w:val="00A013DB"/>
    <w:rsid w:val="00A01A4F"/>
    <w:rsid w:val="00A02186"/>
    <w:rsid w:val="00A0222B"/>
    <w:rsid w:val="00A04A97"/>
    <w:rsid w:val="00A052A0"/>
    <w:rsid w:val="00A0693D"/>
    <w:rsid w:val="00A112E7"/>
    <w:rsid w:val="00A14B38"/>
    <w:rsid w:val="00A158FC"/>
    <w:rsid w:val="00A15F18"/>
    <w:rsid w:val="00A212F7"/>
    <w:rsid w:val="00A24D52"/>
    <w:rsid w:val="00A255BE"/>
    <w:rsid w:val="00A25B1D"/>
    <w:rsid w:val="00A277E8"/>
    <w:rsid w:val="00A2793A"/>
    <w:rsid w:val="00A36F35"/>
    <w:rsid w:val="00A372D5"/>
    <w:rsid w:val="00A457F2"/>
    <w:rsid w:val="00A46B7F"/>
    <w:rsid w:val="00A46CB1"/>
    <w:rsid w:val="00A52FA8"/>
    <w:rsid w:val="00A532A5"/>
    <w:rsid w:val="00A57FA5"/>
    <w:rsid w:val="00A60B1E"/>
    <w:rsid w:val="00A61022"/>
    <w:rsid w:val="00A62CD6"/>
    <w:rsid w:val="00A631D2"/>
    <w:rsid w:val="00A63353"/>
    <w:rsid w:val="00A6580C"/>
    <w:rsid w:val="00A70224"/>
    <w:rsid w:val="00A70BA1"/>
    <w:rsid w:val="00A73CAD"/>
    <w:rsid w:val="00A73F52"/>
    <w:rsid w:val="00A74277"/>
    <w:rsid w:val="00A75112"/>
    <w:rsid w:val="00A77FA9"/>
    <w:rsid w:val="00A84657"/>
    <w:rsid w:val="00A851D8"/>
    <w:rsid w:val="00A859BE"/>
    <w:rsid w:val="00A86749"/>
    <w:rsid w:val="00A87E7D"/>
    <w:rsid w:val="00A9089C"/>
    <w:rsid w:val="00A92561"/>
    <w:rsid w:val="00A92EEC"/>
    <w:rsid w:val="00A931D5"/>
    <w:rsid w:val="00A93A2E"/>
    <w:rsid w:val="00A95377"/>
    <w:rsid w:val="00AA1DD9"/>
    <w:rsid w:val="00AA2170"/>
    <w:rsid w:val="00AA4497"/>
    <w:rsid w:val="00AA4C45"/>
    <w:rsid w:val="00AB4581"/>
    <w:rsid w:val="00AB65F8"/>
    <w:rsid w:val="00AB67F6"/>
    <w:rsid w:val="00AB6D12"/>
    <w:rsid w:val="00AC33D7"/>
    <w:rsid w:val="00AC71B8"/>
    <w:rsid w:val="00AC7904"/>
    <w:rsid w:val="00AD0B1A"/>
    <w:rsid w:val="00AD1F4B"/>
    <w:rsid w:val="00AD275A"/>
    <w:rsid w:val="00AE0B64"/>
    <w:rsid w:val="00AE43FB"/>
    <w:rsid w:val="00AE4D64"/>
    <w:rsid w:val="00AE6CEF"/>
    <w:rsid w:val="00AF5C28"/>
    <w:rsid w:val="00B00D22"/>
    <w:rsid w:val="00B04BED"/>
    <w:rsid w:val="00B074DC"/>
    <w:rsid w:val="00B113F5"/>
    <w:rsid w:val="00B127D2"/>
    <w:rsid w:val="00B130B6"/>
    <w:rsid w:val="00B135BB"/>
    <w:rsid w:val="00B13A79"/>
    <w:rsid w:val="00B14AE0"/>
    <w:rsid w:val="00B15564"/>
    <w:rsid w:val="00B17E49"/>
    <w:rsid w:val="00B20D15"/>
    <w:rsid w:val="00B23CE7"/>
    <w:rsid w:val="00B25002"/>
    <w:rsid w:val="00B2674F"/>
    <w:rsid w:val="00B27457"/>
    <w:rsid w:val="00B31673"/>
    <w:rsid w:val="00B31F5A"/>
    <w:rsid w:val="00B34462"/>
    <w:rsid w:val="00B34C4B"/>
    <w:rsid w:val="00B37E0C"/>
    <w:rsid w:val="00B41D6B"/>
    <w:rsid w:val="00B42504"/>
    <w:rsid w:val="00B50DA4"/>
    <w:rsid w:val="00B5204F"/>
    <w:rsid w:val="00B52694"/>
    <w:rsid w:val="00B531CA"/>
    <w:rsid w:val="00B53C11"/>
    <w:rsid w:val="00B55879"/>
    <w:rsid w:val="00B564F6"/>
    <w:rsid w:val="00B572C4"/>
    <w:rsid w:val="00B610FD"/>
    <w:rsid w:val="00B62363"/>
    <w:rsid w:val="00B63768"/>
    <w:rsid w:val="00B641C4"/>
    <w:rsid w:val="00B649F8"/>
    <w:rsid w:val="00B6780A"/>
    <w:rsid w:val="00B67D3A"/>
    <w:rsid w:val="00B708D9"/>
    <w:rsid w:val="00B70C4F"/>
    <w:rsid w:val="00B71AF1"/>
    <w:rsid w:val="00B72760"/>
    <w:rsid w:val="00B72F78"/>
    <w:rsid w:val="00B7335E"/>
    <w:rsid w:val="00B735C3"/>
    <w:rsid w:val="00B74B55"/>
    <w:rsid w:val="00B751F9"/>
    <w:rsid w:val="00B7591F"/>
    <w:rsid w:val="00B77071"/>
    <w:rsid w:val="00B80C18"/>
    <w:rsid w:val="00B8198D"/>
    <w:rsid w:val="00B819EA"/>
    <w:rsid w:val="00B82A53"/>
    <w:rsid w:val="00B875A2"/>
    <w:rsid w:val="00B87C2C"/>
    <w:rsid w:val="00B9134E"/>
    <w:rsid w:val="00B91608"/>
    <w:rsid w:val="00B9405E"/>
    <w:rsid w:val="00B94BEF"/>
    <w:rsid w:val="00BA09D4"/>
    <w:rsid w:val="00BA2D97"/>
    <w:rsid w:val="00BA3865"/>
    <w:rsid w:val="00BA61D9"/>
    <w:rsid w:val="00BA6AA5"/>
    <w:rsid w:val="00BA6AF1"/>
    <w:rsid w:val="00BA7024"/>
    <w:rsid w:val="00BA7BCB"/>
    <w:rsid w:val="00BB07A4"/>
    <w:rsid w:val="00BB7BBE"/>
    <w:rsid w:val="00BC0D4D"/>
    <w:rsid w:val="00BC4FF7"/>
    <w:rsid w:val="00BC6973"/>
    <w:rsid w:val="00BC6EE7"/>
    <w:rsid w:val="00BC7240"/>
    <w:rsid w:val="00BC77AF"/>
    <w:rsid w:val="00BD0C95"/>
    <w:rsid w:val="00BD61BA"/>
    <w:rsid w:val="00BD6D9F"/>
    <w:rsid w:val="00BE1208"/>
    <w:rsid w:val="00BE1912"/>
    <w:rsid w:val="00BE2615"/>
    <w:rsid w:val="00BF116A"/>
    <w:rsid w:val="00BF7F46"/>
    <w:rsid w:val="00C037A7"/>
    <w:rsid w:val="00C04053"/>
    <w:rsid w:val="00C04AE1"/>
    <w:rsid w:val="00C05616"/>
    <w:rsid w:val="00C05DB0"/>
    <w:rsid w:val="00C0612E"/>
    <w:rsid w:val="00C069FC"/>
    <w:rsid w:val="00C14168"/>
    <w:rsid w:val="00C14851"/>
    <w:rsid w:val="00C16672"/>
    <w:rsid w:val="00C2193D"/>
    <w:rsid w:val="00C241C6"/>
    <w:rsid w:val="00C244FC"/>
    <w:rsid w:val="00C24850"/>
    <w:rsid w:val="00C262B4"/>
    <w:rsid w:val="00C3038F"/>
    <w:rsid w:val="00C30BBA"/>
    <w:rsid w:val="00C30EDA"/>
    <w:rsid w:val="00C31C0E"/>
    <w:rsid w:val="00C34C1A"/>
    <w:rsid w:val="00C35891"/>
    <w:rsid w:val="00C40136"/>
    <w:rsid w:val="00C418F3"/>
    <w:rsid w:val="00C41DBC"/>
    <w:rsid w:val="00C449F8"/>
    <w:rsid w:val="00C47B6E"/>
    <w:rsid w:val="00C509F7"/>
    <w:rsid w:val="00C516B3"/>
    <w:rsid w:val="00C51C49"/>
    <w:rsid w:val="00C531A6"/>
    <w:rsid w:val="00C53F0C"/>
    <w:rsid w:val="00C56AB1"/>
    <w:rsid w:val="00C62383"/>
    <w:rsid w:val="00C6251C"/>
    <w:rsid w:val="00C6293A"/>
    <w:rsid w:val="00C631C4"/>
    <w:rsid w:val="00C65FF5"/>
    <w:rsid w:val="00C667BD"/>
    <w:rsid w:val="00C71411"/>
    <w:rsid w:val="00C74C5C"/>
    <w:rsid w:val="00C774E6"/>
    <w:rsid w:val="00C77CE2"/>
    <w:rsid w:val="00C77DA7"/>
    <w:rsid w:val="00C93931"/>
    <w:rsid w:val="00C95444"/>
    <w:rsid w:val="00C9630C"/>
    <w:rsid w:val="00C969FC"/>
    <w:rsid w:val="00C96A89"/>
    <w:rsid w:val="00C96FCF"/>
    <w:rsid w:val="00C97089"/>
    <w:rsid w:val="00CA17ED"/>
    <w:rsid w:val="00CA3AC7"/>
    <w:rsid w:val="00CB0E7C"/>
    <w:rsid w:val="00CB30AA"/>
    <w:rsid w:val="00CB37ED"/>
    <w:rsid w:val="00CB4E8E"/>
    <w:rsid w:val="00CB55BF"/>
    <w:rsid w:val="00CB6CA8"/>
    <w:rsid w:val="00CB6DB6"/>
    <w:rsid w:val="00CB6FBC"/>
    <w:rsid w:val="00CC309F"/>
    <w:rsid w:val="00CC3E85"/>
    <w:rsid w:val="00CC7C30"/>
    <w:rsid w:val="00CD1FDD"/>
    <w:rsid w:val="00CD1FF2"/>
    <w:rsid w:val="00CD7CB8"/>
    <w:rsid w:val="00CE24D8"/>
    <w:rsid w:val="00CE2E3E"/>
    <w:rsid w:val="00CE43C7"/>
    <w:rsid w:val="00CE598E"/>
    <w:rsid w:val="00CE691B"/>
    <w:rsid w:val="00CF06EE"/>
    <w:rsid w:val="00CF13D6"/>
    <w:rsid w:val="00CF179F"/>
    <w:rsid w:val="00CF2889"/>
    <w:rsid w:val="00CF51CF"/>
    <w:rsid w:val="00CF527B"/>
    <w:rsid w:val="00CF713B"/>
    <w:rsid w:val="00D02D51"/>
    <w:rsid w:val="00D0350F"/>
    <w:rsid w:val="00D044E4"/>
    <w:rsid w:val="00D062D9"/>
    <w:rsid w:val="00D06675"/>
    <w:rsid w:val="00D07371"/>
    <w:rsid w:val="00D0762B"/>
    <w:rsid w:val="00D15764"/>
    <w:rsid w:val="00D21300"/>
    <w:rsid w:val="00D263AE"/>
    <w:rsid w:val="00D3064C"/>
    <w:rsid w:val="00D3222A"/>
    <w:rsid w:val="00D36F67"/>
    <w:rsid w:val="00D4255F"/>
    <w:rsid w:val="00D43F39"/>
    <w:rsid w:val="00D472E4"/>
    <w:rsid w:val="00D4755E"/>
    <w:rsid w:val="00D50A35"/>
    <w:rsid w:val="00D52CC7"/>
    <w:rsid w:val="00D52D7D"/>
    <w:rsid w:val="00D542B1"/>
    <w:rsid w:val="00D56174"/>
    <w:rsid w:val="00D568DE"/>
    <w:rsid w:val="00D627D7"/>
    <w:rsid w:val="00D63F1D"/>
    <w:rsid w:val="00D64D76"/>
    <w:rsid w:val="00D66C02"/>
    <w:rsid w:val="00D66D89"/>
    <w:rsid w:val="00D67A15"/>
    <w:rsid w:val="00D71694"/>
    <w:rsid w:val="00D71F8D"/>
    <w:rsid w:val="00D722E9"/>
    <w:rsid w:val="00D73144"/>
    <w:rsid w:val="00D737F1"/>
    <w:rsid w:val="00D76760"/>
    <w:rsid w:val="00D7771C"/>
    <w:rsid w:val="00D778AA"/>
    <w:rsid w:val="00D81020"/>
    <w:rsid w:val="00D83DBC"/>
    <w:rsid w:val="00D85658"/>
    <w:rsid w:val="00D85B9D"/>
    <w:rsid w:val="00D9516C"/>
    <w:rsid w:val="00D95281"/>
    <w:rsid w:val="00D95888"/>
    <w:rsid w:val="00D95DE8"/>
    <w:rsid w:val="00D96908"/>
    <w:rsid w:val="00D97072"/>
    <w:rsid w:val="00D976C4"/>
    <w:rsid w:val="00D979CA"/>
    <w:rsid w:val="00D979D4"/>
    <w:rsid w:val="00DA2DC4"/>
    <w:rsid w:val="00DA2E8D"/>
    <w:rsid w:val="00DB01D6"/>
    <w:rsid w:val="00DB716D"/>
    <w:rsid w:val="00DB7AC3"/>
    <w:rsid w:val="00DB7C7E"/>
    <w:rsid w:val="00DC0695"/>
    <w:rsid w:val="00DC0929"/>
    <w:rsid w:val="00DC125D"/>
    <w:rsid w:val="00DC1C45"/>
    <w:rsid w:val="00DC295E"/>
    <w:rsid w:val="00DC2B3D"/>
    <w:rsid w:val="00DD08E8"/>
    <w:rsid w:val="00DD21DC"/>
    <w:rsid w:val="00DD4CF8"/>
    <w:rsid w:val="00DD6173"/>
    <w:rsid w:val="00DD65CE"/>
    <w:rsid w:val="00DD7B30"/>
    <w:rsid w:val="00DE0185"/>
    <w:rsid w:val="00DE2A63"/>
    <w:rsid w:val="00DE5907"/>
    <w:rsid w:val="00DE5E8D"/>
    <w:rsid w:val="00DE6EA8"/>
    <w:rsid w:val="00DE7C1B"/>
    <w:rsid w:val="00DF3647"/>
    <w:rsid w:val="00DF45FD"/>
    <w:rsid w:val="00DF520C"/>
    <w:rsid w:val="00DF7656"/>
    <w:rsid w:val="00E007DA"/>
    <w:rsid w:val="00E00A3E"/>
    <w:rsid w:val="00E02FCF"/>
    <w:rsid w:val="00E0333E"/>
    <w:rsid w:val="00E04D54"/>
    <w:rsid w:val="00E05053"/>
    <w:rsid w:val="00E10EE9"/>
    <w:rsid w:val="00E1202B"/>
    <w:rsid w:val="00E14BDA"/>
    <w:rsid w:val="00E166CF"/>
    <w:rsid w:val="00E17A6E"/>
    <w:rsid w:val="00E17C3A"/>
    <w:rsid w:val="00E22E1C"/>
    <w:rsid w:val="00E25BC2"/>
    <w:rsid w:val="00E30298"/>
    <w:rsid w:val="00E3176D"/>
    <w:rsid w:val="00E31936"/>
    <w:rsid w:val="00E31C8A"/>
    <w:rsid w:val="00E33919"/>
    <w:rsid w:val="00E34411"/>
    <w:rsid w:val="00E35C30"/>
    <w:rsid w:val="00E36396"/>
    <w:rsid w:val="00E3784E"/>
    <w:rsid w:val="00E37F78"/>
    <w:rsid w:val="00E4125B"/>
    <w:rsid w:val="00E417A8"/>
    <w:rsid w:val="00E4354F"/>
    <w:rsid w:val="00E43E49"/>
    <w:rsid w:val="00E47A2F"/>
    <w:rsid w:val="00E504ED"/>
    <w:rsid w:val="00E52115"/>
    <w:rsid w:val="00E534C5"/>
    <w:rsid w:val="00E54F48"/>
    <w:rsid w:val="00E55DE0"/>
    <w:rsid w:val="00E57EEB"/>
    <w:rsid w:val="00E57F9D"/>
    <w:rsid w:val="00E613A7"/>
    <w:rsid w:val="00E614C9"/>
    <w:rsid w:val="00E61B87"/>
    <w:rsid w:val="00E6284E"/>
    <w:rsid w:val="00E669A4"/>
    <w:rsid w:val="00E67FED"/>
    <w:rsid w:val="00E7038F"/>
    <w:rsid w:val="00E70509"/>
    <w:rsid w:val="00E70B33"/>
    <w:rsid w:val="00E70DBB"/>
    <w:rsid w:val="00E71064"/>
    <w:rsid w:val="00E71433"/>
    <w:rsid w:val="00E717CF"/>
    <w:rsid w:val="00E735A3"/>
    <w:rsid w:val="00E73B8A"/>
    <w:rsid w:val="00E74982"/>
    <w:rsid w:val="00E75A8B"/>
    <w:rsid w:val="00E75BC3"/>
    <w:rsid w:val="00E80234"/>
    <w:rsid w:val="00E849ED"/>
    <w:rsid w:val="00E8598D"/>
    <w:rsid w:val="00E9044D"/>
    <w:rsid w:val="00E92C3B"/>
    <w:rsid w:val="00E92E0B"/>
    <w:rsid w:val="00E92E2A"/>
    <w:rsid w:val="00E97B83"/>
    <w:rsid w:val="00EA3258"/>
    <w:rsid w:val="00EA498C"/>
    <w:rsid w:val="00EA6864"/>
    <w:rsid w:val="00EB18C6"/>
    <w:rsid w:val="00EB218F"/>
    <w:rsid w:val="00EB3C3E"/>
    <w:rsid w:val="00EB4206"/>
    <w:rsid w:val="00EB4658"/>
    <w:rsid w:val="00EB4B35"/>
    <w:rsid w:val="00EB4F8C"/>
    <w:rsid w:val="00EB7230"/>
    <w:rsid w:val="00EB73AB"/>
    <w:rsid w:val="00EB7A82"/>
    <w:rsid w:val="00EC1A13"/>
    <w:rsid w:val="00EC27C1"/>
    <w:rsid w:val="00EC2B26"/>
    <w:rsid w:val="00EC453B"/>
    <w:rsid w:val="00EC5AB8"/>
    <w:rsid w:val="00EC6A65"/>
    <w:rsid w:val="00EC7E2C"/>
    <w:rsid w:val="00ED0587"/>
    <w:rsid w:val="00ED0B67"/>
    <w:rsid w:val="00ED1F9D"/>
    <w:rsid w:val="00ED3A35"/>
    <w:rsid w:val="00ED7BB9"/>
    <w:rsid w:val="00EE0191"/>
    <w:rsid w:val="00EE0282"/>
    <w:rsid w:val="00EE0AB4"/>
    <w:rsid w:val="00EE0AC9"/>
    <w:rsid w:val="00EE244F"/>
    <w:rsid w:val="00EE29A6"/>
    <w:rsid w:val="00EE4DCA"/>
    <w:rsid w:val="00EE5DB4"/>
    <w:rsid w:val="00EF0E5D"/>
    <w:rsid w:val="00EF4EA9"/>
    <w:rsid w:val="00F03D39"/>
    <w:rsid w:val="00F0480B"/>
    <w:rsid w:val="00F0492E"/>
    <w:rsid w:val="00F06792"/>
    <w:rsid w:val="00F06F3B"/>
    <w:rsid w:val="00F105D1"/>
    <w:rsid w:val="00F11FB1"/>
    <w:rsid w:val="00F144C2"/>
    <w:rsid w:val="00F14A8C"/>
    <w:rsid w:val="00F15E41"/>
    <w:rsid w:val="00F16F5A"/>
    <w:rsid w:val="00F21A3C"/>
    <w:rsid w:val="00F22494"/>
    <w:rsid w:val="00F22597"/>
    <w:rsid w:val="00F24FB7"/>
    <w:rsid w:val="00F25D2C"/>
    <w:rsid w:val="00F27450"/>
    <w:rsid w:val="00F30EB9"/>
    <w:rsid w:val="00F33F63"/>
    <w:rsid w:val="00F36DCE"/>
    <w:rsid w:val="00F3716E"/>
    <w:rsid w:val="00F376E9"/>
    <w:rsid w:val="00F40123"/>
    <w:rsid w:val="00F40D4E"/>
    <w:rsid w:val="00F40EA7"/>
    <w:rsid w:val="00F41643"/>
    <w:rsid w:val="00F417E5"/>
    <w:rsid w:val="00F41E4A"/>
    <w:rsid w:val="00F42978"/>
    <w:rsid w:val="00F42B0E"/>
    <w:rsid w:val="00F454AE"/>
    <w:rsid w:val="00F46C1C"/>
    <w:rsid w:val="00F46CB4"/>
    <w:rsid w:val="00F47E52"/>
    <w:rsid w:val="00F50907"/>
    <w:rsid w:val="00F51D40"/>
    <w:rsid w:val="00F5383C"/>
    <w:rsid w:val="00F54F0B"/>
    <w:rsid w:val="00F56A4B"/>
    <w:rsid w:val="00F56FA3"/>
    <w:rsid w:val="00F6063F"/>
    <w:rsid w:val="00F641AB"/>
    <w:rsid w:val="00F64649"/>
    <w:rsid w:val="00F7299A"/>
    <w:rsid w:val="00F753FE"/>
    <w:rsid w:val="00F76754"/>
    <w:rsid w:val="00F8123B"/>
    <w:rsid w:val="00F84925"/>
    <w:rsid w:val="00F90569"/>
    <w:rsid w:val="00F913F6"/>
    <w:rsid w:val="00F9191E"/>
    <w:rsid w:val="00F934F3"/>
    <w:rsid w:val="00F95BD6"/>
    <w:rsid w:val="00FA03FA"/>
    <w:rsid w:val="00FA3023"/>
    <w:rsid w:val="00FA32EC"/>
    <w:rsid w:val="00FA34B4"/>
    <w:rsid w:val="00FA3AD0"/>
    <w:rsid w:val="00FA5B6F"/>
    <w:rsid w:val="00FA6FB1"/>
    <w:rsid w:val="00FB1DC9"/>
    <w:rsid w:val="00FB5917"/>
    <w:rsid w:val="00FC1998"/>
    <w:rsid w:val="00FC23EB"/>
    <w:rsid w:val="00FC3135"/>
    <w:rsid w:val="00FD0738"/>
    <w:rsid w:val="00FD0796"/>
    <w:rsid w:val="00FD09F6"/>
    <w:rsid w:val="00FD3BA7"/>
    <w:rsid w:val="00FD4C40"/>
    <w:rsid w:val="00FD67D0"/>
    <w:rsid w:val="00FE0F3A"/>
    <w:rsid w:val="00FE2031"/>
    <w:rsid w:val="00FE5942"/>
    <w:rsid w:val="00FE6883"/>
    <w:rsid w:val="00FF070B"/>
    <w:rsid w:val="00FF0992"/>
    <w:rsid w:val="00FF1C30"/>
    <w:rsid w:val="00FF2D4A"/>
    <w:rsid w:val="00FF341E"/>
    <w:rsid w:val="00FF44F3"/>
    <w:rsid w:val="00FF5F26"/>
    <w:rsid w:val="00FF6F43"/>
    <w:rsid w:val="00FF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2739"/>
  <w15:chartTrackingRefBased/>
  <w15:docId w15:val="{73374A94-603C-478E-A82D-1F5D48D4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94D"/>
  </w:style>
  <w:style w:type="paragraph" w:styleId="Heading1">
    <w:name w:val="heading 1"/>
    <w:basedOn w:val="Normal"/>
    <w:next w:val="Normal"/>
    <w:link w:val="Heading1Char"/>
    <w:uiPriority w:val="9"/>
    <w:qFormat/>
    <w:rsid w:val="0067094D"/>
    <w:pPr>
      <w:keepNext/>
      <w:keepLines/>
      <w:spacing w:before="400" w:after="40" w:line="240" w:lineRule="auto"/>
      <w:outlineLvl w:val="0"/>
    </w:pPr>
    <w:rPr>
      <w:rFonts w:asciiTheme="majorHAnsi" w:eastAsiaTheme="majorEastAsia" w:hAnsiTheme="majorHAnsi" w:cstheme="majorBidi"/>
      <w:b/>
      <w:caps/>
      <w:sz w:val="36"/>
      <w:szCs w:val="36"/>
    </w:rPr>
  </w:style>
  <w:style w:type="paragraph" w:styleId="Heading2">
    <w:name w:val="heading 2"/>
    <w:basedOn w:val="Normal"/>
    <w:next w:val="Normal"/>
    <w:link w:val="Heading2Char"/>
    <w:uiPriority w:val="9"/>
    <w:unhideWhenUsed/>
    <w:qFormat/>
    <w:rsid w:val="0067094D"/>
    <w:pPr>
      <w:keepNext/>
      <w:keepLines/>
      <w:spacing w:before="120" w:after="0" w:line="240" w:lineRule="auto"/>
      <w:outlineLvl w:val="1"/>
    </w:pPr>
    <w:rPr>
      <w:rFonts w:asciiTheme="majorHAnsi" w:eastAsiaTheme="majorEastAsia" w:hAnsiTheme="majorHAnsi" w:cstheme="majorBidi"/>
      <w:b/>
      <w:caps/>
      <w:sz w:val="32"/>
      <w:szCs w:val="28"/>
    </w:rPr>
  </w:style>
  <w:style w:type="paragraph" w:styleId="Heading3">
    <w:name w:val="heading 3"/>
    <w:basedOn w:val="Normal"/>
    <w:next w:val="Normal"/>
    <w:link w:val="Heading3Char"/>
    <w:uiPriority w:val="9"/>
    <w:unhideWhenUsed/>
    <w:qFormat/>
    <w:rsid w:val="0067094D"/>
    <w:pPr>
      <w:keepNext/>
      <w:keepLines/>
      <w:spacing w:before="120" w:after="0" w:line="240" w:lineRule="auto"/>
      <w:outlineLvl w:val="2"/>
    </w:pPr>
    <w:rPr>
      <w:rFonts w:asciiTheme="majorHAnsi" w:eastAsiaTheme="majorEastAsia" w:hAnsiTheme="majorHAnsi" w:cstheme="majorBidi"/>
      <w:b/>
      <w:smallCaps/>
      <w:sz w:val="28"/>
      <w:szCs w:val="28"/>
    </w:rPr>
  </w:style>
  <w:style w:type="paragraph" w:styleId="Heading4">
    <w:name w:val="heading 4"/>
    <w:basedOn w:val="Normal"/>
    <w:next w:val="Normal"/>
    <w:link w:val="Heading4Char"/>
    <w:uiPriority w:val="9"/>
    <w:unhideWhenUsed/>
    <w:qFormat/>
    <w:rsid w:val="0067094D"/>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67094D"/>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7094D"/>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7094D"/>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7094D"/>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7094D"/>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12317"/>
    <w:pPr>
      <w:spacing w:before="160" w:line="288" w:lineRule="auto"/>
    </w:pPr>
    <w:rPr>
      <w:rFonts w:ascii="Helvetica Neue" w:hAnsi="Helvetica Neue" w:cs="Arial Unicode MS"/>
      <w:color w:val="000000"/>
      <w:u w:color="000000"/>
      <w:lang w:val="it-IT"/>
      <w14:textOutline w14:w="12700" w14:cap="flat" w14:cmpd="sng" w14:algn="ctr">
        <w14:noFill/>
        <w14:prstDash w14:val="solid"/>
        <w14:miter w14:lim="400000"/>
      </w14:textOutline>
    </w:rPr>
  </w:style>
  <w:style w:type="numbering" w:customStyle="1" w:styleId="Bullet">
    <w:name w:val="Bullet"/>
    <w:rsid w:val="00012317"/>
    <w:pPr>
      <w:numPr>
        <w:numId w:val="1"/>
      </w:numPr>
    </w:pPr>
  </w:style>
  <w:style w:type="character" w:customStyle="1" w:styleId="None">
    <w:name w:val="None"/>
    <w:rsid w:val="00012317"/>
  </w:style>
  <w:style w:type="character" w:customStyle="1" w:styleId="Hyperlink0">
    <w:name w:val="Hyperlink.0"/>
    <w:basedOn w:val="None"/>
    <w:rsid w:val="00012317"/>
    <w:rPr>
      <w:outline w:val="0"/>
      <w:color w:val="0000EE"/>
      <w:u w:val="single"/>
    </w:rPr>
  </w:style>
  <w:style w:type="character" w:customStyle="1" w:styleId="Hyperlink1">
    <w:name w:val="Hyperlink.1"/>
    <w:basedOn w:val="Hyperlink"/>
    <w:rsid w:val="00012317"/>
    <w:rPr>
      <w:outline w:val="0"/>
      <w:color w:val="0000FF"/>
      <w:u w:val="single" w:color="0000FF"/>
    </w:rPr>
  </w:style>
  <w:style w:type="character" w:styleId="Hyperlink">
    <w:name w:val="Hyperlink"/>
    <w:uiPriority w:val="99"/>
    <w:rsid w:val="00012317"/>
    <w:rPr>
      <w:u w:val="single"/>
    </w:rPr>
  </w:style>
  <w:style w:type="paragraph" w:customStyle="1" w:styleId="Heading">
    <w:name w:val="Heading"/>
    <w:next w:val="Normal"/>
    <w:rsid w:val="00012317"/>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67094D"/>
    <w:rPr>
      <w:rFonts w:asciiTheme="majorHAnsi" w:eastAsiaTheme="majorEastAsia" w:hAnsiTheme="majorHAnsi" w:cstheme="majorBidi"/>
      <w:b/>
      <w:caps/>
      <w:sz w:val="36"/>
      <w:szCs w:val="36"/>
    </w:rPr>
  </w:style>
  <w:style w:type="character" w:customStyle="1" w:styleId="Heading2Char">
    <w:name w:val="Heading 2 Char"/>
    <w:basedOn w:val="DefaultParagraphFont"/>
    <w:link w:val="Heading2"/>
    <w:uiPriority w:val="9"/>
    <w:rsid w:val="0067094D"/>
    <w:rPr>
      <w:rFonts w:asciiTheme="majorHAnsi" w:eastAsiaTheme="majorEastAsia" w:hAnsiTheme="majorHAnsi" w:cstheme="majorBidi"/>
      <w:b/>
      <w:caps/>
      <w:sz w:val="32"/>
      <w:szCs w:val="28"/>
    </w:rPr>
  </w:style>
  <w:style w:type="character" w:customStyle="1" w:styleId="Heading3Char">
    <w:name w:val="Heading 3 Char"/>
    <w:basedOn w:val="DefaultParagraphFont"/>
    <w:link w:val="Heading3"/>
    <w:uiPriority w:val="9"/>
    <w:rsid w:val="0067094D"/>
    <w:rPr>
      <w:rFonts w:asciiTheme="majorHAnsi" w:eastAsiaTheme="majorEastAsia" w:hAnsiTheme="majorHAnsi" w:cstheme="majorBidi"/>
      <w:b/>
      <w:smallCaps/>
      <w:sz w:val="28"/>
      <w:szCs w:val="28"/>
    </w:rPr>
  </w:style>
  <w:style w:type="character" w:customStyle="1" w:styleId="Heading4Char">
    <w:name w:val="Heading 4 Char"/>
    <w:basedOn w:val="DefaultParagraphFont"/>
    <w:link w:val="Heading4"/>
    <w:uiPriority w:val="9"/>
    <w:rsid w:val="0067094D"/>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67094D"/>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7094D"/>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7094D"/>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7094D"/>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7094D"/>
    <w:rPr>
      <w:rFonts w:asciiTheme="majorHAnsi" w:eastAsiaTheme="majorEastAsia" w:hAnsiTheme="majorHAnsi" w:cstheme="majorBidi"/>
      <w:b/>
      <w:bCs/>
      <w:i/>
      <w:iCs/>
      <w:caps/>
      <w:color w:val="7F7F7F" w:themeColor="text1" w:themeTint="80"/>
      <w:sz w:val="20"/>
      <w:szCs w:val="20"/>
    </w:rPr>
  </w:style>
  <w:style w:type="paragraph" w:styleId="Header">
    <w:name w:val="header"/>
    <w:link w:val="HeaderChar"/>
    <w:rsid w:val="00012317"/>
    <w:pPr>
      <w:tabs>
        <w:tab w:val="center" w:pos="4680"/>
        <w:tab w:val="right" w:pos="9360"/>
      </w:tabs>
      <w:jc w:val="both"/>
    </w:pPr>
    <w:rPr>
      <w:rFonts w:ascii="Arial" w:hAnsi="Arial" w:cs="Arial Unicode MS"/>
      <w:color w:val="000000"/>
      <w:u w:color="000000"/>
    </w:rPr>
  </w:style>
  <w:style w:type="character" w:customStyle="1" w:styleId="HeaderChar">
    <w:name w:val="Header Char"/>
    <w:basedOn w:val="DefaultParagraphFont"/>
    <w:link w:val="Header"/>
    <w:rsid w:val="00012317"/>
    <w:rPr>
      <w:rFonts w:ascii="Arial" w:eastAsiaTheme="minorEastAsia" w:hAnsi="Arial" w:cs="Arial Unicode MS"/>
      <w:color w:val="000000"/>
      <w:kern w:val="0"/>
      <w:u w:color="000000"/>
      <w14:ligatures w14:val="none"/>
    </w:rPr>
  </w:style>
  <w:style w:type="paragraph" w:styleId="Footer">
    <w:name w:val="footer"/>
    <w:link w:val="FooterChar"/>
    <w:uiPriority w:val="99"/>
    <w:rsid w:val="00012317"/>
    <w:pPr>
      <w:tabs>
        <w:tab w:val="center" w:pos="4680"/>
        <w:tab w:val="right" w:pos="9360"/>
      </w:tabs>
      <w:jc w:val="both"/>
    </w:pPr>
    <w:rPr>
      <w:rFonts w:ascii="Arial" w:hAnsi="Arial" w:cs="Arial Unicode MS"/>
      <w:color w:val="000000"/>
      <w:u w:color="000000"/>
    </w:rPr>
  </w:style>
  <w:style w:type="character" w:customStyle="1" w:styleId="FooterChar">
    <w:name w:val="Footer Char"/>
    <w:basedOn w:val="DefaultParagraphFont"/>
    <w:link w:val="Footer"/>
    <w:uiPriority w:val="99"/>
    <w:rsid w:val="00012317"/>
    <w:rPr>
      <w:rFonts w:ascii="Arial" w:eastAsiaTheme="minorEastAsia" w:hAnsi="Arial" w:cs="Arial Unicode MS"/>
      <w:color w:val="000000"/>
      <w:kern w:val="0"/>
      <w:u w:color="000000"/>
      <w14:ligatures w14:val="none"/>
    </w:rPr>
  </w:style>
  <w:style w:type="paragraph" w:styleId="Caption">
    <w:name w:val="caption"/>
    <w:basedOn w:val="Normal"/>
    <w:next w:val="Normal"/>
    <w:uiPriority w:val="35"/>
    <w:semiHidden/>
    <w:unhideWhenUsed/>
    <w:qFormat/>
    <w:rsid w:val="0067094D"/>
    <w:pPr>
      <w:spacing w:line="240" w:lineRule="auto"/>
    </w:pPr>
    <w:rPr>
      <w:b/>
      <w:bCs/>
      <w:smallCaps/>
      <w:color w:val="595959" w:themeColor="text1" w:themeTint="A6"/>
    </w:rPr>
  </w:style>
  <w:style w:type="paragraph" w:styleId="Title">
    <w:name w:val="Title"/>
    <w:basedOn w:val="Normal"/>
    <w:next w:val="Normal"/>
    <w:link w:val="TitleChar"/>
    <w:uiPriority w:val="10"/>
    <w:qFormat/>
    <w:rsid w:val="0067094D"/>
    <w:pPr>
      <w:spacing w:after="0" w:line="240" w:lineRule="auto"/>
      <w:contextualSpacing/>
    </w:pPr>
    <w:rPr>
      <w:rFonts w:asciiTheme="majorHAnsi" w:eastAsiaTheme="majorEastAsia" w:hAnsiTheme="majorHAnsi" w:cstheme="majorBidi"/>
      <w:b/>
      <w:caps/>
      <w:color w:val="404040" w:themeColor="text1" w:themeTint="BF"/>
      <w:spacing w:val="-10"/>
      <w:sz w:val="40"/>
      <w:szCs w:val="72"/>
    </w:rPr>
  </w:style>
  <w:style w:type="character" w:customStyle="1" w:styleId="TitleChar">
    <w:name w:val="Title Char"/>
    <w:basedOn w:val="DefaultParagraphFont"/>
    <w:link w:val="Title"/>
    <w:uiPriority w:val="10"/>
    <w:rsid w:val="0067094D"/>
    <w:rPr>
      <w:rFonts w:asciiTheme="majorHAnsi" w:eastAsiaTheme="majorEastAsia" w:hAnsiTheme="majorHAnsi" w:cstheme="majorBidi"/>
      <w:b/>
      <w:caps/>
      <w:color w:val="404040" w:themeColor="text1" w:themeTint="BF"/>
      <w:spacing w:val="-10"/>
      <w:sz w:val="40"/>
      <w:szCs w:val="72"/>
    </w:rPr>
  </w:style>
  <w:style w:type="paragraph" w:styleId="Subtitle">
    <w:name w:val="Subtitle"/>
    <w:basedOn w:val="Normal"/>
    <w:next w:val="Normal"/>
    <w:link w:val="SubtitleChar"/>
    <w:uiPriority w:val="11"/>
    <w:qFormat/>
    <w:rsid w:val="0067094D"/>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67094D"/>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67094D"/>
    <w:rPr>
      <w:b/>
      <w:bCs/>
    </w:rPr>
  </w:style>
  <w:style w:type="character" w:styleId="Emphasis">
    <w:name w:val="Emphasis"/>
    <w:basedOn w:val="DefaultParagraphFont"/>
    <w:uiPriority w:val="20"/>
    <w:qFormat/>
    <w:rsid w:val="0067094D"/>
    <w:rPr>
      <w:i/>
      <w:iCs/>
    </w:rPr>
  </w:style>
  <w:style w:type="paragraph" w:styleId="NoSpacing">
    <w:name w:val="No Spacing"/>
    <w:link w:val="NoSpacingChar"/>
    <w:uiPriority w:val="1"/>
    <w:qFormat/>
    <w:rsid w:val="0067094D"/>
    <w:pPr>
      <w:spacing w:after="0" w:line="240" w:lineRule="auto"/>
    </w:pPr>
  </w:style>
  <w:style w:type="paragraph" w:styleId="Quote">
    <w:name w:val="Quote"/>
    <w:basedOn w:val="Normal"/>
    <w:next w:val="Normal"/>
    <w:link w:val="QuoteChar"/>
    <w:uiPriority w:val="29"/>
    <w:qFormat/>
    <w:rsid w:val="0067094D"/>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67094D"/>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67094D"/>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67094D"/>
    <w:rPr>
      <w:color w:val="404040" w:themeColor="text1" w:themeTint="BF"/>
      <w:sz w:val="32"/>
      <w:szCs w:val="32"/>
    </w:rPr>
  </w:style>
  <w:style w:type="character" w:styleId="SubtleEmphasis">
    <w:name w:val="Subtle Emphasis"/>
    <w:basedOn w:val="DefaultParagraphFont"/>
    <w:uiPriority w:val="19"/>
    <w:qFormat/>
    <w:rsid w:val="0067094D"/>
    <w:rPr>
      <w:i/>
      <w:iCs/>
      <w:color w:val="595959" w:themeColor="text1" w:themeTint="A6"/>
    </w:rPr>
  </w:style>
  <w:style w:type="character" w:styleId="IntenseEmphasis">
    <w:name w:val="Intense Emphasis"/>
    <w:basedOn w:val="DefaultParagraphFont"/>
    <w:uiPriority w:val="21"/>
    <w:qFormat/>
    <w:rsid w:val="0067094D"/>
    <w:rPr>
      <w:b/>
      <w:bCs/>
      <w:i/>
      <w:iCs/>
    </w:rPr>
  </w:style>
  <w:style w:type="character" w:styleId="SubtleReference">
    <w:name w:val="Subtle Reference"/>
    <w:basedOn w:val="DefaultParagraphFont"/>
    <w:uiPriority w:val="31"/>
    <w:qFormat/>
    <w:rsid w:val="0067094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7094D"/>
    <w:rPr>
      <w:b/>
      <w:bCs/>
      <w:caps w:val="0"/>
      <w:smallCaps/>
      <w:color w:val="auto"/>
      <w:spacing w:val="3"/>
      <w:u w:val="single"/>
    </w:rPr>
  </w:style>
  <w:style w:type="character" w:styleId="BookTitle">
    <w:name w:val="Book Title"/>
    <w:basedOn w:val="DefaultParagraphFont"/>
    <w:uiPriority w:val="33"/>
    <w:qFormat/>
    <w:rsid w:val="0067094D"/>
    <w:rPr>
      <w:b/>
      <w:bCs/>
      <w:smallCaps/>
      <w:spacing w:val="7"/>
    </w:rPr>
  </w:style>
  <w:style w:type="paragraph" w:styleId="TOCHeading">
    <w:name w:val="TOC Heading"/>
    <w:basedOn w:val="Heading1"/>
    <w:next w:val="Normal"/>
    <w:uiPriority w:val="39"/>
    <w:unhideWhenUsed/>
    <w:qFormat/>
    <w:rsid w:val="0067094D"/>
    <w:pPr>
      <w:outlineLvl w:val="9"/>
    </w:pPr>
  </w:style>
  <w:style w:type="paragraph" w:styleId="ListParagraph">
    <w:name w:val="List Paragraph"/>
    <w:basedOn w:val="Normal"/>
    <w:uiPriority w:val="34"/>
    <w:qFormat/>
    <w:rsid w:val="0067094D"/>
    <w:pPr>
      <w:ind w:left="720"/>
      <w:contextualSpacing/>
    </w:pPr>
  </w:style>
  <w:style w:type="character" w:customStyle="1" w:styleId="NoSpacingChar">
    <w:name w:val="No Spacing Char"/>
    <w:basedOn w:val="DefaultParagraphFont"/>
    <w:link w:val="NoSpacing"/>
    <w:uiPriority w:val="1"/>
    <w:rsid w:val="0067094D"/>
  </w:style>
  <w:style w:type="character" w:customStyle="1" w:styleId="InlineCode">
    <w:name w:val="Inline Code"/>
    <w:basedOn w:val="DefaultParagraphFont"/>
    <w:uiPriority w:val="1"/>
    <w:qFormat/>
    <w:rsid w:val="0067094D"/>
    <w:rPr>
      <w:rFonts w:ascii="Consolas" w:hAnsi="Consolas"/>
      <w:shd w:val="clear" w:color="auto" w:fill="BFBFBF" w:themeFill="background1" w:themeFillShade="BF"/>
    </w:rPr>
  </w:style>
  <w:style w:type="paragraph" w:styleId="TOC1">
    <w:name w:val="toc 1"/>
    <w:basedOn w:val="Normal"/>
    <w:next w:val="Normal"/>
    <w:autoRedefine/>
    <w:uiPriority w:val="39"/>
    <w:unhideWhenUsed/>
    <w:rsid w:val="00FE5942"/>
    <w:pPr>
      <w:spacing w:after="100"/>
    </w:pPr>
  </w:style>
  <w:style w:type="paragraph" w:styleId="TOC2">
    <w:name w:val="toc 2"/>
    <w:basedOn w:val="Normal"/>
    <w:next w:val="Normal"/>
    <w:autoRedefine/>
    <w:uiPriority w:val="39"/>
    <w:unhideWhenUsed/>
    <w:rsid w:val="00FE5942"/>
    <w:pPr>
      <w:spacing w:after="100"/>
      <w:ind w:left="220"/>
    </w:pPr>
  </w:style>
  <w:style w:type="paragraph" w:styleId="TOC3">
    <w:name w:val="toc 3"/>
    <w:basedOn w:val="Normal"/>
    <w:next w:val="Normal"/>
    <w:autoRedefine/>
    <w:uiPriority w:val="39"/>
    <w:unhideWhenUsed/>
    <w:rsid w:val="00FE594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A4D9C-C022-4C78-89E8-1796F0636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Arain</dc:creator>
  <cp:keywords/>
  <dc:description/>
  <cp:lastModifiedBy>Sana Arain</cp:lastModifiedBy>
  <cp:revision>5</cp:revision>
  <dcterms:created xsi:type="dcterms:W3CDTF">2026-01-16T20:07:00Z</dcterms:created>
  <dcterms:modified xsi:type="dcterms:W3CDTF">2026-02-16T19:54:00Z</dcterms:modified>
</cp:coreProperties>
</file>