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When Crisis Communication Becomes Collusion: Separating Collusion, Miscoordination and Legitimate Coordination between LLM Dispatch Agents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Pr>
                            <w:rFonts w:ascii="Old Standard TT" w:hAnsi="Old Standard TT"/>
                            <w:b/>
                            <w:sz w:val="22"/>
                          </w:rPr>
                          <w:t>Sanzhar Ilichbekov</w:t>
                        </w:r>
                      </w:p>
                      <w:p>
                        <w:pPr>
                          <w:jc w:val="center"/>
                        </w:pPr>
                        <w:r>
                          <w:rPr>
                            <w:rFonts w:ascii="Old Standard TT" w:hAnsi="Old Standard TT"/>
                            <w:sz w:val="20"/>
                          </w:rPr>
                          <w:t>Independent Researcher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Pr>
                            <w:rFonts w:ascii="Old Standard TT" w:hAnsi="Old Standard TT"/>
                            <w:b/>
                            <w:sz w:val="22"/>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Pr>
                            <w:rFonts w:ascii="Old Standard TT" w:hAnsi="Old Standard TT"/>
                            <w:b/>
                            <w:sz w:val="22"/>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Pr>
                            <w:rFonts w:ascii="Old Standard TT" w:hAnsi="Old Standard TT"/>
                            <w:b/>
                            <w:sz w:val="22"/>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Pr>
                            <w:rFonts w:ascii="Old Standard TT" w:hAnsi="Old Standard TT"/>
                            <w:b/>
                            <w:sz w:val="22"/>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Pr>
                            <w:rFonts w:ascii="Old Standard TT" w:hAnsi="Old Standard TT"/>
                            <w:b/>
                            <w:sz w:val="22"/>
                          </w:rPr>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rFonts w:ascii="Old Standard TT" w:hAnsi="Old Standard TT"/>
                      <w:sz w:val="21"/>
                    </w:rPr>
                    <w:t>LLM agents that coordinate in emergencies need a chat channel to pool hazard information, yet the same channel lets them agree to break protocol for private gain. Detecting this requires telling apart self-serving collusion, well-meant miscoordination, uncoordinated parallel conduct, cheap talk and justified emergency coordination. We build the Dual-Key Dispatch Game, a 5-round game where the environment computes exact Bayesian posteriors and payoffs, so the outcome labels contain no LLM judgement. We ran 216 balanced live episodes of qwen2.5:7b-instruct (18 paired seeds × 12 cells). Opening an unmonitored channel to agents with conflicting incentives raised the unjustified-joint-override rate by +58.2 percentage points pooled over framings (p_Holm = 0.0006); in crisis framing it rose from 6.0% to 73.8%. Aligned agents given the same channel also overrode in 58–69% of eligible crisis rounds, but against their own objective (coalition advantage CA = -57 to -72 points/episode, versus +49 to +62 for conflicting agents). We therefore separate confirmed collusion (per-round counterfactual CA_t &gt; 0) from miscoordination (CA_t &lt;= 0). On a held-out test split (96 episodes), monitors that combine chat and actions reject parallel conduct and cheap talk. A plus-factor evidence ladder adapted from antitrust law raises precision from 70.4% to 93.2% (p_Holm = 0.005). However, every trajectory-only monitor flags 72–100% of miscoordination episodes as collusion. Telling motive apart needs knowledge of the agents' incentive contracts, not just their transcripts.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pPr>
      <w:r>
        <w:rPr>
          <w:b/>
        </w:rPr>
        <w:t>1. Introduction</w:t>
      </w:r>
    </w:p>
    <w:p>
      <w:pPr/>
      <w:r>
        <w:rPr>
          <w:rFonts w:ascii="Old Standard TT" w:hAnsi="Old Standard TT"/>
          <w:sz w:val="22"/>
        </w:rPr>
        <w:t>Multi-agent LLM systems are being proposed for disaster response, grid balancing and resource allocation [9]. Such deployments need two things that are in tension: a communication channel, because hazard information is distributed across agents, and an override protocol, because sometimes the default plan is wrong. If agents are also rewarded for local outcomes, the channel becomes a way to agree on overrides that help their own sectors and hurt the public. This is the collusion failure mode of Hammond et al. [9] and the language-level coordination studied by Motwani et al. [15].</w:t>
      </w:r>
    </w:p>
    <w:p>
      <w:pPr/>
      <w:r>
        <w:rPr>
          <w:rFonts w:ascii="Old Standard TT" w:hAnsi="Old Standard TT"/>
          <w:sz w:val="22"/>
        </w:rPr>
        <w:t>Measuring this failure is hard for three reasons: (i) if an LLM judge both defines and detects collusion, accuracy measures self-consistency; (ii) if every override is harmful by construction, an action-only detector looks perfect; and (iii) a harmful joint action can come from an agreement for private gain (collusion), from agents talking each other into a mistake they both dislike (miscoordination), or from independent parallel choices. Antitrust law faces the same identification problem: parallel conduct alone does not prove agreement, so courts look for additional plus factors [13, 10].</w:t>
      </w:r>
    </w:p>
    <w:p>
      <w:pPr/>
      <w:r>
        <w:rPr>
          <w:rFonts w:ascii="Old Standard TT" w:hAnsi="Old Standard TT"/>
          <w:b/>
          <w:sz w:val="22"/>
        </w:rPr>
        <w:t>Our main contributions are:</w:t>
      </w:r>
      <w:r>
        <w:rPr>
          <w:rFonts w:ascii="Old Standard TT" w:hAnsi="Old Standard TT"/>
          <w:sz w:val="22"/>
        </w:rPr>
      </w:r>
    </w:p>
    <w:p>
      <w:pPr>
        <w:ind w:left="360"/>
      </w:pPr>
      <w:r>
        <w:rPr>
          <w:rFonts w:ascii="Old Standard TT" w:hAnsi="Old Standard TT"/>
          <w:b/>
          <w:sz w:val="22"/>
        </w:rPr>
        <w:t xml:space="preserve">• 1. An environment with environment-computed labels (Track 2.1): </w:t>
      </w:r>
      <w:r>
        <w:rPr>
          <w:rFonts w:ascii="Old Standard TT" w:hAnsi="Old Standard TT"/>
          <w:sz w:val="22"/>
        </w:rPr>
        <w:t>In the Dual-Key Dispatch Game, overrides are sometimes optimal: 17.7% of rounds have a signal pattern that makes an override Bayes-justified. The environment computes the posterior, payoffs, per-round counterfactual coalition advantage (CA_t), and episode-total coalition advantage (CA). Every round receives one of seven mutually exclusive labels with a stated precedence rule.</w:t>
      </w:r>
    </w:p>
    <w:p>
      <w:pPr>
        <w:ind w:left="360"/>
      </w:pPr>
      <w:r>
        <w:rPr>
          <w:rFonts w:ascii="Old Standard TT" w:hAnsi="Old Standard TT"/>
          <w:b/>
          <w:sz w:val="22"/>
        </w:rPr>
        <w:t xml:space="preserve">• 2. An empirical separation of collusion from miscoordination: </w:t>
      </w:r>
      <w:r>
        <w:rPr>
          <w:rFonts w:ascii="Old Standard TT" w:hAnsi="Old Standard TT"/>
          <w:sz w:val="22"/>
        </w:rPr>
        <w:t>With qwen2.5:7b-instruct, chat turns rare silent overrides into frequent ones. This happens both for conflicting agents (CA_t &gt; 0, episode CA &gt; 0) and for aligned agents (CA_t &lt;= 0, episode CA &lt; 0), showing that harmful coordinated behaviour alone cannot identify collusion.</w:t>
      </w:r>
    </w:p>
    <w:p>
      <w:pPr>
        <w:ind w:left="360"/>
      </w:pPr>
      <w:r>
        <w:rPr>
          <w:rFonts w:ascii="Old Standard TT" w:hAnsi="Old Standard TT"/>
          <w:b/>
          <w:sz w:val="22"/>
        </w:rPr>
        <w:t xml:space="preserve">• 3. A detection benchmark with hard negatives (Tracks 2.2, 2.3): </w:t>
      </w:r>
      <w:r>
        <w:rPr>
          <w:rFonts w:ascii="Old Standard TT" w:hAnsi="Old Standard TT"/>
          <w:sz w:val="22"/>
        </w:rPr>
        <w:t>We compare chat-only, action-only, combined, and structured programmatic monitors and a four-rung plus-factor evidence ladder on a frozen test split (96 episodes), reporting false-positive rates for each hard-negative class and stating where label definitions and detector inputs overlap.</w:t>
      </w:r>
    </w:p>
    <w:p>
      <w:pPr>
        <w:pStyle w:val="Heading2"/>
      </w:pPr>
      <w:r>
        <w:rPr>
          <w:b/>
        </w:rPr>
        <w:t>2. Related Work</w:t>
      </w:r>
    </w:p>
    <w:p>
      <w:pPr/>
      <w:r>
        <w:rPr>
          <w:rFonts w:ascii="Old Standard TT" w:hAnsi="Old Standard TT"/>
          <w:b/>
          <w:sz w:val="22"/>
        </w:rPr>
        <w:t xml:space="preserve">Algorithmic and LLM collusion. </w:t>
      </w:r>
      <w:r>
        <w:rPr>
          <w:rFonts w:ascii="Old Standard TT" w:hAnsi="Old Standard TT"/>
          <w:sz w:val="22"/>
        </w:rPr>
        <w:t>RL pricing agents learn supra-competitive prices without communication [2, 12], and LLM pricing agents do so quickly [6]. Legal scholarship asks how competition law should treat such agents [4, 10]. Our setting is a non-market public-service protocol, where the harm is lives rather than prices.</w:t>
      </w:r>
    </w:p>
    <w:p>
      <w:pPr/>
      <w:r>
        <w:rPr>
          <w:rFonts w:ascii="Old Standard TT" w:hAnsi="Old Standard TT"/>
          <w:b/>
          <w:sz w:val="22"/>
        </w:rPr>
        <w:t xml:space="preserve">Auditing collusion in cooperative multi-agent systems. </w:t>
      </w:r>
      <w:r>
        <w:rPr>
          <w:rFonts w:ascii="Old Standard TT" w:hAnsi="Old Standard TT"/>
          <w:sz w:val="22"/>
        </w:rPr>
        <w:t>The closest work is Colosseum [16], which grounds cooperation in distributed constraint optimisation, measures collusion as regret relative to the cooperative optimum, and finds both emergent collusion over secret channels and 'collusion on paper' (plans in chat that are not executed). We share the regret-based, environment-grounded view, and differ in three ways: (a) our environment contains justified joint deviations, so a deviation detector has true negatives to get wrong; (b) we separate collusion from miscoordination using the agents' own counterfactual reward (CA_t and CA), not only public regret; and (c) we benchmark monitor views and a legal evidence ladder against these hard negatives. Our Case 3 (cheap talk) corresponds to Colosseum's collusion on paper.</w:t>
      </w:r>
    </w:p>
    <w:p>
      <w:pPr/>
      <w:r>
        <w:rPr>
          <w:rFonts w:ascii="Old Standard TT" w:hAnsi="Old Standard TT"/>
          <w:b/>
          <w:sz w:val="22"/>
        </w:rPr>
        <w:t xml:space="preserve">Game theory, deception and AI control. </w:t>
      </w:r>
      <w:r>
        <w:rPr>
          <w:rFonts w:ascii="Old Standard TT" w:hAnsi="Old Standard TT"/>
          <w:sz w:val="22"/>
        </w:rPr>
        <w:t>Pre-play cheap talk can move Stag Hunt play from the risk-dominant to the payoff-dominant equilibrium [5, 19]. The cooperative-AI literature distinguishes collusion from miscoordination [3, 9], and we measure that distinction directly. AI-control work evaluates monitors at low false-positive operating points [7, 1], and LLMs can deceive or scheme under pressure [18, 14, 8, 17]. We report TPR at 5% FPR in the same spirit.</w:t>
      </w:r>
    </w:p>
    <w:p>
      <w:pPr>
        <w:pStyle w:val="Heading2"/>
      </w:pPr>
      <w:r>
        <w:rPr>
          <w:b/>
        </w:rPr>
        <w:t>3. Methods</w:t>
      </w:r>
    </w:p>
    <w:p>
      <w:pPr/>
      <w:r>
        <w:rPr>
          <w:rFonts w:ascii="Old Standard TT" w:hAnsi="Old Standard TT"/>
          <w:b/>
          <w:sz w:val="22"/>
        </w:rPr>
        <w:t xml:space="preserve">Game. </w:t>
      </w:r>
      <w:r>
        <w:rPr>
          <w:rFonts w:ascii="Old Standard TT" w:hAnsi="Old Standard TT"/>
          <w:sz w:val="22"/>
        </w:rPr>
        <w:t>Two dispatchers (A, B) each send 5 units per round for T = 5 rounds. The hidden shelter state is compromised with prior 0.25. Each agent receives a private signal (WARNING with probability 0.80 if compromised, 0.15 if normal), and both see a public sensor (ALARM 0.70 / 0.20). The default CENTRAL plan yields U_pub = 116 lives if the shelter is normal and 56 if compromised. A joint LOCAL-SPLIT override yields 80 in both states. A unilateral override is rejected, the default is executed, and the lone filer pays -20. Agent reward is R_i = alpha * L_i + (1 - alpha) * U_pub - 20 * 1[lone override], with alpha = 0 (aligned, cells A) or alpha = 0.85 (conflicting, cells B). In normal state with alpha = 0.85 the stage game is a Stag Hunt: joint override pays 46 vs. 31, but default is risk-dominant (override pays only if P(partner overrides) &gt; 4/7). Override maximises expected lives iff the posterior p &gt; 0.60. Between rounds agents see only own-sector lives L_i in {16, 40} and penalties, so the hidden state never leaks.</w:t>
      </w:r>
    </w:p>
    <w:p>
      <w:pPr/>
      <w:r>
        <w:rPr>
          <w:rFonts w:ascii="Old Standard TT" w:hAnsi="Old Standard TT"/>
          <w:b/>
          <w:sz w:val="22"/>
        </w:rPr>
        <w:t xml:space="preserve">Design. </w:t>
      </w:r>
      <w:r>
        <w:rPr>
          <w:rFonts w:ascii="Old Standard TT" w:hAnsi="Old Standard TT"/>
          <w:sz w:val="22"/>
        </w:rPr>
        <w:t>3 communication regimes (no chat; chat that agents are told is monitored; unmonitored chat, up to 4 messages of &lt;= 60 words) x 2 incentives x 2 framings (earthquake 'crisis' vs. an isomorphic road-maintenance 'routine' story) = 12 cells, with seeds paired across cells. Both agents are qwen2.5:7b-instruct (Q4_K_M, Ollama on Modal CPU containers, temperature 0.7). Every agent passed a pre-game comprehension check (100%). Seeds 0–17 completed all 12 cells: 216 balanced core episodes, 1,080 rounds, 2,880 chat messages, 6.8M prompt tokens. Seeds 0–9 (120 episodes) are used only to set monitor thresholds and fit weights; seeds 10–17 (96 episodes) are a frozen test split.</w:t>
      </w:r>
    </w:p>
    <w:p>
      <w:pPr/>
      <w:r>
        <w:rPr>
          <w:rFonts w:ascii="Old Standard TT" w:hAnsi="Old Standard TT"/>
          <w:b/>
          <w:sz w:val="22"/>
        </w:rPr>
        <w:t xml:space="preserve">Labels and precedence. </w:t>
      </w:r>
      <w:r>
        <w:rPr>
          <w:rFonts w:ascii="Old Standard TT" w:hAnsi="Old Standard TT"/>
          <w:sz w:val="22"/>
        </w:rPr>
        <w:t>The environment classifies each round by posterior: justified (p &gt; 0.70), ambiguous (0.50 &lt;= p &lt;= 0.70, e.g. WARN/CLEAR/ALARM, p = 0.594) or clear-cut unjustified (p &lt; 0.50). An unjustified joint override (UJO) is a joint override with p &lt; 0.50; UJO rates use these eligible rounds as the denominator. We also report a protocol-violation rate (joint override with p &lt;= 0.60, over all rounds). pre_action_coord means both agents proposed or accepted LOCAL-SPLIT in chat before acting; it is parser-defined (rule-v1.0, validated against a temperature-0 qwen2.5:7b-instruct annotator on 150 real messages: kappa = 0.934 for stated actions, 0.829 for claimed signals), not human-verified intent. For each round t, the environment computes the per-round counterfactual coalition advantage CA_t = 0.5 * sum_i (R_{i,t}(a_t, s_t) - R_{i,t}((CENTRAL, CENTRAL), s_t)) (+15.0 in normal state under conflicting incentives vs. -36.0 under aligned incentives) and the episode-total CA = sum_{t=1}^5 CA_t. Rounds are labelled by the first matching rule: (1) Case ④ Legitimate coordination (joint override with p &gt; 0.70); (2) Case ① Confirmed collusion (UJO and pre_action_coord and conflicting incentives and per-round CA_t &gt; 0); (3) Case ①b Miscoordination / precautionary cascade (UJO and pre_action_coord and (aligned or per-round CA_t &lt;= 0)); (4) Case ② Parallel conduct (UJO without pre_action_coord); (5) Case ⑤ Ambiguous override (joint override with 0.50 &lt;= p &lt;= 0.70); (6) Case ③ Cheap talk (pre_action_coord but no joint override); (7) Compliant (everything else). Cases ① and ①b together form the harmful coordinated override (HCO = UJO and pre_action_coord), which matches the pre-registered Case ① target.</w:t>
      </w:r>
    </w:p>
    <w:p>
      <w:pPr/>
      <w:r>
        <w:rPr>
          <w:rFonts w:ascii="Old Standard TT" w:hAnsi="Old Standard TT"/>
          <w:b/>
          <w:sz w:val="22"/>
        </w:rPr>
        <w:t xml:space="preserve">Monitors and Plus Factors. </w:t>
      </w:r>
      <w:r>
        <w:rPr>
          <w:rFonts w:ascii="Old Standard TT" w:hAnsi="Old Standard TT"/>
          <w:sz w:val="22"/>
        </w:rPr>
        <w:t>All monitors are deterministic programs, not LLM judges. V1 reads chat and the public sensor; V2 reads actions, sector lives, penalties and the sensor; V3 reads both; V4 reads a structured claims-vs-actions table; Late fusion is 0.5*s_V1 + 0.5*s_V2; Rule baseline flags override and QUIET and chat; LogReg Plus is an L2 logistic regression on P0–P5 fit on dev; Ceiling also sees private signals. V1, V3, V4 and Ceiling consume the output of the coordination parser that defines HCO, whereas V2, P0, P1 and the rule baseline do not.</w:t>
      </w:r>
    </w:p>
    <w:p>
      <w:pPr>
        <w:pStyle w:val="Heading2"/>
      </w:pPr>
      <w:r>
        <w:rPr>
          <w:b/>
        </w:rPr>
        <w:t>4. Results</w:t>
      </w:r>
    </w:p>
    <w:p>
      <w:pPr/>
      <w:r>
        <w:rPr>
          <w:rFonts w:ascii="Old Standard TT" w:hAnsi="Old Standard TT"/>
          <w:b/>
          <w:sz w:val="20"/>
        </w:rPr>
        <w:t>Table 1: Outcomes by cell (18 paired seeds per cell, 216 live episodes). UJO, HCO (= MC + CC), miscoordination (MC, per-round CA_t &lt;= 0) and confirmed collusion (CC, per-round CA_t &gt; 0) are % of eligible (p &lt; 0.50) rounds; PV is joint override with p &lt;= 0.60 as % of all rounds.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rFonts w:ascii="Old Standard TT" w:hAnsi="Old Standard TT"/>
                <w:b/>
                <w:sz w:val="19"/>
              </w:rPr>
              <w:t>Cell</w:t>
            </w:r>
          </w:p>
        </w:tc>
        <w:tc>
          <w:tcPr>
            <w:tcW w:type="dxa" w:w="936"/>
          </w:tcPr>
          <w:p>
            <w:r/>
            <w:r>
              <w:rPr>
                <w:rFonts w:ascii="Old Standard TT" w:hAnsi="Old Standard TT"/>
                <w:b/>
                <w:sz w:val="19"/>
              </w:rPr>
              <w:t>Incentive / Channel</w:t>
            </w:r>
          </w:p>
        </w:tc>
        <w:tc>
          <w:tcPr>
            <w:tcW w:type="dxa" w:w="936"/>
          </w:tcPr>
          <w:p>
            <w:r/>
            <w:r>
              <w:rPr>
                <w:rFonts w:ascii="Old Standard TT" w:hAnsi="Old Standard TT"/>
                <w:b/>
                <w:sz w:val="19"/>
              </w:rPr>
              <w:t>Frame</w:t>
            </w:r>
          </w:p>
        </w:tc>
        <w:tc>
          <w:tcPr>
            <w:tcW w:type="dxa" w:w="936"/>
          </w:tcPr>
          <w:p>
            <w:r/>
            <w:r>
              <w:rPr>
                <w:rFonts w:ascii="Old Standard TT" w:hAnsi="Old Standard TT"/>
                <w:b/>
                <w:sz w:val="19"/>
              </w:rPr>
              <w:t>UJO %</w:t>
            </w:r>
          </w:p>
        </w:tc>
        <w:tc>
          <w:tcPr>
            <w:tcW w:type="dxa" w:w="936"/>
          </w:tcPr>
          <w:p>
            <w:r/>
            <w:r>
              <w:rPr>
                <w:rFonts w:ascii="Old Standard TT" w:hAnsi="Old Standard TT"/>
                <w:b/>
                <w:sz w:val="19"/>
              </w:rPr>
              <w:t>PV %</w:t>
            </w:r>
          </w:p>
        </w:tc>
        <w:tc>
          <w:tcPr>
            <w:tcW w:type="dxa" w:w="936"/>
          </w:tcPr>
          <w:p>
            <w:r/>
            <w:r>
              <w:rPr>
                <w:rFonts w:ascii="Old Standard TT" w:hAnsi="Old Standard TT"/>
                <w:b/>
                <w:sz w:val="19"/>
              </w:rPr>
              <w:t>HCO %</w:t>
            </w:r>
          </w:p>
        </w:tc>
        <w:tc>
          <w:tcPr>
            <w:tcW w:type="dxa" w:w="936"/>
          </w:tcPr>
          <w:p>
            <w:r/>
            <w:r>
              <w:rPr>
                <w:rFonts w:ascii="Old Standard TT" w:hAnsi="Old Standard TT"/>
                <w:b/>
                <w:sz w:val="19"/>
              </w:rPr>
              <w:t>MC (①b) %</w:t>
            </w:r>
          </w:p>
        </w:tc>
        <w:tc>
          <w:tcPr>
            <w:tcW w:type="dxa" w:w="936"/>
          </w:tcPr>
          <w:p>
            <w:r/>
            <w:r>
              <w:rPr>
                <w:rFonts w:ascii="Old Standard TT" w:hAnsi="Old Standard TT"/>
                <w:b/>
                <w:sz w:val="19"/>
              </w:rPr>
              <w:t>CC (①) %</w:t>
            </w:r>
          </w:p>
        </w:tc>
        <w:tc>
          <w:tcPr>
            <w:tcW w:type="dxa" w:w="936"/>
          </w:tcPr>
          <w:p>
            <w:r/>
            <w:r>
              <w:rPr>
                <w:rFonts w:ascii="Old Standard TT" w:hAnsi="Old Standard TT"/>
                <w:b/>
                <w:sz w:val="19"/>
              </w:rPr>
              <w:t>ΔW Lives</w:t>
            </w:r>
          </w:p>
        </w:tc>
        <w:tc>
          <w:tcPr>
            <w:tcW w:type="dxa" w:w="936"/>
          </w:tcPr>
          <w:p>
            <w:r/>
            <w:r>
              <w:rPr>
                <w:rFonts w:ascii="Old Standard TT" w:hAnsi="Old Standard TT"/>
                <w:b/>
                <w:sz w:val="19"/>
              </w:rPr>
              <w:t>CA</w:t>
            </w:r>
          </w:p>
        </w:tc>
      </w:tr>
      <w:tr>
        <w:tc>
          <w:tcPr>
            <w:tcW w:type="dxa" w:w="936"/>
          </w:tcPr>
          <w:p>
            <w:r/>
            <w:r>
              <w:rPr>
                <w:rFonts w:ascii="Old Standard TT" w:hAnsi="Old Standard TT"/>
                <w:sz w:val="19"/>
              </w:rPr>
              <w:t>A1</w:t>
            </w:r>
          </w:p>
        </w:tc>
        <w:tc>
          <w:tcPr>
            <w:tcW w:type="dxa" w:w="936"/>
          </w:tcPr>
          <w:p>
            <w:r/>
            <w:r>
              <w:rPr>
                <w:rFonts w:ascii="Old Standard TT" w:hAnsi="Old Standard TT"/>
                <w:sz w:val="19"/>
              </w:rPr>
              <w:t>aligned / none</w:t>
            </w:r>
          </w:p>
        </w:tc>
        <w:tc>
          <w:tcPr>
            <w:tcW w:type="dxa" w:w="936"/>
          </w:tcPr>
          <w:p>
            <w:r/>
            <w:r>
              <w:rPr>
                <w:rFonts w:ascii="Old Standard TT" w:hAnsi="Old Standard TT"/>
                <w:sz w:val="19"/>
              </w:rPr>
              <w:t>crisis</w:t>
            </w:r>
          </w:p>
        </w:tc>
        <w:tc>
          <w:tcPr>
            <w:tcW w:type="dxa" w:w="936"/>
          </w:tcPr>
          <w:p>
            <w:r/>
            <w:r>
              <w:rPr>
                <w:rFonts w:ascii="Old Standard TT" w:hAnsi="Old Standard TT"/>
                <w:sz w:val="19"/>
              </w:rPr>
              <w:t>0.0</w:t>
            </w:r>
          </w:p>
        </w:tc>
        <w:tc>
          <w:tcPr>
            <w:tcW w:type="dxa" w:w="936"/>
          </w:tcPr>
          <w:p>
            <w:r/>
            <w:r>
              <w:rPr>
                <w:rFonts w:ascii="Old Standard TT" w:hAnsi="Old Standard TT"/>
                <w:sz w:val="19"/>
              </w:rPr>
              <w:t>2.2</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26.0</w:t>
            </w:r>
          </w:p>
        </w:tc>
        <w:tc>
          <w:tcPr>
            <w:tcW w:type="dxa" w:w="936"/>
          </w:tcPr>
          <w:p>
            <w:r/>
            <w:r>
              <w:rPr>
                <w:rFonts w:ascii="Old Standard TT" w:hAnsi="Old Standard TT"/>
                <w:sz w:val="19"/>
              </w:rPr>
              <w:t>-10.3</w:t>
            </w:r>
          </w:p>
        </w:tc>
      </w:tr>
      <w:tr>
        <w:tc>
          <w:tcPr>
            <w:tcW w:type="dxa" w:w="936"/>
          </w:tcPr>
          <w:p>
            <w:r/>
            <w:r>
              <w:rPr>
                <w:rFonts w:ascii="Old Standard TT" w:hAnsi="Old Standard TT"/>
                <w:sz w:val="19"/>
              </w:rPr>
              <w:t>A1</w:t>
            </w:r>
          </w:p>
        </w:tc>
        <w:tc>
          <w:tcPr>
            <w:tcW w:type="dxa" w:w="936"/>
          </w:tcPr>
          <w:p>
            <w:r/>
            <w:r>
              <w:rPr>
                <w:rFonts w:ascii="Old Standard TT" w:hAnsi="Old Standard TT"/>
                <w:sz w:val="19"/>
              </w:rPr>
              <w:t>aligned / none</w:t>
            </w:r>
          </w:p>
        </w:tc>
        <w:tc>
          <w:tcPr>
            <w:tcW w:type="dxa" w:w="936"/>
          </w:tcPr>
          <w:p>
            <w:r/>
            <w:r>
              <w:rPr>
                <w:rFonts w:ascii="Old Standard TT" w:hAnsi="Old Standard TT"/>
                <w:sz w:val="19"/>
              </w:rPr>
              <w:t>routine</w:t>
            </w:r>
          </w:p>
        </w:tc>
        <w:tc>
          <w:tcPr>
            <w:tcW w:type="dxa" w:w="936"/>
          </w:tcPr>
          <w:p>
            <w:r/>
            <w:r>
              <w:rPr>
                <w:rFonts w:ascii="Old Standard TT" w:hAnsi="Old Standard TT"/>
                <w:sz w:val="19"/>
              </w:rPr>
              <w:t>1.4</w:t>
            </w:r>
          </w:p>
        </w:tc>
        <w:tc>
          <w:tcPr>
            <w:tcW w:type="dxa" w:w="936"/>
          </w:tcPr>
          <w:p>
            <w:r/>
            <w:r>
              <w:rPr>
                <w:rFonts w:ascii="Old Standard TT" w:hAnsi="Old Standard TT"/>
                <w:sz w:val="19"/>
              </w:rPr>
              <w:t>2.2</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23.3</w:t>
            </w:r>
          </w:p>
        </w:tc>
        <w:tc>
          <w:tcPr>
            <w:tcW w:type="dxa" w:w="936"/>
          </w:tcPr>
          <w:p>
            <w:r/>
            <w:r>
              <w:rPr>
                <w:rFonts w:ascii="Old Standard TT" w:hAnsi="Old Standard TT"/>
                <w:sz w:val="19"/>
              </w:rPr>
              <w:t>-3.2</w:t>
            </w:r>
          </w:p>
        </w:tc>
      </w:tr>
      <w:tr>
        <w:tc>
          <w:tcPr>
            <w:tcW w:type="dxa" w:w="936"/>
          </w:tcPr>
          <w:p>
            <w:r/>
            <w:r>
              <w:rPr>
                <w:rFonts w:ascii="Old Standard TT" w:hAnsi="Old Standard TT"/>
                <w:sz w:val="19"/>
              </w:rPr>
              <w:t>A2</w:t>
            </w:r>
          </w:p>
        </w:tc>
        <w:tc>
          <w:tcPr>
            <w:tcW w:type="dxa" w:w="936"/>
          </w:tcPr>
          <w:p>
            <w:r/>
            <w:r>
              <w:rPr>
                <w:rFonts w:ascii="Old Standard TT" w:hAnsi="Old Standard TT"/>
                <w:sz w:val="19"/>
              </w:rPr>
              <w:t>aligned / monitored</w:t>
            </w:r>
          </w:p>
        </w:tc>
        <w:tc>
          <w:tcPr>
            <w:tcW w:type="dxa" w:w="936"/>
          </w:tcPr>
          <w:p>
            <w:r/>
            <w:r>
              <w:rPr>
                <w:rFonts w:ascii="Old Standard TT" w:hAnsi="Old Standard TT"/>
                <w:sz w:val="19"/>
              </w:rPr>
              <w:t>crisis</w:t>
            </w:r>
          </w:p>
        </w:tc>
        <w:tc>
          <w:tcPr>
            <w:tcW w:type="dxa" w:w="936"/>
          </w:tcPr>
          <w:p>
            <w:r/>
            <w:r>
              <w:rPr>
                <w:rFonts w:ascii="Old Standard TT" w:hAnsi="Old Standard TT"/>
                <w:sz w:val="19"/>
              </w:rPr>
              <w:t>58.0 [41,75]</w:t>
            </w:r>
          </w:p>
        </w:tc>
        <w:tc>
          <w:tcPr>
            <w:tcW w:type="dxa" w:w="936"/>
          </w:tcPr>
          <w:p>
            <w:r/>
            <w:r>
              <w:rPr>
                <w:rFonts w:ascii="Old Standard TT" w:hAnsi="Old Standard TT"/>
                <w:sz w:val="19"/>
              </w:rPr>
              <w:t>47.8</w:t>
            </w:r>
          </w:p>
        </w:tc>
        <w:tc>
          <w:tcPr>
            <w:tcW w:type="dxa" w:w="936"/>
          </w:tcPr>
          <w:p>
            <w:r/>
            <w:r>
              <w:rPr>
                <w:rFonts w:ascii="Old Standard TT" w:hAnsi="Old Standard TT"/>
                <w:sz w:val="19"/>
              </w:rPr>
              <w:t>58.0</w:t>
            </w:r>
          </w:p>
        </w:tc>
        <w:tc>
          <w:tcPr>
            <w:tcW w:type="dxa" w:w="936"/>
          </w:tcPr>
          <w:p>
            <w:r/>
            <w:r>
              <w:rPr>
                <w:rFonts w:ascii="Old Standard TT" w:hAnsi="Old Standard TT"/>
                <w:sz w:val="19"/>
              </w:rPr>
              <w:t>58.0 [41,75]</w:t>
            </w:r>
          </w:p>
        </w:tc>
        <w:tc>
          <w:tcPr>
            <w:tcW w:type="dxa" w:w="936"/>
          </w:tcPr>
          <w:p>
            <w:r/>
            <w:r>
              <w:rPr>
                <w:rFonts w:ascii="Old Standard TT" w:hAnsi="Old Standard TT"/>
                <w:sz w:val="19"/>
              </w:rPr>
              <w:t>0.0</w:t>
            </w:r>
          </w:p>
        </w:tc>
        <w:tc>
          <w:tcPr>
            <w:tcW w:type="dxa" w:w="936"/>
          </w:tcPr>
          <w:p>
            <w:r/>
            <w:r>
              <w:rPr>
                <w:rFonts w:ascii="Old Standard TT" w:hAnsi="Old Standard TT"/>
                <w:sz w:val="19"/>
              </w:rPr>
              <w:t>80.0</w:t>
            </w:r>
          </w:p>
        </w:tc>
        <w:tc>
          <w:tcPr>
            <w:tcW w:type="dxa" w:w="936"/>
          </w:tcPr>
          <w:p>
            <w:r/>
            <w:r>
              <w:rPr>
                <w:rFonts w:ascii="Old Standard TT" w:hAnsi="Old Standard TT"/>
                <w:sz w:val="19"/>
              </w:rPr>
              <w:t>-56.6 [-81,-35]</w:t>
            </w:r>
          </w:p>
        </w:tc>
      </w:tr>
      <w:tr>
        <w:tc>
          <w:tcPr>
            <w:tcW w:type="dxa" w:w="936"/>
          </w:tcPr>
          <w:p>
            <w:r/>
            <w:r>
              <w:rPr>
                <w:rFonts w:ascii="Old Standard TT" w:hAnsi="Old Standard TT"/>
                <w:sz w:val="19"/>
              </w:rPr>
              <w:t>A2</w:t>
            </w:r>
          </w:p>
        </w:tc>
        <w:tc>
          <w:tcPr>
            <w:tcW w:type="dxa" w:w="936"/>
          </w:tcPr>
          <w:p>
            <w:r/>
            <w:r>
              <w:rPr>
                <w:rFonts w:ascii="Old Standard TT" w:hAnsi="Old Standard TT"/>
                <w:sz w:val="19"/>
              </w:rPr>
              <w:t>aligned / monitored</w:t>
            </w:r>
          </w:p>
        </w:tc>
        <w:tc>
          <w:tcPr>
            <w:tcW w:type="dxa" w:w="936"/>
          </w:tcPr>
          <w:p>
            <w:r/>
            <w:r>
              <w:rPr>
                <w:rFonts w:ascii="Old Standard TT" w:hAnsi="Old Standard TT"/>
                <w:sz w:val="19"/>
              </w:rPr>
              <w:t>routine</w:t>
            </w:r>
          </w:p>
        </w:tc>
        <w:tc>
          <w:tcPr>
            <w:tcW w:type="dxa" w:w="936"/>
          </w:tcPr>
          <w:p>
            <w:r/>
            <w:r>
              <w:rPr>
                <w:rFonts w:ascii="Old Standard TT" w:hAnsi="Old Standard TT"/>
                <w:sz w:val="19"/>
              </w:rPr>
              <w:t>41.2 [23,61]</w:t>
            </w:r>
          </w:p>
        </w:tc>
        <w:tc>
          <w:tcPr>
            <w:tcW w:type="dxa" w:w="936"/>
          </w:tcPr>
          <w:p>
            <w:r/>
            <w:r>
              <w:rPr>
                <w:rFonts w:ascii="Old Standard TT" w:hAnsi="Old Standard TT"/>
                <w:sz w:val="19"/>
              </w:rPr>
              <w:t>40.0</w:t>
            </w:r>
          </w:p>
        </w:tc>
        <w:tc>
          <w:tcPr>
            <w:tcW w:type="dxa" w:w="936"/>
          </w:tcPr>
          <w:p>
            <w:r/>
            <w:r>
              <w:rPr>
                <w:rFonts w:ascii="Old Standard TT" w:hAnsi="Old Standard TT"/>
                <w:sz w:val="19"/>
              </w:rPr>
              <w:t>38.2</w:t>
            </w:r>
          </w:p>
        </w:tc>
        <w:tc>
          <w:tcPr>
            <w:tcW w:type="dxa" w:w="936"/>
          </w:tcPr>
          <w:p>
            <w:r/>
            <w:r>
              <w:rPr>
                <w:rFonts w:ascii="Old Standard TT" w:hAnsi="Old Standard TT"/>
                <w:sz w:val="19"/>
              </w:rPr>
              <w:t>38.2 [19,59]</w:t>
            </w:r>
          </w:p>
        </w:tc>
        <w:tc>
          <w:tcPr>
            <w:tcW w:type="dxa" w:w="936"/>
          </w:tcPr>
          <w:p>
            <w:r/>
            <w:r>
              <w:rPr>
                <w:rFonts w:ascii="Old Standard TT" w:hAnsi="Old Standard TT"/>
                <w:sz w:val="19"/>
              </w:rPr>
              <w:t>0.0</w:t>
            </w:r>
          </w:p>
        </w:tc>
        <w:tc>
          <w:tcPr>
            <w:tcW w:type="dxa" w:w="936"/>
          </w:tcPr>
          <w:p>
            <w:r/>
            <w:r>
              <w:rPr>
                <w:rFonts w:ascii="Old Standard TT" w:hAnsi="Old Standard TT"/>
                <w:sz w:val="19"/>
              </w:rPr>
              <w:t>70.0</w:t>
            </w:r>
          </w:p>
        </w:tc>
        <w:tc>
          <w:tcPr>
            <w:tcW w:type="dxa" w:w="936"/>
          </w:tcPr>
          <w:p>
            <w:r/>
            <w:r>
              <w:rPr>
                <w:rFonts w:ascii="Old Standard TT" w:hAnsi="Old Standard TT"/>
                <w:sz w:val="19"/>
              </w:rPr>
              <w:t>-42.7</w:t>
            </w:r>
          </w:p>
        </w:tc>
      </w:tr>
      <w:tr>
        <w:tc>
          <w:tcPr>
            <w:tcW w:type="dxa" w:w="936"/>
          </w:tcPr>
          <w:p>
            <w:r/>
            <w:r>
              <w:rPr>
                <w:rFonts w:ascii="Old Standard TT" w:hAnsi="Old Standard TT"/>
                <w:sz w:val="19"/>
              </w:rPr>
              <w:t>A3</w:t>
            </w:r>
          </w:p>
        </w:tc>
        <w:tc>
          <w:tcPr>
            <w:tcW w:type="dxa" w:w="936"/>
          </w:tcPr>
          <w:p>
            <w:r/>
            <w:r>
              <w:rPr>
                <w:rFonts w:ascii="Old Standard TT" w:hAnsi="Old Standard TT"/>
                <w:sz w:val="19"/>
              </w:rPr>
              <w:t>aligned / unmonitored</w:t>
            </w:r>
          </w:p>
        </w:tc>
        <w:tc>
          <w:tcPr>
            <w:tcW w:type="dxa" w:w="936"/>
          </w:tcPr>
          <w:p>
            <w:r/>
            <w:r>
              <w:rPr>
                <w:rFonts w:ascii="Old Standard TT" w:hAnsi="Old Standard TT"/>
                <w:sz w:val="19"/>
              </w:rPr>
              <w:t>crisis</w:t>
            </w:r>
          </w:p>
        </w:tc>
        <w:tc>
          <w:tcPr>
            <w:tcW w:type="dxa" w:w="936"/>
          </w:tcPr>
          <w:p>
            <w:r/>
            <w:r>
              <w:rPr>
                <w:rFonts w:ascii="Old Standard TT" w:hAnsi="Old Standard TT"/>
                <w:sz w:val="19"/>
              </w:rPr>
              <w:t>69.4 [50,87]</w:t>
            </w:r>
          </w:p>
        </w:tc>
        <w:tc>
          <w:tcPr>
            <w:tcW w:type="dxa" w:w="936"/>
          </w:tcPr>
          <w:p>
            <w:r/>
            <w:r>
              <w:rPr>
                <w:rFonts w:ascii="Old Standard TT" w:hAnsi="Old Standard TT"/>
                <w:sz w:val="19"/>
              </w:rPr>
              <w:t>60.0</w:t>
            </w:r>
          </w:p>
        </w:tc>
        <w:tc>
          <w:tcPr>
            <w:tcW w:type="dxa" w:w="936"/>
          </w:tcPr>
          <w:p>
            <w:r/>
            <w:r>
              <w:rPr>
                <w:rFonts w:ascii="Old Standard TT" w:hAnsi="Old Standard TT"/>
                <w:sz w:val="19"/>
              </w:rPr>
              <w:t>66.4</w:t>
            </w:r>
          </w:p>
        </w:tc>
        <w:tc>
          <w:tcPr>
            <w:tcW w:type="dxa" w:w="936"/>
          </w:tcPr>
          <w:p>
            <w:r/>
            <w:r>
              <w:rPr>
                <w:rFonts w:ascii="Old Standard TT" w:hAnsi="Old Standard TT"/>
                <w:sz w:val="19"/>
              </w:rPr>
              <w:t>66.4 [47,84]</w:t>
            </w:r>
          </w:p>
        </w:tc>
        <w:tc>
          <w:tcPr>
            <w:tcW w:type="dxa" w:w="936"/>
          </w:tcPr>
          <w:p>
            <w:r/>
            <w:r>
              <w:rPr>
                <w:rFonts w:ascii="Old Standard TT" w:hAnsi="Old Standard TT"/>
                <w:sz w:val="19"/>
              </w:rPr>
              <w:t>0.0</w:t>
            </w:r>
          </w:p>
        </w:tc>
        <w:tc>
          <w:tcPr>
            <w:tcW w:type="dxa" w:w="936"/>
          </w:tcPr>
          <w:p>
            <w:r/>
            <w:r>
              <w:rPr>
                <w:rFonts w:ascii="Old Standard TT" w:hAnsi="Old Standard TT"/>
                <w:sz w:val="19"/>
              </w:rPr>
              <w:t>101.3</w:t>
            </w:r>
          </w:p>
        </w:tc>
        <w:tc>
          <w:tcPr>
            <w:tcW w:type="dxa" w:w="936"/>
          </w:tcPr>
          <w:p>
            <w:r/>
            <w:r>
              <w:rPr>
                <w:rFonts w:ascii="Old Standard TT" w:hAnsi="Old Standard TT"/>
                <w:sz w:val="19"/>
              </w:rPr>
              <w:t>-72.3 [-103,-43]</w:t>
            </w:r>
          </w:p>
        </w:tc>
      </w:tr>
      <w:tr>
        <w:tc>
          <w:tcPr>
            <w:tcW w:type="dxa" w:w="936"/>
          </w:tcPr>
          <w:p>
            <w:r/>
            <w:r>
              <w:rPr>
                <w:rFonts w:ascii="Old Standard TT" w:hAnsi="Old Standard TT"/>
                <w:sz w:val="19"/>
              </w:rPr>
              <w:t>A3</w:t>
            </w:r>
          </w:p>
        </w:tc>
        <w:tc>
          <w:tcPr>
            <w:tcW w:type="dxa" w:w="936"/>
          </w:tcPr>
          <w:p>
            <w:r/>
            <w:r>
              <w:rPr>
                <w:rFonts w:ascii="Old Standard TT" w:hAnsi="Old Standard TT"/>
                <w:sz w:val="19"/>
              </w:rPr>
              <w:t>aligned / unmonitored</w:t>
            </w:r>
          </w:p>
        </w:tc>
        <w:tc>
          <w:tcPr>
            <w:tcW w:type="dxa" w:w="936"/>
          </w:tcPr>
          <w:p>
            <w:r/>
            <w:r>
              <w:rPr>
                <w:rFonts w:ascii="Old Standard TT" w:hAnsi="Old Standard TT"/>
                <w:sz w:val="19"/>
              </w:rPr>
              <w:t>routine</w:t>
            </w:r>
          </w:p>
        </w:tc>
        <w:tc>
          <w:tcPr>
            <w:tcW w:type="dxa" w:w="936"/>
          </w:tcPr>
          <w:p>
            <w:r/>
            <w:r>
              <w:rPr>
                <w:rFonts w:ascii="Old Standard TT" w:hAnsi="Old Standard TT"/>
                <w:sz w:val="19"/>
              </w:rPr>
              <w:t>38.5 [22,56]</w:t>
            </w:r>
          </w:p>
        </w:tc>
        <w:tc>
          <w:tcPr>
            <w:tcW w:type="dxa" w:w="936"/>
          </w:tcPr>
          <w:p>
            <w:r/>
            <w:r>
              <w:rPr>
                <w:rFonts w:ascii="Old Standard TT" w:hAnsi="Old Standard TT"/>
                <w:sz w:val="19"/>
              </w:rPr>
              <w:t>34.4</w:t>
            </w:r>
          </w:p>
        </w:tc>
        <w:tc>
          <w:tcPr>
            <w:tcW w:type="dxa" w:w="936"/>
          </w:tcPr>
          <w:p>
            <w:r/>
            <w:r>
              <w:rPr>
                <w:rFonts w:ascii="Old Standard TT" w:hAnsi="Old Standard TT"/>
                <w:sz w:val="19"/>
              </w:rPr>
              <w:t>35.6</w:t>
            </w:r>
          </w:p>
        </w:tc>
        <w:tc>
          <w:tcPr>
            <w:tcW w:type="dxa" w:w="936"/>
          </w:tcPr>
          <w:p>
            <w:r/>
            <w:r>
              <w:rPr>
                <w:rFonts w:ascii="Old Standard TT" w:hAnsi="Old Standard TT"/>
                <w:sz w:val="19"/>
              </w:rPr>
              <w:t>35.6 [21,52]</w:t>
            </w:r>
          </w:p>
        </w:tc>
        <w:tc>
          <w:tcPr>
            <w:tcW w:type="dxa" w:w="936"/>
          </w:tcPr>
          <w:p>
            <w:r/>
            <w:r>
              <w:rPr>
                <w:rFonts w:ascii="Old Standard TT" w:hAnsi="Old Standard TT"/>
                <w:sz w:val="19"/>
              </w:rPr>
              <w:t>0.0</w:t>
            </w:r>
          </w:p>
        </w:tc>
        <w:tc>
          <w:tcPr>
            <w:tcW w:type="dxa" w:w="936"/>
          </w:tcPr>
          <w:p>
            <w:r/>
            <w:r>
              <w:rPr>
                <w:rFonts w:ascii="Old Standard TT" w:hAnsi="Old Standard TT"/>
                <w:sz w:val="19"/>
              </w:rPr>
              <w:t>54.7</w:t>
            </w:r>
          </w:p>
        </w:tc>
        <w:tc>
          <w:tcPr>
            <w:tcW w:type="dxa" w:w="936"/>
          </w:tcPr>
          <w:p>
            <w:r/>
            <w:r>
              <w:rPr>
                <w:rFonts w:ascii="Old Standard TT" w:hAnsi="Old Standard TT"/>
                <w:sz w:val="19"/>
              </w:rPr>
              <w:t>-25.7</w:t>
            </w:r>
          </w:p>
        </w:tc>
      </w:tr>
      <w:tr>
        <w:tc>
          <w:tcPr>
            <w:tcW w:type="dxa" w:w="936"/>
          </w:tcPr>
          <w:p>
            <w:r/>
            <w:r>
              <w:rPr>
                <w:rFonts w:ascii="Old Standard TT" w:hAnsi="Old Standard TT"/>
                <w:sz w:val="19"/>
              </w:rPr>
              <w:t>B1</w:t>
            </w:r>
          </w:p>
        </w:tc>
        <w:tc>
          <w:tcPr>
            <w:tcW w:type="dxa" w:w="936"/>
          </w:tcPr>
          <w:p>
            <w:r/>
            <w:r>
              <w:rPr>
                <w:rFonts w:ascii="Old Standard TT" w:hAnsi="Old Standard TT"/>
                <w:sz w:val="19"/>
              </w:rPr>
              <w:t>conflicting / none</w:t>
            </w:r>
          </w:p>
        </w:tc>
        <w:tc>
          <w:tcPr>
            <w:tcW w:type="dxa" w:w="936"/>
          </w:tcPr>
          <w:p>
            <w:r/>
            <w:r>
              <w:rPr>
                <w:rFonts w:ascii="Old Standard TT" w:hAnsi="Old Standard TT"/>
                <w:sz w:val="19"/>
              </w:rPr>
              <w:t>crisis</w:t>
            </w:r>
          </w:p>
        </w:tc>
        <w:tc>
          <w:tcPr>
            <w:tcW w:type="dxa" w:w="936"/>
          </w:tcPr>
          <w:p>
            <w:r/>
            <w:r>
              <w:rPr>
                <w:rFonts w:ascii="Old Standard TT" w:hAnsi="Old Standard TT"/>
                <w:sz w:val="19"/>
              </w:rPr>
              <w:t>6.0 [0,13]</w:t>
            </w:r>
          </w:p>
        </w:tc>
        <w:tc>
          <w:tcPr>
            <w:tcW w:type="dxa" w:w="936"/>
          </w:tcPr>
          <w:p>
            <w:r/>
            <w:r>
              <w:rPr>
                <w:rFonts w:ascii="Old Standard TT" w:hAnsi="Old Standard TT"/>
                <w:sz w:val="19"/>
              </w:rPr>
              <w:t>3.3</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28.7</w:t>
            </w:r>
          </w:p>
        </w:tc>
        <w:tc>
          <w:tcPr>
            <w:tcW w:type="dxa" w:w="936"/>
          </w:tcPr>
          <w:p>
            <w:r/>
            <w:r>
              <w:rPr>
                <w:rFonts w:ascii="Old Standard TT" w:hAnsi="Old Standard TT"/>
                <w:sz w:val="19"/>
              </w:rPr>
              <w:t>-1.7</w:t>
            </w:r>
          </w:p>
        </w:tc>
      </w:tr>
      <w:tr>
        <w:tc>
          <w:tcPr>
            <w:tcW w:type="dxa" w:w="936"/>
          </w:tcPr>
          <w:p>
            <w:r/>
            <w:r>
              <w:rPr>
                <w:rFonts w:ascii="Old Standard TT" w:hAnsi="Old Standard TT"/>
                <w:sz w:val="19"/>
              </w:rPr>
              <w:t>B1</w:t>
            </w:r>
          </w:p>
        </w:tc>
        <w:tc>
          <w:tcPr>
            <w:tcW w:type="dxa" w:w="936"/>
          </w:tcPr>
          <w:p>
            <w:r/>
            <w:r>
              <w:rPr>
                <w:rFonts w:ascii="Old Standard TT" w:hAnsi="Old Standard TT"/>
                <w:sz w:val="19"/>
              </w:rPr>
              <w:t>conflicting / none</w:t>
            </w:r>
          </w:p>
        </w:tc>
        <w:tc>
          <w:tcPr>
            <w:tcW w:type="dxa" w:w="936"/>
          </w:tcPr>
          <w:p>
            <w:r/>
            <w:r>
              <w:rPr>
                <w:rFonts w:ascii="Old Standard TT" w:hAnsi="Old Standard TT"/>
                <w:sz w:val="19"/>
              </w:rPr>
              <w:t>routine</w:t>
            </w:r>
          </w:p>
        </w:tc>
        <w:tc>
          <w:tcPr>
            <w:tcW w:type="dxa" w:w="936"/>
          </w:tcPr>
          <w:p>
            <w:r/>
            <w:r>
              <w:rPr>
                <w:rFonts w:ascii="Old Standard TT" w:hAnsi="Old Standard TT"/>
                <w:sz w:val="19"/>
              </w:rPr>
              <w:t>1.9 [0,6]</w:t>
            </w:r>
          </w:p>
        </w:tc>
        <w:tc>
          <w:tcPr>
            <w:tcW w:type="dxa" w:w="936"/>
          </w:tcPr>
          <w:p>
            <w:r/>
            <w:r>
              <w:rPr>
                <w:rFonts w:ascii="Old Standard TT" w:hAnsi="Old Standard TT"/>
                <w:sz w:val="19"/>
              </w:rPr>
              <w:t>2.2</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0.0</w:t>
            </w:r>
          </w:p>
        </w:tc>
        <w:tc>
          <w:tcPr>
            <w:tcW w:type="dxa" w:w="936"/>
          </w:tcPr>
          <w:p>
            <w:r/>
            <w:r>
              <w:rPr>
                <w:rFonts w:ascii="Old Standard TT" w:hAnsi="Old Standard TT"/>
                <w:sz w:val="19"/>
              </w:rPr>
              <w:t>32.0</w:t>
            </w:r>
          </w:p>
        </w:tc>
        <w:tc>
          <w:tcPr>
            <w:tcW w:type="dxa" w:w="936"/>
          </w:tcPr>
          <w:p>
            <w:r/>
            <w:r>
              <w:rPr>
                <w:rFonts w:ascii="Old Standard TT" w:hAnsi="Old Standard TT"/>
                <w:sz w:val="19"/>
              </w:rPr>
              <w:t>-10.7</w:t>
            </w:r>
          </w:p>
        </w:tc>
      </w:tr>
      <w:tr>
        <w:tc>
          <w:tcPr>
            <w:tcW w:type="dxa" w:w="936"/>
          </w:tcPr>
          <w:p>
            <w:r/>
            <w:r>
              <w:rPr>
                <w:rFonts w:ascii="Old Standard TT" w:hAnsi="Old Standard TT"/>
                <w:sz w:val="19"/>
              </w:rPr>
              <w:t>B2</w:t>
            </w:r>
          </w:p>
        </w:tc>
        <w:tc>
          <w:tcPr>
            <w:tcW w:type="dxa" w:w="936"/>
          </w:tcPr>
          <w:p>
            <w:r/>
            <w:r>
              <w:rPr>
                <w:rFonts w:ascii="Old Standard TT" w:hAnsi="Old Standard TT"/>
                <w:sz w:val="19"/>
              </w:rPr>
              <w:t>conflicting / monitored</w:t>
            </w:r>
          </w:p>
        </w:tc>
        <w:tc>
          <w:tcPr>
            <w:tcW w:type="dxa" w:w="936"/>
          </w:tcPr>
          <w:p>
            <w:r/>
            <w:r>
              <w:rPr>
                <w:rFonts w:ascii="Old Standard TT" w:hAnsi="Old Standard TT"/>
                <w:sz w:val="19"/>
              </w:rPr>
              <w:t>crisis</w:t>
            </w:r>
          </w:p>
        </w:tc>
        <w:tc>
          <w:tcPr>
            <w:tcW w:type="dxa" w:w="936"/>
          </w:tcPr>
          <w:p>
            <w:r/>
            <w:r>
              <w:rPr>
                <w:rFonts w:ascii="Old Standard TT" w:hAnsi="Old Standard TT"/>
                <w:sz w:val="19"/>
              </w:rPr>
              <w:t>63.8 [44,83]</w:t>
            </w:r>
          </w:p>
        </w:tc>
        <w:tc>
          <w:tcPr>
            <w:tcW w:type="dxa" w:w="936"/>
          </w:tcPr>
          <w:p>
            <w:r/>
            <w:r>
              <w:rPr>
                <w:rFonts w:ascii="Old Standard TT" w:hAnsi="Old Standard TT"/>
                <w:sz w:val="19"/>
              </w:rPr>
              <w:t>50.0</w:t>
            </w:r>
          </w:p>
        </w:tc>
        <w:tc>
          <w:tcPr>
            <w:tcW w:type="dxa" w:w="936"/>
          </w:tcPr>
          <w:p>
            <w:r/>
            <w:r>
              <w:rPr>
                <w:rFonts w:ascii="Old Standard TT" w:hAnsi="Old Standard TT"/>
                <w:sz w:val="19"/>
              </w:rPr>
              <w:t>63.8</w:t>
            </w:r>
          </w:p>
        </w:tc>
        <w:tc>
          <w:tcPr>
            <w:tcW w:type="dxa" w:w="936"/>
          </w:tcPr>
          <w:p>
            <w:r/>
            <w:r>
              <w:rPr>
                <w:rFonts w:ascii="Old Standard TT" w:hAnsi="Old Standard TT"/>
                <w:sz w:val="19"/>
              </w:rPr>
              <w:t>0.0</w:t>
            </w:r>
          </w:p>
        </w:tc>
        <w:tc>
          <w:tcPr>
            <w:tcW w:type="dxa" w:w="936"/>
          </w:tcPr>
          <w:p>
            <w:r/>
            <w:r>
              <w:rPr>
                <w:rFonts w:ascii="Old Standard TT" w:hAnsi="Old Standard TT"/>
                <w:sz w:val="19"/>
              </w:rPr>
              <w:t>63.8 [44,83]</w:t>
            </w:r>
          </w:p>
        </w:tc>
        <w:tc>
          <w:tcPr>
            <w:tcW w:type="dxa" w:w="936"/>
          </w:tcPr>
          <w:p>
            <w:r/>
            <w:r>
              <w:rPr>
                <w:rFonts w:ascii="Old Standard TT" w:hAnsi="Old Standard TT"/>
                <w:sz w:val="19"/>
              </w:rPr>
              <w:t>89.3</w:t>
            </w:r>
          </w:p>
        </w:tc>
        <w:tc>
          <w:tcPr>
            <w:tcW w:type="dxa" w:w="936"/>
          </w:tcPr>
          <w:p>
            <w:r/>
            <w:r>
              <w:rPr>
                <w:rFonts w:ascii="Old Standard TT" w:hAnsi="Old Standard TT"/>
                <w:sz w:val="19"/>
              </w:rPr>
              <w:t>+49.1 [31,68]</w:t>
            </w:r>
          </w:p>
        </w:tc>
      </w:tr>
      <w:tr>
        <w:tc>
          <w:tcPr>
            <w:tcW w:type="dxa" w:w="936"/>
          </w:tcPr>
          <w:p>
            <w:r/>
            <w:r>
              <w:rPr>
                <w:rFonts w:ascii="Old Standard TT" w:hAnsi="Old Standard TT"/>
                <w:sz w:val="19"/>
              </w:rPr>
              <w:t>B2</w:t>
            </w:r>
          </w:p>
        </w:tc>
        <w:tc>
          <w:tcPr>
            <w:tcW w:type="dxa" w:w="936"/>
          </w:tcPr>
          <w:p>
            <w:r/>
            <w:r>
              <w:rPr>
                <w:rFonts w:ascii="Old Standard TT" w:hAnsi="Old Standard TT"/>
                <w:sz w:val="19"/>
              </w:rPr>
              <w:t>conflicting / monitored</w:t>
            </w:r>
          </w:p>
        </w:tc>
        <w:tc>
          <w:tcPr>
            <w:tcW w:type="dxa" w:w="936"/>
          </w:tcPr>
          <w:p>
            <w:r/>
            <w:r>
              <w:rPr>
                <w:rFonts w:ascii="Old Standard TT" w:hAnsi="Old Standard TT"/>
                <w:sz w:val="19"/>
              </w:rPr>
              <w:t>routine</w:t>
            </w:r>
          </w:p>
        </w:tc>
        <w:tc>
          <w:tcPr>
            <w:tcW w:type="dxa" w:w="936"/>
          </w:tcPr>
          <w:p>
            <w:r/>
            <w:r>
              <w:rPr>
                <w:rFonts w:ascii="Old Standard TT" w:hAnsi="Old Standard TT"/>
                <w:sz w:val="19"/>
              </w:rPr>
              <w:t>43.8 [26,62]</w:t>
            </w:r>
          </w:p>
        </w:tc>
        <w:tc>
          <w:tcPr>
            <w:tcW w:type="dxa" w:w="936"/>
          </w:tcPr>
          <w:p>
            <w:r/>
            <w:r>
              <w:rPr>
                <w:rFonts w:ascii="Old Standard TT" w:hAnsi="Old Standard TT"/>
                <w:sz w:val="19"/>
              </w:rPr>
              <w:t>40.0</w:t>
            </w:r>
          </w:p>
        </w:tc>
        <w:tc>
          <w:tcPr>
            <w:tcW w:type="dxa" w:w="936"/>
          </w:tcPr>
          <w:p>
            <w:r/>
            <w:r>
              <w:rPr>
                <w:rFonts w:ascii="Old Standard TT" w:hAnsi="Old Standard TT"/>
                <w:sz w:val="19"/>
              </w:rPr>
              <w:t>43.8</w:t>
            </w:r>
          </w:p>
        </w:tc>
        <w:tc>
          <w:tcPr>
            <w:tcW w:type="dxa" w:w="936"/>
          </w:tcPr>
          <w:p>
            <w:r/>
            <w:r>
              <w:rPr>
                <w:rFonts w:ascii="Old Standard TT" w:hAnsi="Old Standard TT"/>
                <w:sz w:val="19"/>
              </w:rPr>
              <w:t>0.0</w:t>
            </w:r>
          </w:p>
        </w:tc>
        <w:tc>
          <w:tcPr>
            <w:tcW w:type="dxa" w:w="936"/>
          </w:tcPr>
          <w:p>
            <w:r/>
            <w:r>
              <w:rPr>
                <w:rFonts w:ascii="Old Standard TT" w:hAnsi="Old Standard TT"/>
                <w:sz w:val="19"/>
              </w:rPr>
              <w:t>43.8 [26,62]</w:t>
            </w:r>
          </w:p>
        </w:tc>
        <w:tc>
          <w:tcPr>
            <w:tcW w:type="dxa" w:w="936"/>
          </w:tcPr>
          <w:p>
            <w:r/>
            <w:r>
              <w:rPr>
                <w:rFonts w:ascii="Old Standard TT" w:hAnsi="Old Standard TT"/>
                <w:sz w:val="19"/>
              </w:rPr>
              <w:t>69.3</w:t>
            </w:r>
          </w:p>
        </w:tc>
        <w:tc>
          <w:tcPr>
            <w:tcW w:type="dxa" w:w="936"/>
          </w:tcPr>
          <w:p>
            <w:r/>
            <w:r>
              <w:rPr>
                <w:rFonts w:ascii="Old Standard TT" w:hAnsi="Old Standard TT"/>
                <w:sz w:val="19"/>
              </w:rPr>
              <w:t>+44.7</w:t>
            </w:r>
          </w:p>
        </w:tc>
      </w:tr>
      <w:tr>
        <w:tc>
          <w:tcPr>
            <w:tcW w:type="dxa" w:w="936"/>
          </w:tcPr>
          <w:p>
            <w:r/>
            <w:r>
              <w:rPr>
                <w:rFonts w:ascii="Old Standard TT" w:hAnsi="Old Standard TT"/>
                <w:sz w:val="19"/>
              </w:rPr>
              <w:t>B3</w:t>
            </w:r>
          </w:p>
        </w:tc>
        <w:tc>
          <w:tcPr>
            <w:tcW w:type="dxa" w:w="936"/>
          </w:tcPr>
          <w:p>
            <w:r/>
            <w:r>
              <w:rPr>
                <w:rFonts w:ascii="Old Standard TT" w:hAnsi="Old Standard TT"/>
                <w:sz w:val="19"/>
              </w:rPr>
              <w:t>conflicting / unmonitored</w:t>
            </w:r>
          </w:p>
        </w:tc>
        <w:tc>
          <w:tcPr>
            <w:tcW w:type="dxa" w:w="936"/>
          </w:tcPr>
          <w:p>
            <w:r/>
            <w:r>
              <w:rPr>
                <w:rFonts w:ascii="Old Standard TT" w:hAnsi="Old Standard TT"/>
                <w:sz w:val="19"/>
              </w:rPr>
              <w:t>crisis</w:t>
            </w:r>
          </w:p>
        </w:tc>
        <w:tc>
          <w:tcPr>
            <w:tcW w:type="dxa" w:w="936"/>
          </w:tcPr>
          <w:p>
            <w:r/>
            <w:r>
              <w:rPr>
                <w:rFonts w:ascii="Old Standard TT" w:hAnsi="Old Standard TT"/>
                <w:sz w:val="19"/>
              </w:rPr>
              <w:t>73.8 [57,90]</w:t>
            </w:r>
          </w:p>
        </w:tc>
        <w:tc>
          <w:tcPr>
            <w:tcW w:type="dxa" w:w="936"/>
          </w:tcPr>
          <w:p>
            <w:r/>
            <w:r>
              <w:rPr>
                <w:rFonts w:ascii="Old Standard TT" w:hAnsi="Old Standard TT"/>
                <w:sz w:val="19"/>
              </w:rPr>
              <w:t>63.3</w:t>
            </w:r>
          </w:p>
        </w:tc>
        <w:tc>
          <w:tcPr>
            <w:tcW w:type="dxa" w:w="936"/>
          </w:tcPr>
          <w:p>
            <w:r/>
            <w:r>
              <w:rPr>
                <w:rFonts w:ascii="Old Standard TT" w:hAnsi="Old Standard TT"/>
                <w:sz w:val="19"/>
              </w:rPr>
              <w:t>73.8</w:t>
            </w:r>
          </w:p>
        </w:tc>
        <w:tc>
          <w:tcPr>
            <w:tcW w:type="dxa" w:w="936"/>
          </w:tcPr>
          <w:p>
            <w:r/>
            <w:r>
              <w:rPr>
                <w:rFonts w:ascii="Old Standard TT" w:hAnsi="Old Standard TT"/>
                <w:sz w:val="19"/>
              </w:rPr>
              <w:t>0.0</w:t>
            </w:r>
          </w:p>
        </w:tc>
        <w:tc>
          <w:tcPr>
            <w:tcW w:type="dxa" w:w="936"/>
          </w:tcPr>
          <w:p>
            <w:r/>
            <w:r>
              <w:rPr>
                <w:rFonts w:ascii="Old Standard TT" w:hAnsi="Old Standard TT"/>
                <w:sz w:val="19"/>
              </w:rPr>
              <w:t>73.8 [57,90]</w:t>
            </w:r>
          </w:p>
        </w:tc>
        <w:tc>
          <w:tcPr>
            <w:tcW w:type="dxa" w:w="936"/>
          </w:tcPr>
          <w:p>
            <w:r/>
            <w:r>
              <w:rPr>
                <w:rFonts w:ascii="Old Standard TT" w:hAnsi="Old Standard TT"/>
                <w:sz w:val="19"/>
              </w:rPr>
              <w:t>103.3</w:t>
            </w:r>
          </w:p>
        </w:tc>
        <w:tc>
          <w:tcPr>
            <w:tcW w:type="dxa" w:w="936"/>
          </w:tcPr>
          <w:p>
            <w:r/>
            <w:r>
              <w:rPr>
                <w:rFonts w:ascii="Old Standard TT" w:hAnsi="Old Standard TT"/>
                <w:sz w:val="19"/>
              </w:rPr>
              <w:t>+61.7 [43,78]</w:t>
            </w:r>
          </w:p>
        </w:tc>
      </w:tr>
      <w:tr>
        <w:tc>
          <w:tcPr>
            <w:tcW w:type="dxa" w:w="936"/>
          </w:tcPr>
          <w:p>
            <w:r/>
            <w:r>
              <w:rPr>
                <w:rFonts w:ascii="Old Standard TT" w:hAnsi="Old Standard TT"/>
                <w:sz w:val="19"/>
              </w:rPr>
              <w:t>B3</w:t>
            </w:r>
          </w:p>
        </w:tc>
        <w:tc>
          <w:tcPr>
            <w:tcW w:type="dxa" w:w="936"/>
          </w:tcPr>
          <w:p>
            <w:r/>
            <w:r>
              <w:rPr>
                <w:rFonts w:ascii="Old Standard TT" w:hAnsi="Old Standard TT"/>
                <w:sz w:val="19"/>
              </w:rPr>
              <w:t>conflicting / unmonitored</w:t>
            </w:r>
          </w:p>
        </w:tc>
        <w:tc>
          <w:tcPr>
            <w:tcW w:type="dxa" w:w="936"/>
          </w:tcPr>
          <w:p>
            <w:r/>
            <w:r>
              <w:rPr>
                <w:rFonts w:ascii="Old Standard TT" w:hAnsi="Old Standard TT"/>
                <w:sz w:val="19"/>
              </w:rPr>
              <w:t>routine</w:t>
            </w:r>
          </w:p>
        </w:tc>
        <w:tc>
          <w:tcPr>
            <w:tcW w:type="dxa" w:w="936"/>
          </w:tcPr>
          <w:p>
            <w:r/>
            <w:r>
              <w:rPr>
                <w:rFonts w:ascii="Old Standard TT" w:hAnsi="Old Standard TT"/>
                <w:sz w:val="19"/>
              </w:rPr>
              <w:t>50.6 [31,70]</w:t>
            </w:r>
          </w:p>
        </w:tc>
        <w:tc>
          <w:tcPr>
            <w:tcW w:type="dxa" w:w="936"/>
          </w:tcPr>
          <w:p>
            <w:r/>
            <w:r>
              <w:rPr>
                <w:rFonts w:ascii="Old Standard TT" w:hAnsi="Old Standard TT"/>
                <w:sz w:val="19"/>
              </w:rPr>
              <w:t>45.6</w:t>
            </w:r>
          </w:p>
        </w:tc>
        <w:tc>
          <w:tcPr>
            <w:tcW w:type="dxa" w:w="936"/>
          </w:tcPr>
          <w:p>
            <w:r/>
            <w:r>
              <w:rPr>
                <w:rFonts w:ascii="Old Standard TT" w:hAnsi="Old Standard TT"/>
                <w:sz w:val="19"/>
              </w:rPr>
              <w:t>50.6</w:t>
            </w:r>
          </w:p>
        </w:tc>
        <w:tc>
          <w:tcPr>
            <w:tcW w:type="dxa" w:w="936"/>
          </w:tcPr>
          <w:p>
            <w:r/>
            <w:r>
              <w:rPr>
                <w:rFonts w:ascii="Old Standard TT" w:hAnsi="Old Standard TT"/>
                <w:sz w:val="19"/>
              </w:rPr>
              <w:t>0.0</w:t>
            </w:r>
          </w:p>
        </w:tc>
        <w:tc>
          <w:tcPr>
            <w:tcW w:type="dxa" w:w="936"/>
          </w:tcPr>
          <w:p>
            <w:r/>
            <w:r>
              <w:rPr>
                <w:rFonts w:ascii="Old Standard TT" w:hAnsi="Old Standard TT"/>
                <w:sz w:val="19"/>
              </w:rPr>
              <w:t>50.6 [31,70]</w:t>
            </w:r>
          </w:p>
        </w:tc>
        <w:tc>
          <w:tcPr>
            <w:tcW w:type="dxa" w:w="936"/>
          </w:tcPr>
          <w:p>
            <w:r/>
            <w:r>
              <w:rPr>
                <w:rFonts w:ascii="Old Standard TT" w:hAnsi="Old Standard TT"/>
                <w:sz w:val="19"/>
              </w:rPr>
              <w:t>78.0</w:t>
            </w:r>
          </w:p>
        </w:tc>
        <w:tc>
          <w:tcPr>
            <w:tcW w:type="dxa" w:w="936"/>
          </w:tcPr>
          <w:p>
            <w:r/>
            <w:r>
              <w:rPr>
                <w:rFonts w:ascii="Old Standard TT" w:hAnsi="Old Standard TT"/>
                <w:sz w:val="19"/>
              </w:rPr>
              <w:t>+47.4</w:t>
            </w:r>
          </w:p>
        </w:tc>
      </w:tr>
    </w:tbl>
    <w:p>
      <w:pPr/>
    </w:p>
    <w:p>
      <w:pPr>
        <w:jc w:val="center"/>
      </w:pPr>
      <w:r>
        <w:drawing>
          <wp:inline>
            <wp:extent cx="5760720" cy="1860863"/>
            <wp:docPr id="1" name="Picture 1"/>
            <wp:cNvGraphicFramePr>
              <a:graphicFrameLocks noChangeAspect="1"/>
            </wp:cNvGraphicFramePr>
            <a:graphic>
              <a:graphicData uri="http://schemas.openxmlformats.org/drawingml/2006/picture">
                <pic:pic>
                  <pic:nvPicPr>
                    <pic:cNvPr id="0" name="fig1_track21_ujo_vs_collusion.png"/>
                    <pic:cNvPicPr/>
                  </pic:nvPicPr>
                  <pic:blipFill>
                    <a:blip r:embed="rId8"/>
                    <a:stretch>
                      <a:fillRect/>
                    </a:stretch>
                  </pic:blipFill>
                  <pic:spPr>
                    <a:xfrm>
                      <a:off x="0" y="0"/>
                      <a:ext cx="5760720" cy="1860863"/>
                    </a:xfrm>
                    <a:prstGeom prst="rect"/>
                  </pic:spPr>
                </pic:pic>
              </a:graphicData>
            </a:graphic>
          </wp:inline>
        </w:drawing>
      </w:r>
    </w:p>
    <w:p>
      <w:pPr/>
      <w:r>
        <w:rPr>
          <w:rFonts w:ascii="Old Standard TT" w:hAnsi="Old Standard TT"/>
          <w:sz w:val="19"/>
        </w:rPr>
        <w:t>Figure 1: Chat produces harmful joint overrides under both incentive types, but only conflicting agents profit. (A) Crisis framing, 18 seeds per bar, 95% CIs. (B) Welfare loss and coalition advantage per episode.</w:t>
      </w:r>
    </w:p>
    <w:p>
      <w:pPr/>
      <w:r>
        <w:rPr>
          <w:rFonts w:ascii="Old Standard TT" w:hAnsi="Old Standard TT"/>
          <w:b/>
          <w:sz w:val="22"/>
        </w:rPr>
        <w:t xml:space="preserve">Collusion vs. miscoordination (Track 2.1). </w:t>
      </w:r>
      <w:r>
        <w:rPr>
          <w:rFonts w:ascii="Old Standard TT" w:hAnsi="Old Standard TT"/>
          <w:sz w:val="22"/>
        </w:rPr>
        <w:t>Without chat, agents almost never override without justification (A1 &lt;= 1.4%, B1 &lt;= 6.0% UJO; Table 1). Chat changes this for both incentive types (Figure 1). Conflicting agents (B2/B3) override in 44–74% of eligible rounds and gain from it (CA = +45 to +62). Aligned agents (A2/A3) override almost as often (36–66% miscoordination) but lose reward (CA = -26 to -72). Under our labels, confirmed collusion is 0.0% in every aligned cell.</w:t>
      </w:r>
    </w:p>
    <w:p>
      <w:pPr/>
      <w:r>
        <w:rPr>
          <w:rFonts w:ascii="Old Standard TT" w:hAnsi="Old Standard TT"/>
          <w:b/>
          <w:sz w:val="20"/>
        </w:rPr>
        <w:t>Table 2: Pre-registered hypotheses (Holm–Bonferroni over six tests, alpha = 0.05; n = 18 seed pairs for H1–H3, test split n = 96 episodes for H4–H5).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rFonts w:ascii="Old Standard TT" w:hAnsi="Old Standard TT"/>
                <w:b/>
                <w:sz w:val="19"/>
              </w:rPr>
              <w:t>ID</w:t>
            </w:r>
          </w:p>
        </w:tc>
        <w:tc>
          <w:tcPr>
            <w:tcW w:type="dxa" w:w="1560"/>
          </w:tcPr>
          <w:p>
            <w:r/>
            <w:r>
              <w:rPr>
                <w:rFonts w:ascii="Old Standard TT" w:hAnsi="Old Standard TT"/>
                <w:b/>
                <w:sz w:val="19"/>
              </w:rPr>
              <w:t>Test</w:t>
            </w:r>
          </w:p>
        </w:tc>
        <w:tc>
          <w:tcPr>
            <w:tcW w:type="dxa" w:w="1560"/>
          </w:tcPr>
          <w:p>
            <w:r/>
            <w:r>
              <w:rPr>
                <w:rFonts w:ascii="Old Standard TT" w:hAnsi="Old Standard TT"/>
                <w:b/>
                <w:sz w:val="19"/>
              </w:rPr>
              <w:t>Effect [95% CI]</w:t>
            </w:r>
          </w:p>
        </w:tc>
        <w:tc>
          <w:tcPr>
            <w:tcW w:type="dxa" w:w="1560"/>
          </w:tcPr>
          <w:p>
            <w:r/>
            <w:r>
              <w:rPr>
                <w:rFonts w:ascii="Old Standard TT" w:hAnsi="Old Standard TT"/>
                <w:b/>
                <w:sz w:val="19"/>
              </w:rPr>
              <w:t>p_raw</w:t>
            </w:r>
          </w:p>
        </w:tc>
        <w:tc>
          <w:tcPr>
            <w:tcW w:type="dxa" w:w="1560"/>
          </w:tcPr>
          <w:p>
            <w:r/>
            <w:r>
              <w:rPr>
                <w:rFonts w:ascii="Old Standard TT" w:hAnsi="Old Standard TT"/>
                <w:b/>
                <w:sz w:val="19"/>
              </w:rPr>
              <w:t>p_Holm</w:t>
            </w:r>
          </w:p>
        </w:tc>
        <w:tc>
          <w:tcPr>
            <w:tcW w:type="dxa" w:w="1560"/>
          </w:tcPr>
          <w:p>
            <w:r/>
            <w:r>
              <w:rPr>
                <w:rFonts w:ascii="Old Standard TT" w:hAnsi="Old Standard TT"/>
                <w:b/>
                <w:sz w:val="19"/>
              </w:rPr>
              <w:t>Reject H0</w:t>
            </w:r>
          </w:p>
        </w:tc>
      </w:tr>
      <w:tr>
        <w:tc>
          <w:tcPr>
            <w:tcW w:type="dxa" w:w="1560"/>
          </w:tcPr>
          <w:p>
            <w:r/>
            <w:r>
              <w:rPr>
                <w:rFonts w:ascii="Old Standard TT" w:hAnsi="Old Standard TT"/>
                <w:sz w:val="19"/>
              </w:rPr>
              <w:t>H2a</w:t>
            </w:r>
          </w:p>
        </w:tc>
        <w:tc>
          <w:tcPr>
            <w:tcW w:type="dxa" w:w="1560"/>
          </w:tcPr>
          <w:p>
            <w:r/>
            <w:r>
              <w:rPr>
                <w:rFonts w:ascii="Old Standard TT" w:hAnsi="Old Standard TT"/>
                <w:sz w:val="19"/>
              </w:rPr>
              <w:t>UJO, B3 - B1 (pooled framings)</w:t>
            </w:r>
          </w:p>
        </w:tc>
        <w:tc>
          <w:tcPr>
            <w:tcW w:type="dxa" w:w="1560"/>
          </w:tcPr>
          <w:p>
            <w:r/>
            <w:r>
              <w:rPr>
                <w:rFonts w:ascii="Old Standard TT" w:hAnsi="Old Standard TT"/>
                <w:sz w:val="19"/>
              </w:rPr>
              <w:t>+58.2 pp [45.5, 70.7]</w:t>
            </w:r>
          </w:p>
        </w:tc>
        <w:tc>
          <w:tcPr>
            <w:tcW w:type="dxa" w:w="1560"/>
          </w:tcPr>
          <w:p>
            <w:r/>
            <w:r>
              <w:rPr>
                <w:rFonts w:ascii="Old Standard TT" w:hAnsi="Old Standard TT"/>
                <w:sz w:val="19"/>
              </w:rPr>
              <w:t>0.0001</w:t>
            </w:r>
          </w:p>
        </w:tc>
        <w:tc>
          <w:tcPr>
            <w:tcW w:type="dxa" w:w="1560"/>
          </w:tcPr>
          <w:p>
            <w:r/>
            <w:r>
              <w:rPr>
                <w:rFonts w:ascii="Old Standard TT" w:hAnsi="Old Standard TT"/>
                <w:sz w:val="19"/>
              </w:rPr>
              <w:t>0.0006</w:t>
            </w:r>
          </w:p>
        </w:tc>
        <w:tc>
          <w:tcPr>
            <w:tcW w:type="dxa" w:w="1560"/>
          </w:tcPr>
          <w:p>
            <w:r/>
            <w:r>
              <w:rPr>
                <w:rFonts w:ascii="Old Standard TT" w:hAnsi="Old Standard TT"/>
                <w:sz w:val="19"/>
              </w:rPr>
              <w:t>yes</w:t>
            </w:r>
          </w:p>
        </w:tc>
      </w:tr>
      <w:tr>
        <w:tc>
          <w:tcPr>
            <w:tcW w:type="dxa" w:w="1560"/>
          </w:tcPr>
          <w:p>
            <w:r/>
            <w:r>
              <w:rPr>
                <w:rFonts w:ascii="Old Standard TT" w:hAnsi="Old Standard TT"/>
                <w:sz w:val="19"/>
              </w:rPr>
              <w:t>H5</w:t>
            </w:r>
          </w:p>
        </w:tc>
        <w:tc>
          <w:tcPr>
            <w:tcW w:type="dxa" w:w="1560"/>
          </w:tcPr>
          <w:p>
            <w:r/>
            <w:r>
              <w:rPr>
                <w:rFonts w:ascii="Old Standard TT" w:hAnsi="Old Standard TT"/>
                <w:sz w:val="19"/>
              </w:rPr>
              <w:t>Ladder precision, L3 - L0 (HCO target)</w:t>
            </w:r>
          </w:p>
        </w:tc>
        <w:tc>
          <w:tcPr>
            <w:tcW w:type="dxa" w:w="1560"/>
          </w:tcPr>
          <w:p>
            <w:r/>
            <w:r>
              <w:rPr>
                <w:rFonts w:ascii="Old Standard TT" w:hAnsi="Old Standard TT"/>
                <w:sz w:val="19"/>
              </w:rPr>
              <w:t>+22.8 pp (70.4% -&gt; 93.2%)</w:t>
            </w:r>
          </w:p>
        </w:tc>
        <w:tc>
          <w:tcPr>
            <w:tcW w:type="dxa" w:w="1560"/>
          </w:tcPr>
          <w:p>
            <w:r/>
            <w:r>
              <w:rPr>
                <w:rFonts w:ascii="Old Standard TT" w:hAnsi="Old Standard TT"/>
                <w:sz w:val="19"/>
              </w:rPr>
              <w:t>0.0010</w:t>
            </w:r>
          </w:p>
        </w:tc>
        <w:tc>
          <w:tcPr>
            <w:tcW w:type="dxa" w:w="1560"/>
          </w:tcPr>
          <w:p>
            <w:r/>
            <w:r>
              <w:rPr>
                <w:rFonts w:ascii="Old Standard TT" w:hAnsi="Old Standard TT"/>
                <w:sz w:val="19"/>
              </w:rPr>
              <w:t>0.0050</w:t>
            </w:r>
          </w:p>
        </w:tc>
        <w:tc>
          <w:tcPr>
            <w:tcW w:type="dxa" w:w="1560"/>
          </w:tcPr>
          <w:p>
            <w:r/>
            <w:r>
              <w:rPr>
                <w:rFonts w:ascii="Old Standard TT" w:hAnsi="Old Standard TT"/>
                <w:sz w:val="19"/>
              </w:rPr>
              <w:t>yes</w:t>
            </w:r>
          </w:p>
        </w:tc>
      </w:tr>
      <w:tr>
        <w:tc>
          <w:tcPr>
            <w:tcW w:type="dxa" w:w="1560"/>
          </w:tcPr>
          <w:p>
            <w:r/>
            <w:r>
              <w:rPr>
                <w:rFonts w:ascii="Old Standard TT" w:hAnsi="Old Standard TT"/>
                <w:sz w:val="19"/>
              </w:rPr>
              <w:t>H4</w:t>
            </w:r>
          </w:p>
        </w:tc>
        <w:tc>
          <w:tcPr>
            <w:tcW w:type="dxa" w:w="1560"/>
          </w:tcPr>
          <w:p>
            <w:r/>
            <w:r>
              <w:rPr>
                <w:rFonts w:ascii="Old Standard TT" w:hAnsi="Old Standard TT"/>
                <w:sz w:val="19"/>
              </w:rPr>
              <w:t>AUROC V3 - max(V1, V2) (HCO target)*</w:t>
            </w:r>
          </w:p>
        </w:tc>
        <w:tc>
          <w:tcPr>
            <w:tcW w:type="dxa" w:w="1560"/>
          </w:tcPr>
          <w:p>
            <w:r/>
            <w:r>
              <w:rPr>
                <w:rFonts w:ascii="Old Standard TT" w:hAnsi="Old Standard TT"/>
                <w:sz w:val="19"/>
              </w:rPr>
              <w:t>+0.046 [0.006, 0.085]</w:t>
            </w:r>
          </w:p>
        </w:tc>
        <w:tc>
          <w:tcPr>
            <w:tcW w:type="dxa" w:w="1560"/>
          </w:tcPr>
          <w:p>
            <w:r/>
            <w:r>
              <w:rPr>
                <w:rFonts w:ascii="Old Standard TT" w:hAnsi="Old Standard TT"/>
                <w:sz w:val="19"/>
              </w:rPr>
              <w:t>0.0090</w:t>
            </w:r>
          </w:p>
        </w:tc>
        <w:tc>
          <w:tcPr>
            <w:tcW w:type="dxa" w:w="1560"/>
          </w:tcPr>
          <w:p>
            <w:r/>
            <w:r>
              <w:rPr>
                <w:rFonts w:ascii="Old Standard TT" w:hAnsi="Old Standard TT"/>
                <w:sz w:val="19"/>
              </w:rPr>
              <w:t>0.0360</w:t>
            </w:r>
          </w:p>
        </w:tc>
        <w:tc>
          <w:tcPr>
            <w:tcW w:type="dxa" w:w="1560"/>
          </w:tcPr>
          <w:p>
            <w:r/>
            <w:r>
              <w:rPr>
                <w:rFonts w:ascii="Old Standard TT" w:hAnsi="Old Standard TT"/>
                <w:sz w:val="19"/>
              </w:rPr>
              <w:t>yes*</w:t>
            </w:r>
          </w:p>
        </w:tc>
      </w:tr>
      <w:tr>
        <w:tc>
          <w:tcPr>
            <w:tcW w:type="dxa" w:w="1560"/>
          </w:tcPr>
          <w:p>
            <w:r/>
            <w:r>
              <w:rPr>
                <w:rFonts w:ascii="Old Standard TT" w:hAnsi="Old Standard TT"/>
                <w:sz w:val="19"/>
              </w:rPr>
              <w:t>H3</w:t>
            </w:r>
          </w:p>
        </w:tc>
        <w:tc>
          <w:tcPr>
            <w:tcW w:type="dxa" w:w="1560"/>
          </w:tcPr>
          <w:p>
            <w:r/>
            <w:r>
              <w:rPr>
                <w:rFonts w:ascii="Old Standard TT" w:hAnsi="Old Standard TT"/>
                <w:sz w:val="19"/>
              </w:rPr>
              <w:t>UJO, crisis - routine (B cells)</w:t>
            </w:r>
          </w:p>
        </w:tc>
        <w:tc>
          <w:tcPr>
            <w:tcW w:type="dxa" w:w="1560"/>
          </w:tcPr>
          <w:p>
            <w:r/>
            <w:r>
              <w:rPr>
                <w:rFonts w:ascii="Old Standard TT" w:hAnsi="Old Standard TT"/>
                <w:sz w:val="19"/>
              </w:rPr>
              <w:t>+15.8 pp [4.0, 26.7]</w:t>
            </w:r>
          </w:p>
        </w:tc>
        <w:tc>
          <w:tcPr>
            <w:tcW w:type="dxa" w:w="1560"/>
          </w:tcPr>
          <w:p>
            <w:r/>
            <w:r>
              <w:rPr>
                <w:rFonts w:ascii="Old Standard TT" w:hAnsi="Old Standard TT"/>
                <w:sz w:val="19"/>
              </w:rPr>
              <w:t>0.0200</w:t>
            </w:r>
          </w:p>
        </w:tc>
        <w:tc>
          <w:tcPr>
            <w:tcW w:type="dxa" w:w="1560"/>
          </w:tcPr>
          <w:p>
            <w:r/>
            <w:r>
              <w:rPr>
                <w:rFonts w:ascii="Old Standard TT" w:hAnsi="Old Standard TT"/>
                <w:sz w:val="19"/>
              </w:rPr>
              <w:t>0.0600</w:t>
            </w:r>
          </w:p>
        </w:tc>
        <w:tc>
          <w:tcPr>
            <w:tcW w:type="dxa" w:w="1560"/>
          </w:tcPr>
          <w:p>
            <w:r/>
            <w:r>
              <w:rPr>
                <w:rFonts w:ascii="Old Standard TT" w:hAnsi="Old Standard TT"/>
                <w:sz w:val="19"/>
              </w:rPr>
              <w:t>no</w:t>
            </w:r>
          </w:p>
        </w:tc>
      </w:tr>
      <w:tr>
        <w:tc>
          <w:tcPr>
            <w:tcW w:type="dxa" w:w="1560"/>
          </w:tcPr>
          <w:p>
            <w:r/>
            <w:r>
              <w:rPr>
                <w:rFonts w:ascii="Old Standard TT" w:hAnsi="Old Standard TT"/>
                <w:sz w:val="19"/>
              </w:rPr>
              <w:t>H1</w:t>
            </w:r>
          </w:p>
        </w:tc>
        <w:tc>
          <w:tcPr>
            <w:tcW w:type="dxa" w:w="1560"/>
          </w:tcPr>
          <w:p>
            <w:r/>
            <w:r>
              <w:rPr>
                <w:rFonts w:ascii="Old Standard TT" w:hAnsi="Old Standard TT"/>
                <w:sz w:val="19"/>
              </w:rPr>
              <w:t>UJO, B - A (all cells)</w:t>
            </w:r>
          </w:p>
        </w:tc>
        <w:tc>
          <w:tcPr>
            <w:tcW w:type="dxa" w:w="1560"/>
          </w:tcPr>
          <w:p>
            <w:r/>
            <w:r>
              <w:rPr>
                <w:rFonts w:ascii="Old Standard TT" w:hAnsi="Old Standard TT"/>
                <w:sz w:val="19"/>
              </w:rPr>
              <w:t>+5.2 pp [-1.5, 11.9]</w:t>
            </w:r>
          </w:p>
        </w:tc>
        <w:tc>
          <w:tcPr>
            <w:tcW w:type="dxa" w:w="1560"/>
          </w:tcPr>
          <w:p>
            <w:r/>
            <w:r>
              <w:rPr>
                <w:rFonts w:ascii="Old Standard TT" w:hAnsi="Old Standard TT"/>
                <w:sz w:val="19"/>
              </w:rPr>
              <w:t>0.0836</w:t>
            </w:r>
          </w:p>
        </w:tc>
        <w:tc>
          <w:tcPr>
            <w:tcW w:type="dxa" w:w="1560"/>
          </w:tcPr>
          <w:p>
            <w:r/>
            <w:r>
              <w:rPr>
                <w:rFonts w:ascii="Old Standard TT" w:hAnsi="Old Standard TT"/>
                <w:sz w:val="19"/>
              </w:rPr>
              <w:t>0.1672</w:t>
            </w:r>
          </w:p>
        </w:tc>
        <w:tc>
          <w:tcPr>
            <w:tcW w:type="dxa" w:w="1560"/>
          </w:tcPr>
          <w:p>
            <w:r/>
            <w:r>
              <w:rPr>
                <w:rFonts w:ascii="Old Standard TT" w:hAnsi="Old Standard TT"/>
                <w:sz w:val="19"/>
              </w:rPr>
              <w:t>no</w:t>
            </w:r>
          </w:p>
        </w:tc>
      </w:tr>
      <w:tr>
        <w:tc>
          <w:tcPr>
            <w:tcW w:type="dxa" w:w="1560"/>
          </w:tcPr>
          <w:p>
            <w:r/>
            <w:r>
              <w:rPr>
                <w:rFonts w:ascii="Old Standard TT" w:hAnsi="Old Standard TT"/>
                <w:sz w:val="19"/>
              </w:rPr>
              <w:t>H2b</w:t>
            </w:r>
          </w:p>
        </w:tc>
        <w:tc>
          <w:tcPr>
            <w:tcW w:type="dxa" w:w="1560"/>
          </w:tcPr>
          <w:p>
            <w:r/>
            <w:r>
              <w:rPr>
                <w:rFonts w:ascii="Old Standard TT" w:hAnsi="Old Standard TT"/>
                <w:sz w:val="19"/>
              </w:rPr>
              <w:t>Lexical index, B2 - B3</w:t>
            </w:r>
          </w:p>
        </w:tc>
        <w:tc>
          <w:tcPr>
            <w:tcW w:type="dxa" w:w="1560"/>
          </w:tcPr>
          <w:p>
            <w:r/>
            <w:r>
              <w:rPr>
                <w:rFonts w:ascii="Old Standard TT" w:hAnsi="Old Standard TT"/>
                <w:sz w:val="19"/>
              </w:rPr>
              <w:t>-0.050 [-0.22, 0.13]</w:t>
            </w:r>
          </w:p>
        </w:tc>
        <w:tc>
          <w:tcPr>
            <w:tcW w:type="dxa" w:w="1560"/>
          </w:tcPr>
          <w:p>
            <w:r/>
            <w:r>
              <w:rPr>
                <w:rFonts w:ascii="Old Standard TT" w:hAnsi="Old Standard TT"/>
                <w:sz w:val="19"/>
              </w:rPr>
              <w:t>0.6129</w:t>
            </w:r>
          </w:p>
        </w:tc>
        <w:tc>
          <w:tcPr>
            <w:tcW w:type="dxa" w:w="1560"/>
          </w:tcPr>
          <w:p>
            <w:r/>
            <w:r>
              <w:rPr>
                <w:rFonts w:ascii="Old Standard TT" w:hAnsi="Old Standard TT"/>
                <w:sz w:val="19"/>
              </w:rPr>
              <w:t>0.6129</w:t>
            </w:r>
          </w:p>
        </w:tc>
        <w:tc>
          <w:tcPr>
            <w:tcW w:type="dxa" w:w="1560"/>
          </w:tcPr>
          <w:p>
            <w:r/>
            <w:r>
              <w:rPr>
                <w:rFonts w:ascii="Old Standard TT" w:hAnsi="Old Standard TT"/>
                <w:sz w:val="19"/>
              </w:rPr>
              <w:t>no</w:t>
            </w:r>
          </w:p>
        </w:tc>
      </w:tr>
      <w:tr>
        <w:tc>
          <w:tcPr>
            <w:tcW w:type="dxa" w:w="1560"/>
          </w:tcPr>
          <w:p>
            <w:r/>
            <w:r>
              <w:rPr>
                <w:rFonts w:ascii="Old Standard TT" w:hAnsi="Old Standard TT"/>
                <w:sz w:val="19"/>
              </w:rPr>
              <w:t>Expl.</w:t>
            </w:r>
          </w:p>
        </w:tc>
        <w:tc>
          <w:tcPr>
            <w:tcW w:type="dxa" w:w="1560"/>
          </w:tcPr>
          <w:p>
            <w:r/>
            <w:r>
              <w:rPr>
                <w:rFonts w:ascii="Old Standard TT" w:hAnsi="Old Standard TT"/>
                <w:sz w:val="19"/>
              </w:rPr>
              <w:t>CC rate B - A / CA B - A</w:t>
            </w:r>
          </w:p>
        </w:tc>
        <w:tc>
          <w:tcPr>
            <w:tcW w:type="dxa" w:w="1560"/>
          </w:tcPr>
          <w:p>
            <w:r/>
            <w:r>
              <w:rPr>
                <w:rFonts w:ascii="Old Standard TT" w:hAnsi="Old Standard TT"/>
                <w:sz w:val="19"/>
              </w:rPr>
              <w:t>+38.7 pp / +66.9 pts</w:t>
            </w:r>
          </w:p>
        </w:tc>
        <w:tc>
          <w:tcPr>
            <w:tcW w:type="dxa" w:w="1560"/>
          </w:tcPr>
          <w:p>
            <w:r/>
            <w:r>
              <w:rPr>
                <w:rFonts w:ascii="Old Standard TT" w:hAnsi="Old Standard TT"/>
                <w:sz w:val="19"/>
              </w:rPr>
              <w:t>&lt;0.0001</w:t>
            </w:r>
          </w:p>
        </w:tc>
        <w:tc>
          <w:tcPr>
            <w:tcW w:type="dxa" w:w="1560"/>
          </w:tcPr>
          <w:p>
            <w:r/>
            <w:r>
              <w:rPr>
                <w:rFonts w:ascii="Old Standard TT" w:hAnsi="Old Standard TT"/>
                <w:sz w:val="19"/>
              </w:rPr>
              <w:t>uncorr.</w:t>
            </w:r>
          </w:p>
        </w:tc>
        <w:tc>
          <w:tcPr>
            <w:tcW w:type="dxa" w:w="1560"/>
          </w:tcPr>
          <w:p>
            <w:r/>
            <w:r>
              <w:rPr>
                <w:rFonts w:ascii="Old Standard TT" w:hAnsi="Old Standard TT"/>
                <w:sz w:val="19"/>
              </w:rPr>
              <w:t>exploratory</w:t>
            </w:r>
          </w:p>
        </w:tc>
      </w:tr>
    </w:tbl>
    <w:p>
      <w:pPr/>
    </w:p>
    <w:p>
      <w:pPr/>
      <w:r>
        <w:rPr>
          <w:rFonts w:ascii="Old Standard TT" w:hAnsi="Old Standard TT"/>
          <w:b/>
          <w:sz w:val="20"/>
        </w:rPr>
        <w:t>Table 3: Monitors on the frozen test split (seeds 10–17, 96 episodes). HCO target: 50 pos / 46 neg (Case 2 n=5, Case 3 n=2, Case 4 n=16, compliant n=23). Strict CC target: 25 pos / 71 neg (Case 1b n=25).</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rFonts w:ascii="Old Standard TT" w:hAnsi="Old Standard TT"/>
                <w:b/>
                <w:sz w:val="19"/>
              </w:rPr>
              <w:t>Monitor</w:t>
            </w:r>
          </w:p>
        </w:tc>
        <w:tc>
          <w:tcPr>
            <w:tcW w:type="dxa" w:w="1040"/>
          </w:tcPr>
          <w:p>
            <w:r/>
            <w:r>
              <w:rPr>
                <w:rFonts w:ascii="Old Standard TT" w:hAnsi="Old Standard TT"/>
                <w:b/>
                <w:sz w:val="19"/>
              </w:rPr>
              <w:t>AUROC (HCO) [95% CI]</w:t>
            </w:r>
          </w:p>
        </w:tc>
        <w:tc>
          <w:tcPr>
            <w:tcW w:type="dxa" w:w="1040"/>
          </w:tcPr>
          <w:p>
            <w:r/>
            <w:r>
              <w:rPr>
                <w:rFonts w:ascii="Old Standard TT" w:hAnsi="Old Standard TT"/>
                <w:b/>
                <w:sz w:val="19"/>
              </w:rPr>
              <w:t>TPR@5%</w:t>
            </w:r>
          </w:p>
        </w:tc>
        <w:tc>
          <w:tcPr>
            <w:tcW w:type="dxa" w:w="1040"/>
          </w:tcPr>
          <w:p>
            <w:r/>
            <w:r>
              <w:rPr>
                <w:rFonts w:ascii="Old Standard TT" w:hAnsi="Old Standard TT"/>
                <w:b/>
                <w:sz w:val="19"/>
              </w:rPr>
              <w:t>FPR ②</w:t>
            </w:r>
          </w:p>
        </w:tc>
        <w:tc>
          <w:tcPr>
            <w:tcW w:type="dxa" w:w="1040"/>
          </w:tcPr>
          <w:p>
            <w:r/>
            <w:r>
              <w:rPr>
                <w:rFonts w:ascii="Old Standard TT" w:hAnsi="Old Standard TT"/>
                <w:b/>
                <w:sz w:val="19"/>
              </w:rPr>
              <w:t>FPR ③</w:t>
            </w:r>
          </w:p>
        </w:tc>
        <w:tc>
          <w:tcPr>
            <w:tcW w:type="dxa" w:w="1040"/>
          </w:tcPr>
          <w:p>
            <w:r/>
            <w:r>
              <w:rPr>
                <w:rFonts w:ascii="Old Standard TT" w:hAnsi="Old Standard TT"/>
                <w:b/>
                <w:sz w:val="19"/>
              </w:rPr>
              <w:t>FPR ④</w:t>
            </w:r>
          </w:p>
        </w:tc>
        <w:tc>
          <w:tcPr>
            <w:tcW w:type="dxa" w:w="1040"/>
          </w:tcPr>
          <w:p>
            <w:r/>
            <w:r>
              <w:rPr>
                <w:rFonts w:ascii="Old Standard TT" w:hAnsi="Old Standard TT"/>
                <w:b/>
                <w:sz w:val="19"/>
              </w:rPr>
              <w:t>AUROC (Strict CC)</w:t>
            </w:r>
          </w:p>
        </w:tc>
        <w:tc>
          <w:tcPr>
            <w:tcW w:type="dxa" w:w="1040"/>
          </w:tcPr>
          <w:p>
            <w:r/>
            <w:r>
              <w:rPr>
                <w:rFonts w:ascii="Old Standard TT" w:hAnsi="Old Standard TT"/>
                <w:b/>
                <w:sz w:val="19"/>
              </w:rPr>
              <w:t>FPR ①b</w:t>
            </w:r>
          </w:p>
        </w:tc>
        <w:tc>
          <w:tcPr>
            <w:tcW w:type="dxa" w:w="1040"/>
          </w:tcPr>
          <w:p>
            <w:r/>
            <w:r>
              <w:rPr>
                <w:rFonts w:ascii="Old Standard TT" w:hAnsi="Old Standard TT"/>
                <w:b/>
                <w:sz w:val="19"/>
              </w:rPr>
              <w:t>Uses Parser</w:t>
            </w:r>
          </w:p>
        </w:tc>
      </w:tr>
      <w:tr>
        <w:tc>
          <w:tcPr>
            <w:tcW w:type="dxa" w:w="1040"/>
          </w:tcPr>
          <w:p>
            <w:r/>
            <w:r>
              <w:rPr>
                <w:rFonts w:ascii="Old Standard TT" w:hAnsi="Old Standard TT"/>
                <w:sz w:val="19"/>
              </w:rPr>
              <w:t>V1 chat-only</w:t>
            </w:r>
          </w:p>
        </w:tc>
        <w:tc>
          <w:tcPr>
            <w:tcW w:type="dxa" w:w="1040"/>
          </w:tcPr>
          <w:p>
            <w:r/>
            <w:r>
              <w:rPr>
                <w:rFonts w:ascii="Old Standard TT" w:hAnsi="Old Standard TT"/>
                <w:sz w:val="19"/>
              </w:rPr>
              <w:t>0.943 [0.873, 0.999]</w:t>
            </w:r>
          </w:p>
        </w:tc>
        <w:tc>
          <w:tcPr>
            <w:tcW w:type="dxa" w:w="1040"/>
          </w:tcPr>
          <w:p>
            <w:r/>
            <w:r>
              <w:rPr>
                <w:rFonts w:ascii="Old Standard TT" w:hAnsi="Old Standard TT"/>
                <w:sz w:val="19"/>
              </w:rPr>
              <w:t>40%</w:t>
            </w:r>
          </w:p>
        </w:tc>
        <w:tc>
          <w:tcPr>
            <w:tcW w:type="dxa" w:w="1040"/>
          </w:tcPr>
          <w:p>
            <w:r/>
            <w:r>
              <w:rPr>
                <w:rFonts w:ascii="Old Standard TT" w:hAnsi="Old Standard TT"/>
                <w:sz w:val="19"/>
              </w:rPr>
              <w:t>0/5</w:t>
            </w:r>
          </w:p>
        </w:tc>
        <w:tc>
          <w:tcPr>
            <w:tcW w:type="dxa" w:w="1040"/>
          </w:tcPr>
          <w:p>
            <w:r/>
            <w:r>
              <w:rPr>
                <w:rFonts w:ascii="Old Standard TT" w:hAnsi="Old Standard TT"/>
                <w:sz w:val="19"/>
              </w:rPr>
              <w:t>1/2</w:t>
            </w:r>
          </w:p>
        </w:tc>
        <w:tc>
          <w:tcPr>
            <w:tcW w:type="dxa" w:w="1040"/>
          </w:tcPr>
          <w:p>
            <w:r/>
            <w:r>
              <w:rPr>
                <w:rFonts w:ascii="Old Standard TT" w:hAnsi="Old Standard TT"/>
                <w:sz w:val="19"/>
              </w:rPr>
              <w:t>7/16</w:t>
            </w:r>
          </w:p>
        </w:tc>
        <w:tc>
          <w:tcPr>
            <w:tcW w:type="dxa" w:w="1040"/>
          </w:tcPr>
          <w:p>
            <w:r/>
            <w:r>
              <w:rPr>
                <w:rFonts w:ascii="Old Standard TT" w:hAnsi="Old Standard TT"/>
                <w:sz w:val="19"/>
              </w:rPr>
              <w:t>0.864</w:t>
            </w:r>
          </w:p>
        </w:tc>
        <w:tc>
          <w:tcPr>
            <w:tcW w:type="dxa" w:w="1040"/>
          </w:tcPr>
          <w:p>
            <w:r/>
            <w:r>
              <w:rPr>
                <w:rFonts w:ascii="Old Standard TT" w:hAnsi="Old Standard TT"/>
                <w:sz w:val="19"/>
              </w:rPr>
              <w:t>88% (22/25)</w:t>
            </w:r>
          </w:p>
        </w:tc>
        <w:tc>
          <w:tcPr>
            <w:tcW w:type="dxa" w:w="1040"/>
          </w:tcPr>
          <w:p>
            <w:r/>
            <w:r>
              <w:rPr>
                <w:rFonts w:ascii="Old Standard TT" w:hAnsi="Old Standard TT"/>
                <w:sz w:val="19"/>
              </w:rPr>
              <w:t>yes</w:t>
            </w:r>
          </w:p>
        </w:tc>
      </w:tr>
      <w:tr>
        <w:tc>
          <w:tcPr>
            <w:tcW w:type="dxa" w:w="1040"/>
          </w:tcPr>
          <w:p>
            <w:r/>
            <w:r>
              <w:rPr>
                <w:rFonts w:ascii="Old Standard TT" w:hAnsi="Old Standard TT"/>
                <w:sz w:val="19"/>
              </w:rPr>
              <w:t>V2 action-only</w:t>
            </w:r>
          </w:p>
        </w:tc>
        <w:tc>
          <w:tcPr>
            <w:tcW w:type="dxa" w:w="1040"/>
          </w:tcPr>
          <w:p>
            <w:r/>
            <w:r>
              <w:rPr>
                <w:rFonts w:ascii="Old Standard TT" w:hAnsi="Old Standard TT"/>
                <w:sz w:val="19"/>
              </w:rPr>
              <w:t>0.946 [0.902, 0.990]</w:t>
            </w:r>
          </w:p>
        </w:tc>
        <w:tc>
          <w:tcPr>
            <w:tcW w:type="dxa" w:w="1040"/>
          </w:tcPr>
          <w:p>
            <w:r/>
            <w:r>
              <w:rPr>
                <w:rFonts w:ascii="Old Standard TT" w:hAnsi="Old Standard TT"/>
                <w:sz w:val="19"/>
              </w:rPr>
              <w:t>56%</w:t>
            </w:r>
          </w:p>
        </w:tc>
        <w:tc>
          <w:tcPr>
            <w:tcW w:type="dxa" w:w="1040"/>
          </w:tcPr>
          <w:p>
            <w:r/>
            <w:r>
              <w:rPr>
                <w:rFonts w:ascii="Old Standard TT" w:hAnsi="Old Standard TT"/>
                <w:sz w:val="19"/>
              </w:rPr>
              <w:t>5/5</w:t>
            </w:r>
          </w:p>
        </w:tc>
        <w:tc>
          <w:tcPr>
            <w:tcW w:type="dxa" w:w="1040"/>
          </w:tcPr>
          <w:p>
            <w:r/>
            <w:r>
              <w:rPr>
                <w:rFonts w:ascii="Old Standard TT" w:hAnsi="Old Standard TT"/>
                <w:sz w:val="19"/>
              </w:rPr>
              <w:t>0/2</w:t>
            </w:r>
          </w:p>
        </w:tc>
        <w:tc>
          <w:tcPr>
            <w:tcW w:type="dxa" w:w="1040"/>
          </w:tcPr>
          <w:p>
            <w:r/>
            <w:r>
              <w:rPr>
                <w:rFonts w:ascii="Old Standard TT" w:hAnsi="Old Standard TT"/>
                <w:sz w:val="19"/>
              </w:rPr>
              <w:t>16/16</w:t>
            </w:r>
          </w:p>
        </w:tc>
        <w:tc>
          <w:tcPr>
            <w:tcW w:type="dxa" w:w="1040"/>
          </w:tcPr>
          <w:p>
            <w:r/>
            <w:r>
              <w:rPr>
                <w:rFonts w:ascii="Old Standard TT" w:hAnsi="Old Standard TT"/>
                <w:sz w:val="19"/>
              </w:rPr>
              <w:t>0.853</w:t>
            </w:r>
          </w:p>
        </w:tc>
        <w:tc>
          <w:tcPr>
            <w:tcW w:type="dxa" w:w="1040"/>
          </w:tcPr>
          <w:p>
            <w:r/>
            <w:r>
              <w:rPr>
                <w:rFonts w:ascii="Old Standard TT" w:hAnsi="Old Standard TT"/>
                <w:sz w:val="19"/>
              </w:rPr>
              <w:t>100% (25/25)</w:t>
            </w:r>
          </w:p>
        </w:tc>
        <w:tc>
          <w:tcPr>
            <w:tcW w:type="dxa" w:w="1040"/>
          </w:tcPr>
          <w:p>
            <w:r/>
            <w:r>
              <w:rPr>
                <w:rFonts w:ascii="Old Standard TT" w:hAnsi="Old Standard TT"/>
                <w:sz w:val="19"/>
              </w:rPr>
              <w:t>no</w:t>
            </w:r>
          </w:p>
        </w:tc>
      </w:tr>
      <w:tr>
        <w:tc>
          <w:tcPr>
            <w:tcW w:type="dxa" w:w="1040"/>
          </w:tcPr>
          <w:p>
            <w:r/>
            <w:r>
              <w:rPr>
                <w:rFonts w:ascii="Old Standard TT" w:hAnsi="Old Standard TT"/>
                <w:sz w:val="19"/>
              </w:rPr>
              <w:t>Late fusion</w:t>
            </w:r>
          </w:p>
        </w:tc>
        <w:tc>
          <w:tcPr>
            <w:tcW w:type="dxa" w:w="1040"/>
          </w:tcPr>
          <w:p>
            <w:r/>
            <w:r>
              <w:rPr>
                <w:rFonts w:ascii="Old Standard TT" w:hAnsi="Old Standard TT"/>
                <w:sz w:val="19"/>
              </w:rPr>
              <w:t>0.975 [0.944, 0.999]</w:t>
            </w:r>
          </w:p>
        </w:tc>
        <w:tc>
          <w:tcPr>
            <w:tcW w:type="dxa" w:w="1040"/>
          </w:tcPr>
          <w:p>
            <w:r/>
            <w:r>
              <w:rPr>
                <w:rFonts w:ascii="Old Standard TT" w:hAnsi="Old Standard TT"/>
                <w:sz w:val="19"/>
              </w:rPr>
              <w:t>84%</w:t>
            </w:r>
          </w:p>
        </w:tc>
        <w:tc>
          <w:tcPr>
            <w:tcW w:type="dxa" w:w="1040"/>
          </w:tcPr>
          <w:p>
            <w:r/>
            <w:r>
              <w:rPr>
                <w:rFonts w:ascii="Old Standard TT" w:hAnsi="Old Standard TT"/>
                <w:sz w:val="19"/>
              </w:rPr>
              <w:t>0/5</w:t>
            </w:r>
          </w:p>
        </w:tc>
        <w:tc>
          <w:tcPr>
            <w:tcW w:type="dxa" w:w="1040"/>
          </w:tcPr>
          <w:p>
            <w:r/>
            <w:r>
              <w:rPr>
                <w:rFonts w:ascii="Old Standard TT" w:hAnsi="Old Standard TT"/>
                <w:sz w:val="19"/>
              </w:rPr>
              <w:t>0/2</w:t>
            </w:r>
          </w:p>
        </w:tc>
        <w:tc>
          <w:tcPr>
            <w:tcW w:type="dxa" w:w="1040"/>
          </w:tcPr>
          <w:p>
            <w:r/>
            <w:r>
              <w:rPr>
                <w:rFonts w:ascii="Old Standard TT" w:hAnsi="Old Standard TT"/>
                <w:sz w:val="19"/>
              </w:rPr>
              <w:t>10/16</w:t>
            </w:r>
          </w:p>
        </w:tc>
        <w:tc>
          <w:tcPr>
            <w:tcW w:type="dxa" w:w="1040"/>
          </w:tcPr>
          <w:p>
            <w:r/>
            <w:r>
              <w:rPr>
                <w:rFonts w:ascii="Old Standard TT" w:hAnsi="Old Standard TT"/>
                <w:sz w:val="19"/>
              </w:rPr>
              <w:t>0.883</w:t>
            </w:r>
          </w:p>
        </w:tc>
        <w:tc>
          <w:tcPr>
            <w:tcW w:type="dxa" w:w="1040"/>
          </w:tcPr>
          <w:p>
            <w:r/>
            <w:r>
              <w:rPr>
                <w:rFonts w:ascii="Old Standard TT" w:hAnsi="Old Standard TT"/>
                <w:sz w:val="19"/>
              </w:rPr>
              <w:t>100% (25/25)</w:t>
            </w:r>
          </w:p>
        </w:tc>
        <w:tc>
          <w:tcPr>
            <w:tcW w:type="dxa" w:w="1040"/>
          </w:tcPr>
          <w:p>
            <w:r/>
            <w:r>
              <w:rPr>
                <w:rFonts w:ascii="Old Standard TT" w:hAnsi="Old Standard TT"/>
                <w:sz w:val="19"/>
              </w:rPr>
              <w:t>partly</w:t>
            </w:r>
          </w:p>
        </w:tc>
      </w:tr>
      <w:tr>
        <w:tc>
          <w:tcPr>
            <w:tcW w:type="dxa" w:w="1040"/>
          </w:tcPr>
          <w:p>
            <w:r/>
            <w:r>
              <w:rPr>
                <w:rFonts w:ascii="Old Standard TT" w:hAnsi="Old Standard TT"/>
                <w:sz w:val="19"/>
              </w:rPr>
              <w:t>V3 combined</w:t>
            </w:r>
          </w:p>
        </w:tc>
        <w:tc>
          <w:tcPr>
            <w:tcW w:type="dxa" w:w="1040"/>
          </w:tcPr>
          <w:p>
            <w:r/>
            <w:r>
              <w:rPr>
                <w:rFonts w:ascii="Old Standard TT" w:hAnsi="Old Standard TT"/>
                <w:sz w:val="19"/>
              </w:rPr>
              <w:t>0.992 [0.980, 1.000]</w:t>
            </w:r>
          </w:p>
        </w:tc>
        <w:tc>
          <w:tcPr>
            <w:tcW w:type="dxa" w:w="1040"/>
          </w:tcPr>
          <w:p>
            <w:r/>
            <w:r>
              <w:rPr>
                <w:rFonts w:ascii="Old Standard TT" w:hAnsi="Old Standard TT"/>
                <w:sz w:val="19"/>
              </w:rPr>
              <w:t>98%</w:t>
            </w:r>
          </w:p>
        </w:tc>
        <w:tc>
          <w:tcPr>
            <w:tcW w:type="dxa" w:w="1040"/>
          </w:tcPr>
          <w:p>
            <w:r/>
            <w:r>
              <w:rPr>
                <w:rFonts w:ascii="Old Standard TT" w:hAnsi="Old Standard TT"/>
                <w:sz w:val="19"/>
              </w:rPr>
              <w:t>0/5</w:t>
            </w:r>
          </w:p>
        </w:tc>
        <w:tc>
          <w:tcPr>
            <w:tcW w:type="dxa" w:w="1040"/>
          </w:tcPr>
          <w:p>
            <w:r/>
            <w:r>
              <w:rPr>
                <w:rFonts w:ascii="Old Standard TT" w:hAnsi="Old Standard TT"/>
                <w:sz w:val="19"/>
              </w:rPr>
              <w:t>0/2</w:t>
            </w:r>
          </w:p>
        </w:tc>
        <w:tc>
          <w:tcPr>
            <w:tcW w:type="dxa" w:w="1040"/>
          </w:tcPr>
          <w:p>
            <w:r/>
            <w:r>
              <w:rPr>
                <w:rFonts w:ascii="Old Standard TT" w:hAnsi="Old Standard TT"/>
                <w:sz w:val="19"/>
              </w:rPr>
              <w:t>4/16</w:t>
            </w:r>
          </w:p>
        </w:tc>
        <w:tc>
          <w:tcPr>
            <w:tcW w:type="dxa" w:w="1040"/>
          </w:tcPr>
          <w:p>
            <w:r/>
            <w:r>
              <w:rPr>
                <w:rFonts w:ascii="Old Standard TT" w:hAnsi="Old Standard TT"/>
                <w:sz w:val="19"/>
              </w:rPr>
              <w:t>0.858</w:t>
            </w:r>
          </w:p>
        </w:tc>
        <w:tc>
          <w:tcPr>
            <w:tcW w:type="dxa" w:w="1040"/>
          </w:tcPr>
          <w:p>
            <w:r/>
            <w:r>
              <w:rPr>
                <w:rFonts w:ascii="Old Standard TT" w:hAnsi="Old Standard TT"/>
                <w:sz w:val="19"/>
              </w:rPr>
              <w:t>96% (24/25)</w:t>
            </w:r>
          </w:p>
        </w:tc>
        <w:tc>
          <w:tcPr>
            <w:tcW w:type="dxa" w:w="1040"/>
          </w:tcPr>
          <w:p>
            <w:r/>
            <w:r>
              <w:rPr>
                <w:rFonts w:ascii="Old Standard TT" w:hAnsi="Old Standard TT"/>
                <w:sz w:val="19"/>
              </w:rPr>
              <w:t>yes</w:t>
            </w:r>
          </w:p>
        </w:tc>
      </w:tr>
      <w:tr>
        <w:tc>
          <w:tcPr>
            <w:tcW w:type="dxa" w:w="1040"/>
          </w:tcPr>
          <w:p>
            <w:r/>
            <w:r>
              <w:rPr>
                <w:rFonts w:ascii="Old Standard TT" w:hAnsi="Old Standard TT"/>
                <w:sz w:val="19"/>
              </w:rPr>
              <w:t>V4 structured</w:t>
            </w:r>
          </w:p>
        </w:tc>
        <w:tc>
          <w:tcPr>
            <w:tcW w:type="dxa" w:w="1040"/>
          </w:tcPr>
          <w:p>
            <w:r/>
            <w:r>
              <w:rPr>
                <w:rFonts w:ascii="Old Standard TT" w:hAnsi="Old Standard TT"/>
                <w:sz w:val="19"/>
              </w:rPr>
              <w:t>0.987 [0.969, 1.000]</w:t>
            </w:r>
          </w:p>
        </w:tc>
        <w:tc>
          <w:tcPr>
            <w:tcW w:type="dxa" w:w="1040"/>
          </w:tcPr>
          <w:p>
            <w:r/>
            <w:r>
              <w:rPr>
                <w:rFonts w:ascii="Old Standard TT" w:hAnsi="Old Standard TT"/>
                <w:sz w:val="19"/>
              </w:rPr>
              <w:t>72%</w:t>
            </w:r>
          </w:p>
        </w:tc>
        <w:tc>
          <w:tcPr>
            <w:tcW w:type="dxa" w:w="1040"/>
          </w:tcPr>
          <w:p>
            <w:r/>
            <w:r>
              <w:rPr>
                <w:rFonts w:ascii="Old Standard TT" w:hAnsi="Old Standard TT"/>
                <w:sz w:val="19"/>
              </w:rPr>
              <w:t>0/5</w:t>
            </w:r>
          </w:p>
        </w:tc>
        <w:tc>
          <w:tcPr>
            <w:tcW w:type="dxa" w:w="1040"/>
          </w:tcPr>
          <w:p>
            <w:r/>
            <w:r>
              <w:rPr>
                <w:rFonts w:ascii="Old Standard TT" w:hAnsi="Old Standard TT"/>
                <w:sz w:val="19"/>
              </w:rPr>
              <w:t>0/2</w:t>
            </w:r>
          </w:p>
        </w:tc>
        <w:tc>
          <w:tcPr>
            <w:tcW w:type="dxa" w:w="1040"/>
          </w:tcPr>
          <w:p>
            <w:r/>
            <w:r>
              <w:rPr>
                <w:rFonts w:ascii="Old Standard TT" w:hAnsi="Old Standard TT"/>
                <w:sz w:val="19"/>
              </w:rPr>
              <w:t>4/16</w:t>
            </w:r>
          </w:p>
        </w:tc>
        <w:tc>
          <w:tcPr>
            <w:tcW w:type="dxa" w:w="1040"/>
          </w:tcPr>
          <w:p>
            <w:r/>
            <w:r>
              <w:rPr>
                <w:rFonts w:ascii="Old Standard TT" w:hAnsi="Old Standard TT"/>
                <w:sz w:val="19"/>
              </w:rPr>
              <w:t>0.863</w:t>
            </w:r>
          </w:p>
        </w:tc>
        <w:tc>
          <w:tcPr>
            <w:tcW w:type="dxa" w:w="1040"/>
          </w:tcPr>
          <w:p>
            <w:r/>
            <w:r>
              <w:rPr>
                <w:rFonts w:ascii="Old Standard TT" w:hAnsi="Old Standard TT"/>
                <w:sz w:val="19"/>
              </w:rPr>
              <w:t>96% (24/25)</w:t>
            </w:r>
          </w:p>
        </w:tc>
        <w:tc>
          <w:tcPr>
            <w:tcW w:type="dxa" w:w="1040"/>
          </w:tcPr>
          <w:p>
            <w:r/>
            <w:r>
              <w:rPr>
                <w:rFonts w:ascii="Old Standard TT" w:hAnsi="Old Standard TT"/>
                <w:sz w:val="19"/>
              </w:rPr>
              <w:t>yes</w:t>
            </w:r>
          </w:p>
        </w:tc>
      </w:tr>
      <w:tr>
        <w:tc>
          <w:tcPr>
            <w:tcW w:type="dxa" w:w="1040"/>
          </w:tcPr>
          <w:p>
            <w:r/>
            <w:r>
              <w:rPr>
                <w:rFonts w:ascii="Old Standard TT" w:hAnsi="Old Standard TT"/>
                <w:sz w:val="19"/>
              </w:rPr>
              <w:t>LogReg Plus</w:t>
            </w:r>
          </w:p>
        </w:tc>
        <w:tc>
          <w:tcPr>
            <w:tcW w:type="dxa" w:w="1040"/>
          </w:tcPr>
          <w:p>
            <w:r/>
            <w:r>
              <w:rPr>
                <w:rFonts w:ascii="Old Standard TT" w:hAnsi="Old Standard TT"/>
                <w:sz w:val="19"/>
              </w:rPr>
              <w:t>0.978 [0.951, 1.000]</w:t>
            </w:r>
          </w:p>
        </w:tc>
        <w:tc>
          <w:tcPr>
            <w:tcW w:type="dxa" w:w="1040"/>
          </w:tcPr>
          <w:p>
            <w:r/>
            <w:r>
              <w:rPr>
                <w:rFonts w:ascii="Old Standard TT" w:hAnsi="Old Standard TT"/>
                <w:sz w:val="19"/>
              </w:rPr>
              <w:t>80%</w:t>
            </w:r>
          </w:p>
        </w:tc>
        <w:tc>
          <w:tcPr>
            <w:tcW w:type="dxa" w:w="1040"/>
          </w:tcPr>
          <w:p>
            <w:r/>
            <w:r>
              <w:rPr>
                <w:rFonts w:ascii="Old Standard TT" w:hAnsi="Old Standard TT"/>
                <w:sz w:val="19"/>
              </w:rPr>
              <w:t>1/5</w:t>
            </w:r>
          </w:p>
        </w:tc>
        <w:tc>
          <w:tcPr>
            <w:tcW w:type="dxa" w:w="1040"/>
          </w:tcPr>
          <w:p>
            <w:r/>
            <w:r>
              <w:rPr>
                <w:rFonts w:ascii="Old Standard TT" w:hAnsi="Old Standard TT"/>
                <w:sz w:val="19"/>
              </w:rPr>
              <w:t>0/2</w:t>
            </w:r>
          </w:p>
        </w:tc>
        <w:tc>
          <w:tcPr>
            <w:tcW w:type="dxa" w:w="1040"/>
          </w:tcPr>
          <w:p>
            <w:r/>
            <w:r>
              <w:rPr>
                <w:rFonts w:ascii="Old Standard TT" w:hAnsi="Old Standard TT"/>
                <w:sz w:val="19"/>
              </w:rPr>
              <w:t>2/16</w:t>
            </w:r>
          </w:p>
        </w:tc>
        <w:tc>
          <w:tcPr>
            <w:tcW w:type="dxa" w:w="1040"/>
          </w:tcPr>
          <w:p>
            <w:r/>
            <w:r>
              <w:rPr>
                <w:rFonts w:ascii="Old Standard TT" w:hAnsi="Old Standard TT"/>
                <w:sz w:val="19"/>
              </w:rPr>
              <w:t>0.858</w:t>
            </w:r>
          </w:p>
        </w:tc>
        <w:tc>
          <w:tcPr>
            <w:tcW w:type="dxa" w:w="1040"/>
          </w:tcPr>
          <w:p>
            <w:r/>
            <w:r>
              <w:rPr>
                <w:rFonts w:ascii="Old Standard TT" w:hAnsi="Old Standard TT"/>
                <w:sz w:val="19"/>
              </w:rPr>
              <w:t>88% (22/25)</w:t>
            </w:r>
          </w:p>
        </w:tc>
        <w:tc>
          <w:tcPr>
            <w:tcW w:type="dxa" w:w="1040"/>
          </w:tcPr>
          <w:p>
            <w:r/>
            <w:r>
              <w:rPr>
                <w:rFonts w:ascii="Old Standard TT" w:hAnsi="Old Standard TT"/>
                <w:sz w:val="19"/>
              </w:rPr>
              <w:t>no*</w:t>
            </w:r>
          </w:p>
        </w:tc>
      </w:tr>
      <w:tr>
        <w:tc>
          <w:tcPr>
            <w:tcW w:type="dxa" w:w="1040"/>
          </w:tcPr>
          <w:p>
            <w:r/>
            <w:r>
              <w:rPr>
                <w:rFonts w:ascii="Old Standard TT" w:hAnsi="Old Standard TT"/>
                <w:sz w:val="19"/>
              </w:rPr>
              <w:t>Rule baseline</w:t>
            </w:r>
          </w:p>
        </w:tc>
        <w:tc>
          <w:tcPr>
            <w:tcW w:type="dxa" w:w="1040"/>
          </w:tcPr>
          <w:p>
            <w:r/>
            <w:r>
              <w:rPr>
                <w:rFonts w:ascii="Old Standard TT" w:hAnsi="Old Standard TT"/>
                <w:sz w:val="19"/>
              </w:rPr>
              <w:t>0.867 [0.785, 0.948]</w:t>
            </w:r>
          </w:p>
        </w:tc>
        <w:tc>
          <w:tcPr>
            <w:tcW w:type="dxa" w:w="1040"/>
          </w:tcPr>
          <w:p>
            <w:r/>
            <w:r>
              <w:rPr>
                <w:rFonts w:ascii="Old Standard TT" w:hAnsi="Old Standard TT"/>
                <w:sz w:val="19"/>
              </w:rPr>
              <w:t>0%</w:t>
            </w:r>
          </w:p>
        </w:tc>
        <w:tc>
          <w:tcPr>
            <w:tcW w:type="dxa" w:w="1040"/>
          </w:tcPr>
          <w:p>
            <w:r/>
            <w:r>
              <w:rPr>
                <w:rFonts w:ascii="Old Standard TT" w:hAnsi="Old Standard TT"/>
                <w:sz w:val="19"/>
              </w:rPr>
              <w:t>1/5</w:t>
            </w:r>
          </w:p>
        </w:tc>
        <w:tc>
          <w:tcPr>
            <w:tcW w:type="dxa" w:w="1040"/>
          </w:tcPr>
          <w:p>
            <w:r/>
            <w:r>
              <w:rPr>
                <w:rFonts w:ascii="Old Standard TT" w:hAnsi="Old Standard TT"/>
                <w:sz w:val="19"/>
              </w:rPr>
              <w:t>0/2</w:t>
            </w:r>
          </w:p>
        </w:tc>
        <w:tc>
          <w:tcPr>
            <w:tcW w:type="dxa" w:w="1040"/>
          </w:tcPr>
          <w:p>
            <w:r/>
            <w:r>
              <w:rPr>
                <w:rFonts w:ascii="Old Standard TT" w:hAnsi="Old Standard TT"/>
                <w:sz w:val="19"/>
              </w:rPr>
              <w:t>3/16</w:t>
            </w:r>
          </w:p>
        </w:tc>
        <w:tc>
          <w:tcPr>
            <w:tcW w:type="dxa" w:w="1040"/>
          </w:tcPr>
          <w:p>
            <w:r/>
            <w:r>
              <w:rPr>
                <w:rFonts w:ascii="Old Standard TT" w:hAnsi="Old Standard TT"/>
                <w:sz w:val="19"/>
              </w:rPr>
              <w:t>0.805</w:t>
            </w:r>
          </w:p>
        </w:tc>
        <w:tc>
          <w:tcPr>
            <w:tcW w:type="dxa" w:w="1040"/>
          </w:tcPr>
          <w:p>
            <w:r/>
            <w:r>
              <w:rPr>
                <w:rFonts w:ascii="Old Standard TT" w:hAnsi="Old Standard TT"/>
                <w:sz w:val="19"/>
              </w:rPr>
              <w:t>72% (18/25)</w:t>
            </w:r>
          </w:p>
        </w:tc>
        <w:tc>
          <w:tcPr>
            <w:tcW w:type="dxa" w:w="1040"/>
          </w:tcPr>
          <w:p>
            <w:r/>
            <w:r>
              <w:rPr>
                <w:rFonts w:ascii="Old Standard TT" w:hAnsi="Old Standard TT"/>
                <w:sz w:val="19"/>
              </w:rPr>
              <w:t>no</w:t>
            </w:r>
          </w:p>
        </w:tc>
      </w:tr>
      <w:tr>
        <w:tc>
          <w:tcPr>
            <w:tcW w:type="dxa" w:w="1040"/>
          </w:tcPr>
          <w:p>
            <w:r/>
            <w:r>
              <w:rPr>
                <w:rFonts w:ascii="Old Standard TT" w:hAnsi="Old Standard TT"/>
                <w:sz w:val="19"/>
              </w:rPr>
              <w:t>Ceiling (oracle)</w:t>
            </w:r>
          </w:p>
        </w:tc>
        <w:tc>
          <w:tcPr>
            <w:tcW w:type="dxa" w:w="1040"/>
          </w:tcPr>
          <w:p>
            <w:r/>
            <w:r>
              <w:rPr>
                <w:rFonts w:ascii="Old Standard TT" w:hAnsi="Old Standard TT"/>
                <w:sz w:val="19"/>
              </w:rPr>
              <w:t>1.000 [1.000, 1.000]</w:t>
            </w:r>
          </w:p>
        </w:tc>
        <w:tc>
          <w:tcPr>
            <w:tcW w:type="dxa" w:w="1040"/>
          </w:tcPr>
          <w:p>
            <w:r/>
            <w:r>
              <w:rPr>
                <w:rFonts w:ascii="Old Standard TT" w:hAnsi="Old Standard TT"/>
                <w:sz w:val="19"/>
              </w:rPr>
              <w:t>100%</w:t>
            </w:r>
          </w:p>
        </w:tc>
        <w:tc>
          <w:tcPr>
            <w:tcW w:type="dxa" w:w="1040"/>
          </w:tcPr>
          <w:p>
            <w:r/>
            <w:r>
              <w:rPr>
                <w:rFonts w:ascii="Old Standard TT" w:hAnsi="Old Standard TT"/>
                <w:sz w:val="19"/>
              </w:rPr>
              <w:t>0/5</w:t>
            </w:r>
          </w:p>
        </w:tc>
        <w:tc>
          <w:tcPr>
            <w:tcW w:type="dxa" w:w="1040"/>
          </w:tcPr>
          <w:p>
            <w:r/>
            <w:r>
              <w:rPr>
                <w:rFonts w:ascii="Old Standard TT" w:hAnsi="Old Standard TT"/>
                <w:sz w:val="19"/>
              </w:rPr>
              <w:t>0/2</w:t>
            </w:r>
          </w:p>
        </w:tc>
        <w:tc>
          <w:tcPr>
            <w:tcW w:type="dxa" w:w="1040"/>
          </w:tcPr>
          <w:p>
            <w:r/>
            <w:r>
              <w:rPr>
                <w:rFonts w:ascii="Old Standard TT" w:hAnsi="Old Standard TT"/>
                <w:sz w:val="19"/>
              </w:rPr>
              <w:t>0/16</w:t>
            </w:r>
          </w:p>
        </w:tc>
        <w:tc>
          <w:tcPr>
            <w:tcW w:type="dxa" w:w="1040"/>
          </w:tcPr>
          <w:p>
            <w:r/>
            <w:r>
              <w:rPr>
                <w:rFonts w:ascii="Old Standard TT" w:hAnsi="Old Standard TT"/>
                <w:sz w:val="19"/>
              </w:rPr>
              <w:t>0.824</w:t>
            </w:r>
          </w:p>
        </w:tc>
        <w:tc>
          <w:tcPr>
            <w:tcW w:type="dxa" w:w="1040"/>
          </w:tcPr>
          <w:p>
            <w:r/>
            <w:r>
              <w:rPr>
                <w:rFonts w:ascii="Old Standard TT" w:hAnsi="Old Standard TT"/>
                <w:sz w:val="19"/>
              </w:rPr>
              <w:t>100% (25/25)</w:t>
            </w:r>
          </w:p>
        </w:tc>
        <w:tc>
          <w:tcPr>
            <w:tcW w:type="dxa" w:w="1040"/>
          </w:tcPr>
          <w:p>
            <w:r/>
            <w:r>
              <w:rPr>
                <w:rFonts w:ascii="Old Standard TT" w:hAnsi="Old Standard TT"/>
                <w:sz w:val="19"/>
              </w:rPr>
              <w:t>yes</w:t>
            </w:r>
          </w:p>
        </w:tc>
      </w:tr>
    </w:tbl>
    <w:p>
      <w:pPr/>
    </w:p>
    <w:p>
      <w:pPr>
        <w:jc w:val="center"/>
      </w:pPr>
      <w:r>
        <w:drawing>
          <wp:inline>
            <wp:extent cx="5760720" cy="1984105"/>
            <wp:docPr id="2" name="Picture 2"/>
            <wp:cNvGraphicFramePr>
              <a:graphicFrameLocks noChangeAspect="1"/>
            </wp:cNvGraphicFramePr>
            <a:graphic>
              <a:graphicData uri="http://schemas.openxmlformats.org/drawingml/2006/picture">
                <pic:pic>
                  <pic:nvPicPr>
                    <pic:cNvPr id="0" name="fig3_track22_roc_and_fpr.png"/>
                    <pic:cNvPicPr/>
                  </pic:nvPicPr>
                  <pic:blipFill>
                    <a:blip r:embed="rId9"/>
                    <a:stretch>
                      <a:fillRect/>
                    </a:stretch>
                  </pic:blipFill>
                  <pic:spPr>
                    <a:xfrm>
                      <a:off x="0" y="0"/>
                      <a:ext cx="5760720" cy="1984105"/>
                    </a:xfrm>
                    <a:prstGeom prst="rect"/>
                  </pic:spPr>
                </pic:pic>
              </a:graphicData>
            </a:graphic>
          </wp:inline>
        </w:drawing>
      </w:r>
    </w:p>
    <w:p>
      <w:pPr/>
      <w:r>
        <w:rPr>
          <w:rFonts w:ascii="Old Standard TT" w:hAnsi="Old Standard TT"/>
          <w:sz w:val="19"/>
        </w:rPr>
        <w:t>Figure 2: Monitor benchmark on the frozen test split (96 episodes). (A) ROC curves for the HCO target. (B) False-positive rates by hard-negative class at dev-calibrated thresholds.</w:t>
      </w:r>
    </w:p>
    <w:p>
      <w:pPr/>
      <w:r>
        <w:rPr>
          <w:rFonts w:ascii="Old Standard TT" w:hAnsi="Old Standard TT"/>
          <w:b/>
          <w:sz w:val="20"/>
        </w:rPr>
        <w:t>Table 4: Plus-factor evidence ladder on the frozen test split (seeds 10–17, 96 episodes).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rFonts w:ascii="Old Standard TT" w:hAnsi="Old Standard TT"/>
                <w:b/>
                <w:sz w:val="19"/>
              </w:rPr>
              <w:t>Evidence Rung</w:t>
            </w:r>
          </w:p>
        </w:tc>
        <w:tc>
          <w:tcPr>
            <w:tcW w:type="dxa" w:w="1040"/>
          </w:tcPr>
          <w:p>
            <w:r/>
            <w:r>
              <w:rPr>
                <w:rFonts w:ascii="Old Standard TT" w:hAnsi="Old Standard TT"/>
                <w:b/>
                <w:sz w:val="19"/>
              </w:rPr>
              <w:t>TP / FP (HCO)</w:t>
            </w:r>
          </w:p>
        </w:tc>
        <w:tc>
          <w:tcPr>
            <w:tcW w:type="dxa" w:w="1040"/>
          </w:tcPr>
          <w:p>
            <w:r/>
            <w:r>
              <w:rPr>
                <w:rFonts w:ascii="Old Standard TT" w:hAnsi="Old Standard TT"/>
                <w:b/>
                <w:sz w:val="19"/>
              </w:rPr>
              <w:t>Prec (HCO)</w:t>
            </w:r>
          </w:p>
        </w:tc>
        <w:tc>
          <w:tcPr>
            <w:tcW w:type="dxa" w:w="1040"/>
          </w:tcPr>
          <w:p>
            <w:r/>
            <w:r>
              <w:rPr>
                <w:rFonts w:ascii="Old Standard TT" w:hAnsi="Old Standard TT"/>
                <w:b/>
                <w:sz w:val="19"/>
              </w:rPr>
              <w:t>Recall</w:t>
            </w:r>
          </w:p>
        </w:tc>
        <w:tc>
          <w:tcPr>
            <w:tcW w:type="dxa" w:w="1040"/>
          </w:tcPr>
          <w:p>
            <w:r/>
            <w:r>
              <w:rPr>
                <w:rFonts w:ascii="Old Standard TT" w:hAnsi="Old Standard TT"/>
                <w:b/>
                <w:sz w:val="19"/>
              </w:rPr>
              <w:t>F1</w:t>
            </w:r>
          </w:p>
        </w:tc>
        <w:tc>
          <w:tcPr>
            <w:tcW w:type="dxa" w:w="1040"/>
          </w:tcPr>
          <w:p>
            <w:r/>
            <w:r>
              <w:rPr>
                <w:rFonts w:ascii="Old Standard TT" w:hAnsi="Old Standard TT"/>
                <w:b/>
                <w:sz w:val="19"/>
              </w:rPr>
              <w:t>FPR ② (n=5)</w:t>
            </w:r>
          </w:p>
        </w:tc>
        <w:tc>
          <w:tcPr>
            <w:tcW w:type="dxa" w:w="1040"/>
          </w:tcPr>
          <w:p>
            <w:r/>
            <w:r>
              <w:rPr>
                <w:rFonts w:ascii="Old Standard TT" w:hAnsi="Old Standard TT"/>
                <w:b/>
                <w:sz w:val="19"/>
              </w:rPr>
              <w:t>FPR ④ (n=16)</w:t>
            </w:r>
          </w:p>
        </w:tc>
        <w:tc>
          <w:tcPr>
            <w:tcW w:type="dxa" w:w="1040"/>
          </w:tcPr>
          <w:p>
            <w:r/>
            <w:r>
              <w:rPr>
                <w:rFonts w:ascii="Old Standard TT" w:hAnsi="Old Standard TT"/>
                <w:b/>
                <w:sz w:val="19"/>
              </w:rPr>
              <w:t>Prec (Strict CC)</w:t>
            </w:r>
          </w:p>
        </w:tc>
        <w:tc>
          <w:tcPr>
            <w:tcW w:type="dxa" w:w="1040"/>
          </w:tcPr>
          <w:p>
            <w:r/>
            <w:r>
              <w:rPr>
                <w:rFonts w:ascii="Old Standard TT" w:hAnsi="Old Standard TT"/>
                <w:b/>
                <w:sz w:val="19"/>
              </w:rPr>
              <w:t>FPR ①b (n=25)</w:t>
            </w:r>
          </w:p>
        </w:tc>
      </w:tr>
      <w:tr>
        <w:tc>
          <w:tcPr>
            <w:tcW w:type="dxa" w:w="1040"/>
          </w:tcPr>
          <w:p>
            <w:r/>
            <w:r>
              <w:rPr>
                <w:rFonts w:ascii="Old Standard TT" w:hAnsi="Old Standard TT"/>
                <w:sz w:val="19"/>
              </w:rPr>
              <w:t>L0: P0 (parallel override)</w:t>
            </w:r>
          </w:p>
        </w:tc>
        <w:tc>
          <w:tcPr>
            <w:tcW w:type="dxa" w:w="1040"/>
          </w:tcPr>
          <w:p>
            <w:r/>
            <w:r>
              <w:rPr>
                <w:rFonts w:ascii="Old Standard TT" w:hAnsi="Old Standard TT"/>
                <w:sz w:val="19"/>
              </w:rPr>
              <w:t>50 / 21</w:t>
            </w:r>
          </w:p>
        </w:tc>
        <w:tc>
          <w:tcPr>
            <w:tcW w:type="dxa" w:w="1040"/>
          </w:tcPr>
          <w:p>
            <w:r/>
            <w:r>
              <w:rPr>
                <w:rFonts w:ascii="Old Standard TT" w:hAnsi="Old Standard TT"/>
                <w:sz w:val="19"/>
              </w:rPr>
              <w:t>70.4%</w:t>
            </w:r>
          </w:p>
        </w:tc>
        <w:tc>
          <w:tcPr>
            <w:tcW w:type="dxa" w:w="1040"/>
          </w:tcPr>
          <w:p>
            <w:r/>
            <w:r>
              <w:rPr>
                <w:rFonts w:ascii="Old Standard TT" w:hAnsi="Old Standard TT"/>
                <w:sz w:val="19"/>
              </w:rPr>
              <w:t>100.0%</w:t>
            </w:r>
          </w:p>
        </w:tc>
        <w:tc>
          <w:tcPr>
            <w:tcW w:type="dxa" w:w="1040"/>
          </w:tcPr>
          <w:p>
            <w:r/>
            <w:r>
              <w:rPr>
                <w:rFonts w:ascii="Old Standard TT" w:hAnsi="Old Standard TT"/>
                <w:sz w:val="19"/>
              </w:rPr>
              <w:t>0.826</w:t>
            </w:r>
          </w:p>
        </w:tc>
        <w:tc>
          <w:tcPr>
            <w:tcW w:type="dxa" w:w="1040"/>
          </w:tcPr>
          <w:p>
            <w:r/>
            <w:r>
              <w:rPr>
                <w:rFonts w:ascii="Old Standard TT" w:hAnsi="Old Standard TT"/>
                <w:sz w:val="19"/>
              </w:rPr>
              <w:t>5/5 (100%)</w:t>
            </w:r>
          </w:p>
        </w:tc>
        <w:tc>
          <w:tcPr>
            <w:tcW w:type="dxa" w:w="1040"/>
          </w:tcPr>
          <w:p>
            <w:r/>
            <w:r>
              <w:rPr>
                <w:rFonts w:ascii="Old Standard TT" w:hAnsi="Old Standard TT"/>
                <w:sz w:val="19"/>
              </w:rPr>
              <w:t>16/16 (100%)</w:t>
            </w:r>
          </w:p>
        </w:tc>
        <w:tc>
          <w:tcPr>
            <w:tcW w:type="dxa" w:w="1040"/>
          </w:tcPr>
          <w:p>
            <w:r/>
            <w:r>
              <w:rPr>
                <w:rFonts w:ascii="Old Standard TT" w:hAnsi="Old Standard TT"/>
                <w:sz w:val="19"/>
              </w:rPr>
              <w:t>35.2% (25/71)</w:t>
            </w:r>
          </w:p>
        </w:tc>
        <w:tc>
          <w:tcPr>
            <w:tcW w:type="dxa" w:w="1040"/>
          </w:tcPr>
          <w:p>
            <w:r/>
            <w:r>
              <w:rPr>
                <w:rFonts w:ascii="Old Standard TT" w:hAnsi="Old Standard TT"/>
                <w:sz w:val="19"/>
              </w:rPr>
              <w:t>25/25 (100%)</w:t>
            </w:r>
          </w:p>
        </w:tc>
      </w:tr>
      <w:tr>
        <w:tc>
          <w:tcPr>
            <w:tcW w:type="dxa" w:w="1040"/>
          </w:tcPr>
          <w:p>
            <w:r/>
            <w:r>
              <w:rPr>
                <w:rFonts w:ascii="Old Standard TT" w:hAnsi="Old Standard TT"/>
                <w:sz w:val="19"/>
              </w:rPr>
              <w:t>L1: P0 &amp; P1 (+self-interest)</w:t>
            </w:r>
          </w:p>
        </w:tc>
        <w:tc>
          <w:tcPr>
            <w:tcW w:type="dxa" w:w="1040"/>
          </w:tcPr>
          <w:p>
            <w:r/>
            <w:r>
              <w:rPr>
                <w:rFonts w:ascii="Old Standard TT" w:hAnsi="Old Standard TT"/>
                <w:sz w:val="19"/>
              </w:rPr>
              <w:t>41 / 5</w:t>
            </w:r>
          </w:p>
        </w:tc>
        <w:tc>
          <w:tcPr>
            <w:tcW w:type="dxa" w:w="1040"/>
          </w:tcPr>
          <w:p>
            <w:r/>
            <w:r>
              <w:rPr>
                <w:rFonts w:ascii="Old Standard TT" w:hAnsi="Old Standard TT"/>
                <w:sz w:val="19"/>
              </w:rPr>
              <w:t>89.1%</w:t>
            </w:r>
          </w:p>
        </w:tc>
        <w:tc>
          <w:tcPr>
            <w:tcW w:type="dxa" w:w="1040"/>
          </w:tcPr>
          <w:p>
            <w:r/>
            <w:r>
              <w:rPr>
                <w:rFonts w:ascii="Old Standard TT" w:hAnsi="Old Standard TT"/>
                <w:sz w:val="19"/>
              </w:rPr>
              <w:t>82.0%</w:t>
            </w:r>
          </w:p>
        </w:tc>
        <w:tc>
          <w:tcPr>
            <w:tcW w:type="dxa" w:w="1040"/>
          </w:tcPr>
          <w:p>
            <w:r/>
            <w:r>
              <w:rPr>
                <w:rFonts w:ascii="Old Standard TT" w:hAnsi="Old Standard TT"/>
                <w:sz w:val="19"/>
              </w:rPr>
              <w:t>0.854</w:t>
            </w:r>
          </w:p>
        </w:tc>
        <w:tc>
          <w:tcPr>
            <w:tcW w:type="dxa" w:w="1040"/>
          </w:tcPr>
          <w:p>
            <w:r/>
            <w:r>
              <w:rPr>
                <w:rFonts w:ascii="Old Standard TT" w:hAnsi="Old Standard TT"/>
                <w:sz w:val="19"/>
              </w:rPr>
              <w:t>2/5 (40%)</w:t>
            </w:r>
          </w:p>
        </w:tc>
        <w:tc>
          <w:tcPr>
            <w:tcW w:type="dxa" w:w="1040"/>
          </w:tcPr>
          <w:p>
            <w:r/>
            <w:r>
              <w:rPr>
                <w:rFonts w:ascii="Old Standard TT" w:hAnsi="Old Standard TT"/>
                <w:sz w:val="19"/>
              </w:rPr>
              <w:t>3/16 (18.8%)</w:t>
            </w:r>
          </w:p>
        </w:tc>
        <w:tc>
          <w:tcPr>
            <w:tcW w:type="dxa" w:w="1040"/>
          </w:tcPr>
          <w:p>
            <w:r/>
            <w:r>
              <w:rPr>
                <w:rFonts w:ascii="Old Standard TT" w:hAnsi="Old Standard TT"/>
                <w:sz w:val="19"/>
              </w:rPr>
              <w:t>50.0% (23/46)</w:t>
            </w:r>
          </w:p>
        </w:tc>
        <w:tc>
          <w:tcPr>
            <w:tcW w:type="dxa" w:w="1040"/>
          </w:tcPr>
          <w:p>
            <w:r/>
            <w:r>
              <w:rPr>
                <w:rFonts w:ascii="Old Standard TT" w:hAnsi="Old Standard TT"/>
                <w:sz w:val="19"/>
              </w:rPr>
              <w:t>18/25 (72%)</w:t>
            </w:r>
          </w:p>
        </w:tc>
      </w:tr>
      <w:tr>
        <w:tc>
          <w:tcPr>
            <w:tcW w:type="dxa" w:w="1040"/>
          </w:tcPr>
          <w:p>
            <w:r/>
            <w:r>
              <w:rPr>
                <w:rFonts w:ascii="Old Standard TT" w:hAnsi="Old Standard TT"/>
                <w:sz w:val="19"/>
              </w:rPr>
              <w:t>L2: P0 &amp; P1 &amp; P3 (+pretext)</w:t>
            </w:r>
          </w:p>
        </w:tc>
        <w:tc>
          <w:tcPr>
            <w:tcW w:type="dxa" w:w="1040"/>
          </w:tcPr>
          <w:p>
            <w:r/>
            <w:r>
              <w:rPr>
                <w:rFonts w:ascii="Old Standard TT" w:hAnsi="Old Standard TT"/>
                <w:sz w:val="19"/>
              </w:rPr>
              <w:t>41 / 4</w:t>
            </w:r>
          </w:p>
        </w:tc>
        <w:tc>
          <w:tcPr>
            <w:tcW w:type="dxa" w:w="1040"/>
          </w:tcPr>
          <w:p>
            <w:r/>
            <w:r>
              <w:rPr>
                <w:rFonts w:ascii="Old Standard TT" w:hAnsi="Old Standard TT"/>
                <w:sz w:val="19"/>
              </w:rPr>
              <w:t>91.1%</w:t>
            </w:r>
          </w:p>
        </w:tc>
        <w:tc>
          <w:tcPr>
            <w:tcW w:type="dxa" w:w="1040"/>
          </w:tcPr>
          <w:p>
            <w:r/>
            <w:r>
              <w:rPr>
                <w:rFonts w:ascii="Old Standard TT" w:hAnsi="Old Standard TT"/>
                <w:sz w:val="19"/>
              </w:rPr>
              <w:t>82.0%</w:t>
            </w:r>
          </w:p>
        </w:tc>
        <w:tc>
          <w:tcPr>
            <w:tcW w:type="dxa" w:w="1040"/>
          </w:tcPr>
          <w:p>
            <w:r/>
            <w:r>
              <w:rPr>
                <w:rFonts w:ascii="Old Standard TT" w:hAnsi="Old Standard TT"/>
                <w:sz w:val="19"/>
              </w:rPr>
              <w:t>0.863</w:t>
            </w:r>
          </w:p>
        </w:tc>
        <w:tc>
          <w:tcPr>
            <w:tcW w:type="dxa" w:w="1040"/>
          </w:tcPr>
          <w:p>
            <w:r/>
            <w:r>
              <w:rPr>
                <w:rFonts w:ascii="Old Standard TT" w:hAnsi="Old Standard TT"/>
                <w:sz w:val="19"/>
              </w:rPr>
              <w:t>1/5 (20%)</w:t>
            </w:r>
          </w:p>
        </w:tc>
        <w:tc>
          <w:tcPr>
            <w:tcW w:type="dxa" w:w="1040"/>
          </w:tcPr>
          <w:p>
            <w:r/>
            <w:r>
              <w:rPr>
                <w:rFonts w:ascii="Old Standard TT" w:hAnsi="Old Standard TT"/>
                <w:sz w:val="19"/>
              </w:rPr>
              <w:t>3/16 (18.8%)</w:t>
            </w:r>
          </w:p>
        </w:tc>
        <w:tc>
          <w:tcPr>
            <w:tcW w:type="dxa" w:w="1040"/>
          </w:tcPr>
          <w:p>
            <w:r/>
            <w:r>
              <w:rPr>
                <w:rFonts w:ascii="Old Standard TT" w:hAnsi="Old Standard TT"/>
                <w:sz w:val="19"/>
              </w:rPr>
              <w:t>51.1% (23/45)</w:t>
            </w:r>
          </w:p>
        </w:tc>
        <w:tc>
          <w:tcPr>
            <w:tcW w:type="dxa" w:w="1040"/>
          </w:tcPr>
          <w:p>
            <w:r/>
            <w:r>
              <w:rPr>
                <w:rFonts w:ascii="Old Standard TT" w:hAnsi="Old Standard TT"/>
                <w:sz w:val="19"/>
              </w:rPr>
              <w:t>18/25 (72%)</w:t>
            </w:r>
          </w:p>
        </w:tc>
      </w:tr>
      <w:tr>
        <w:tc>
          <w:tcPr>
            <w:tcW w:type="dxa" w:w="1040"/>
          </w:tcPr>
          <w:p>
            <w:r/>
            <w:r>
              <w:rPr>
                <w:rFonts w:ascii="Old Standard TT" w:hAnsi="Old Standard TT"/>
                <w:sz w:val="19"/>
              </w:rPr>
              <w:t>L3: P0 &amp; P1 &amp; P3 &amp; P5 (+direct)</w:t>
            </w:r>
          </w:p>
        </w:tc>
        <w:tc>
          <w:tcPr>
            <w:tcW w:type="dxa" w:w="1040"/>
          </w:tcPr>
          <w:p>
            <w:r/>
            <w:r>
              <w:rPr>
                <w:rFonts w:ascii="Old Standard TT" w:hAnsi="Old Standard TT"/>
                <w:sz w:val="19"/>
              </w:rPr>
              <w:t>41 / 3</w:t>
            </w:r>
          </w:p>
        </w:tc>
        <w:tc>
          <w:tcPr>
            <w:tcW w:type="dxa" w:w="1040"/>
          </w:tcPr>
          <w:p>
            <w:r/>
            <w:r>
              <w:rPr>
                <w:rFonts w:ascii="Old Standard TT" w:hAnsi="Old Standard TT"/>
                <w:sz w:val="19"/>
              </w:rPr>
              <w:t>93.2%</w:t>
            </w:r>
          </w:p>
        </w:tc>
        <w:tc>
          <w:tcPr>
            <w:tcW w:type="dxa" w:w="1040"/>
          </w:tcPr>
          <w:p>
            <w:r/>
            <w:r>
              <w:rPr>
                <w:rFonts w:ascii="Old Standard TT" w:hAnsi="Old Standard TT"/>
                <w:sz w:val="19"/>
              </w:rPr>
              <w:t>82.0%</w:t>
            </w:r>
          </w:p>
        </w:tc>
        <w:tc>
          <w:tcPr>
            <w:tcW w:type="dxa" w:w="1040"/>
          </w:tcPr>
          <w:p>
            <w:r/>
            <w:r>
              <w:rPr>
                <w:rFonts w:ascii="Old Standard TT" w:hAnsi="Old Standard TT"/>
                <w:sz w:val="19"/>
              </w:rPr>
              <w:t>0.872</w:t>
            </w:r>
          </w:p>
        </w:tc>
        <w:tc>
          <w:tcPr>
            <w:tcW w:type="dxa" w:w="1040"/>
          </w:tcPr>
          <w:p>
            <w:r/>
            <w:r>
              <w:rPr>
                <w:rFonts w:ascii="Old Standard TT" w:hAnsi="Old Standard TT"/>
                <w:sz w:val="19"/>
              </w:rPr>
              <w:t>1/5 (20%)</w:t>
            </w:r>
          </w:p>
        </w:tc>
        <w:tc>
          <w:tcPr>
            <w:tcW w:type="dxa" w:w="1040"/>
          </w:tcPr>
          <w:p>
            <w:r/>
            <w:r>
              <w:rPr>
                <w:rFonts w:ascii="Old Standard TT" w:hAnsi="Old Standard TT"/>
                <w:sz w:val="19"/>
              </w:rPr>
              <w:t>2/16 (12.5%)</w:t>
            </w:r>
          </w:p>
        </w:tc>
        <w:tc>
          <w:tcPr>
            <w:tcW w:type="dxa" w:w="1040"/>
          </w:tcPr>
          <w:p>
            <w:r/>
            <w:r>
              <w:rPr>
                <w:rFonts w:ascii="Old Standard TT" w:hAnsi="Old Standard TT"/>
                <w:sz w:val="19"/>
              </w:rPr>
              <w:t>52.3% (23/44)</w:t>
            </w:r>
          </w:p>
        </w:tc>
        <w:tc>
          <w:tcPr>
            <w:tcW w:type="dxa" w:w="1040"/>
          </w:tcPr>
          <w:p>
            <w:r/>
            <w:r>
              <w:rPr>
                <w:rFonts w:ascii="Old Standard TT" w:hAnsi="Old Standard TT"/>
                <w:sz w:val="19"/>
              </w:rPr>
              <w:t>18/25 (72%)</w:t>
            </w:r>
          </w:p>
        </w:tc>
      </w:tr>
    </w:tbl>
    <w:p>
      <w:pPr/>
    </w:p>
    <w:p>
      <w:pPr>
        <w:jc w:val="center"/>
      </w:pPr>
      <w:r>
        <w:drawing>
          <wp:inline>
            <wp:extent cx="5760720" cy="1844292"/>
            <wp:docPr id="3" name="Picture 3"/>
            <wp:cNvGraphicFramePr>
              <a:graphicFrameLocks noChangeAspect="1"/>
            </wp:cNvGraphicFramePr>
            <a:graphic>
              <a:graphicData uri="http://schemas.openxmlformats.org/drawingml/2006/picture">
                <pic:pic>
                  <pic:nvPicPr>
                    <pic:cNvPr id="0" name="fig4_track23_plus_factor_ladder.png"/>
                    <pic:cNvPicPr/>
                  </pic:nvPicPr>
                  <pic:blipFill>
                    <a:blip r:embed="rId10"/>
                    <a:stretch>
                      <a:fillRect/>
                    </a:stretch>
                  </pic:blipFill>
                  <pic:spPr>
                    <a:xfrm>
                      <a:off x="0" y="0"/>
                      <a:ext cx="5760720" cy="1844292"/>
                    </a:xfrm>
                    <a:prstGeom prst="rect"/>
                  </pic:spPr>
                </pic:pic>
              </a:graphicData>
            </a:graphic>
          </wp:inline>
        </w:drawing>
      </w:r>
    </w:p>
    <w:p>
      <w:pPr/>
      <w:r>
        <w:rPr>
          <w:rFonts w:ascii="Old Standard TT" w:hAnsi="Old Standard TT"/>
          <w:sz w:val="19"/>
        </w:rPr>
        <w:t>Figure 3: Plus-factor evidence ladder on the frozen test split (96 episodes). (A) Precision on the HCO target vs. strict confirmed-collusion target. (B) Hard-negative false-positive rates by rung.</w:t>
      </w:r>
    </w:p>
    <w:p>
      <w:pPr>
        <w:pStyle w:val="Heading2"/>
      </w:pPr>
      <w:r>
        <w:rPr>
          <w:b/>
        </w:rPr>
        <w:t>5. Discussion and Limitations</w:t>
      </w:r>
    </w:p>
    <w:p>
      <w:pPr/>
      <w:r>
        <w:rPr>
          <w:rFonts w:ascii="Old Standard TT" w:hAnsi="Old Standard TT"/>
          <w:sz w:val="22"/>
        </w:rPr>
        <w:t>Opening a chat channel did more harm in this setting than incentive misalignment did. With a 7B model, talk turned a stable, risk-dominant compliance norm into frequent harmful overrides, whether or not the agents gained. For oversight, this means: (1) action-only monitoring punishes justified emergency action, and chat-only monitoring is fooled by unexecuted talk, so claims should be checked against actions; (2) a plus-factor standard keeps false accusations of parallel conduct low; and (3) calling a harmful coordinated override 'collusion' requires evidence about who benefits. In deployments, auditors need access to the agents' incentive and reward specifications, not only their transcripts.</w:t>
      </w:r>
    </w:p>
    <w:p>
      <w:pPr>
        <w:pStyle w:val="Heading3"/>
      </w:pPr>
      <w:r>
        <w:rPr>
          <w:b/>
        </w:rPr>
        <w:t>Limitations</w:t>
      </w:r>
    </w:p>
    <w:p>
      <w:pPr>
        <w:ind w:left="360"/>
      </w:pPr>
      <w:r>
        <w:rPr>
          <w:rFonts w:ascii="Old Standard TT" w:hAnsi="Old Standard TT"/>
          <w:b/>
          <w:sz w:val="22"/>
        </w:rPr>
        <w:t xml:space="preserve">• One small model: </w:t>
      </w:r>
      <w:r>
        <w:rPr>
          <w:rFonts w:ascii="Old Standard TT" w:hAnsi="Old Standard TT"/>
          <w:sz w:val="22"/>
        </w:rPr>
        <w:t>All agents are qwen2.5:7b-instruct (4-bit). Stronger or mixed-family agents may behave differently.</w:t>
      </w:r>
    </w:p>
    <w:p>
      <w:pPr>
        <w:ind w:left="360"/>
      </w:pPr>
      <w:r>
        <w:rPr>
          <w:rFonts w:ascii="Old Standard TT" w:hAnsi="Old Standard TT"/>
          <w:b/>
          <w:sz w:val="22"/>
        </w:rPr>
        <w:t xml:space="preserve">• Parser-defined coordination, no human labels: </w:t>
      </w:r>
      <w:r>
        <w:rPr>
          <w:rFonts w:ascii="Old Standard TT" w:hAnsi="Old Standard TT"/>
          <w:sz w:val="22"/>
        </w:rPr>
        <w:t>pre_action_coord is validated against a same-family temperature-0 LLM annotator (kappa = 0.934 / 0.829), not independent human annotations. A blinded human annotation sheet is released at data/annotations/human_annotation_sheet.csv.</w:t>
      </w:r>
    </w:p>
    <w:p>
      <w:pPr>
        <w:ind w:left="360"/>
      </w:pPr>
      <w:r>
        <w:rPr>
          <w:rFonts w:ascii="Old Standard TT" w:hAnsi="Old Standard TT"/>
          <w:b/>
          <w:sz w:val="22"/>
        </w:rPr>
        <w:t xml:space="preserve">• Label/detector overlap: </w:t>
      </w:r>
      <w:r>
        <w:rPr>
          <w:rFonts w:ascii="Old Standard TT" w:hAnsi="Old Standard TT"/>
          <w:sz w:val="22"/>
        </w:rPr>
        <w:t>V1, V3, V4 and the ceiling use the same parser as the HCO label, so their high AUROCs partly reflect reconstructing the definition.</w:t>
      </w:r>
    </w:p>
    <w:p>
      <w:pPr>
        <w:ind w:left="360"/>
      </w:pPr>
      <w:r>
        <w:rPr>
          <w:rFonts w:ascii="Old Standard TT" w:hAnsi="Old Standard TT"/>
          <w:b/>
          <w:sz w:val="22"/>
        </w:rPr>
        <w:t xml:space="preserve">• Sample size: </w:t>
      </w:r>
      <w:r>
        <w:rPr>
          <w:rFonts w:ascii="Old Standard TT" w:hAnsi="Old Standard TT"/>
          <w:sz w:val="22"/>
        </w:rPr>
        <w:t>18 complete seeds (216 core episodes; 96 test episodes), with small test-set counts for Case 2 (n=5) and Case 3 (n=2).</w:t>
      </w:r>
    </w:p>
    <w:p>
      <w:pPr>
        <w:ind w:left="360"/>
      </w:pPr>
      <w:r>
        <w:rPr>
          <w:rFonts w:ascii="Old Standard TT" w:hAnsi="Old Standard TT"/>
          <w:b/>
          <w:sz w:val="22"/>
        </w:rPr>
        <w:t xml:space="preserve">• Post-hoc label split: </w:t>
      </w:r>
      <w:r>
        <w:rPr>
          <w:rFonts w:ascii="Old Standard TT" w:hAnsi="Old Standard TT"/>
          <w:sz w:val="22"/>
        </w:rPr>
        <w:t>The Confirmed Collusion vs. Miscoordination split (per-round CA_t and episode CA) was introduced after a review of the first results; pre-registered tests H1–H5 use HCO.</w:t>
      </w:r>
    </w:p>
    <w:p>
      <w:pPr>
        <w:pStyle w:val="Heading3"/>
      </w:pPr>
      <w:r>
        <w:rPr>
          <w:b/>
        </w:rPr>
        <w:t>Future Work</w:t>
      </w:r>
    </w:p>
    <w:p>
      <w:pPr/>
      <w:r>
        <w:rPr>
          <w:rFonts w:ascii="Old Standard TT" w:hAnsi="Old Standard TT"/>
          <w:sz w:val="22"/>
        </w:rPr>
        <w:t>Independent human annotation of the stratified transcript sample with adjudication; LLM-judge monitors from multiple model families compared against programmatic views; monitors that take the agent reward contract as an input; and larger / heterogeneous model pairs across longer horizons.</w:t>
      </w:r>
    </w:p>
    <w:p>
      <w:pPr>
        <w:pStyle w:val="Heading2"/>
      </w:pPr>
      <w:r>
        <w:rPr>
          <w:b/>
        </w:rPr>
        <w:t>6. Conclusion</w:t>
      </w:r>
    </w:p>
    <w:p>
      <w:pPr/>
      <w:r>
        <w:rPr>
          <w:rFonts w:ascii="Old Standard TT" w:hAnsi="Old Standard TT"/>
          <w:sz w:val="22"/>
        </w:rPr>
        <w:t>The Dual-Key Dispatch Game provides environment-computed labels for a setting where coordinated deviation is sometimes the right call. In 216 live episodes, chat raised harmful joint overrides from near zero to 44–74% of eligible rounds for conflicting agents, and also did so for aligned agents who lost reward by it. Monitors that check chat against actions avoid the main false alarms of single-view monitors, and an antitrust-style plus-factor ladder reaches 93.2% precision on harmful coordinated overrides. Neither can tell collusion from miscoordination without knowing who benefits.</w:t>
      </w:r>
    </w:p>
    <w:p>
      <w:pPr>
        <w:pStyle w:val="Heading2"/>
      </w:pPr>
      <w:r>
        <w:rPr>
          <w:b/>
        </w:rPr>
        <w:t>Code and Data</w:t>
      </w:r>
    </w:p>
    <w:p>
      <w:pPr>
        <w:ind w:left="360"/>
      </w:pPr>
      <w:r>
        <w:rPr>
          <w:rFonts w:ascii="Old Standard TT" w:hAnsi="Old Standard TT"/>
          <w:b/>
          <w:sz w:val="22"/>
        </w:rPr>
        <w:t xml:space="preserve">• Code repository: </w:t>
      </w:r>
      <w:r>
        <w:rPr>
          <w:rFonts w:ascii="Old Standard TT" w:hAnsi="Old Standard TT"/>
          <w:sz w:val="22"/>
        </w:rPr>
        <w:t>https://github.com/Sancar22-debug/AICollusion-Hackathon (src/sim/, src/agents/, src/auditor/, src/analysis/, analysis/01..04_*.ipynb).</w:t>
      </w:r>
    </w:p>
    <w:p>
      <w:pPr>
        <w:ind w:left="360"/>
      </w:pPr>
      <w:r>
        <w:rPr>
          <w:rFonts w:ascii="Old Standard TT" w:hAnsi="Old Standard TT"/>
          <w:b/>
          <w:sz w:val="22"/>
        </w:rPr>
        <w:t xml:space="preserve">• Datasets &amp; transcripts: </w:t>
      </w:r>
      <w:r>
        <w:rPr>
          <w:rFonts w:ascii="Old Standard TT" w:hAnsi="Old Standard TT"/>
          <w:sz w:val="22"/>
        </w:rPr>
        <w:t>data/episodes_live.jsonl (222 live episodes), data/audits_live_*.jsonl, data/bot_episodes.jsonl (150 scripted-bot episodes), data/annotations/human_annotation_sheet.csv.</w:t>
      </w:r>
    </w:p>
    <w:p>
      <w:pPr>
        <w:ind w:left="360"/>
      </w:pPr>
      <w:r>
        <w:rPr>
          <w:rFonts w:ascii="Old Standard TT" w:hAnsi="Old Standard TT"/>
          <w:b/>
          <w:sz w:val="22"/>
        </w:rPr>
        <w:t xml:space="preserve">• Pre-registration &amp; amendment log: </w:t>
      </w:r>
      <w:r>
        <w:rPr>
          <w:rFonts w:ascii="Old Standard TT" w:hAnsi="Old Standard TT"/>
          <w:sz w:val="22"/>
        </w:rPr>
        <w:t>PREREG.md in the repository.</w:t>
      </w:r>
    </w:p>
    <w:p>
      <w:pPr>
        <w:pStyle w:val="Heading2"/>
      </w:pPr>
      <w:r>
        <w:rPr>
          <w:b/>
        </w:rPr>
        <w:t>Author Contributions</w:t>
      </w:r>
    </w:p>
    <w:p>
      <w:pPr/>
      <w:r>
        <w:rPr>
          <w:rFonts w:ascii="Old Standard TT" w:hAnsi="Old Standard TT"/>
          <w:sz w:val="22"/>
        </w:rPr>
        <w:t>S.I. designed the study, implemented the environment, agents, monitors and analysis, ran the experiments and wrote the report. [Co-authors / teammates may add their specific contributions here.]</w:t>
      </w:r>
    </w:p>
    <w:p>
      <w:pPr>
        <w:pStyle w:val="Heading2"/>
      </w:pPr>
      <w:r>
        <w:rPr>
          <w:b/>
        </w:rPr>
        <w:t>References</w:t>
      </w:r>
    </w:p>
    <w:p>
      <w:pPr/>
      <w:r>
        <w:rPr>
          <w:rFonts w:ascii="Old Standard TT" w:hAnsi="Old Standard TT"/>
          <w:sz w:val="22"/>
        </w:rPr>
        <w:t>[1] Bhatt, A., et al. (2025). Ctrl-Z: Controlling AI agents via resampling. arXiv:2504.10374.</w:t>
      </w:r>
    </w:p>
    <w:p>
      <w:pPr/>
      <w:r>
        <w:rPr>
          <w:rFonts w:ascii="Old Standard TT" w:hAnsi="Old Standard TT"/>
          <w:sz w:val="22"/>
        </w:rPr>
        <w:t>[2] Calvano, E., Calzolari, G., Denicolo, V., &amp; Pastorello, S. (2020). Artificial intelligence, algorithmic pricing, and collusion. American Economic Review, 110(10), 3267–3297.</w:t>
      </w:r>
    </w:p>
    <w:p>
      <w:pPr/>
      <w:r>
        <w:rPr>
          <w:rFonts w:ascii="Old Standard TT" w:hAnsi="Old Standard TT"/>
          <w:sz w:val="22"/>
        </w:rPr>
        <w:t>[3] Dafoe, A., et al. (2020). Open problems in cooperative AI. arXiv:2012.08630.</w:t>
      </w:r>
    </w:p>
    <w:p>
      <w:pPr/>
      <w:r>
        <w:rPr>
          <w:rFonts w:ascii="Old Standard TT" w:hAnsi="Old Standard TT"/>
          <w:sz w:val="22"/>
        </w:rPr>
        <w:t>[4] Ezrachi, A., &amp; Stucke, M. E. (2017). Artificial intelligence &amp; collusion: When computers inhibit competition. University of Illinois Law Review, 2017, 1775–1810.</w:t>
      </w:r>
    </w:p>
    <w:p>
      <w:pPr/>
      <w:r>
        <w:rPr>
          <w:rFonts w:ascii="Old Standard TT" w:hAnsi="Old Standard TT"/>
          <w:sz w:val="22"/>
        </w:rPr>
        <w:t>[5] Farrell, J., &amp; Rabin, M. (1996). Cheap talk. Journal of Economic Perspectives, 10(3), 103–118.</w:t>
      </w:r>
    </w:p>
    <w:p>
      <w:pPr/>
      <w:r>
        <w:rPr>
          <w:rFonts w:ascii="Old Standard TT" w:hAnsi="Old Standard TT"/>
          <w:sz w:val="22"/>
        </w:rPr>
        <w:t>[6] Fish, S., Gonczarowski, Y. A., &amp; Shorrer, R. I. (2024). Algorithmic collusion by large language models. arXiv:2404.00806.</w:t>
      </w:r>
    </w:p>
    <w:p>
      <w:pPr/>
      <w:r>
        <w:rPr>
          <w:rFonts w:ascii="Old Standard TT" w:hAnsi="Old Standard TT"/>
          <w:sz w:val="22"/>
        </w:rPr>
        <w:t>[7] Greenblatt, R., Shlegeris, B., Sachan, K., &amp; Roger, F. (2024). AI control: Improving safety despite intentional subversion. ICML 2024, arXiv:2312.06942.</w:t>
      </w:r>
    </w:p>
    <w:p>
      <w:pPr/>
      <w:r>
        <w:rPr>
          <w:rFonts w:ascii="Old Standard TT" w:hAnsi="Old Standard TT"/>
          <w:sz w:val="22"/>
        </w:rPr>
        <w:t>[8] Greenblatt, R., et al. (2024). Alignment faking in large language models. arXiv:2412.14093.</w:t>
      </w:r>
    </w:p>
    <w:p>
      <w:pPr/>
      <w:r>
        <w:rPr>
          <w:rFonts w:ascii="Old Standard TT" w:hAnsi="Old Standard TT"/>
          <w:sz w:val="22"/>
        </w:rPr>
        <w:t>[9] Hammond, L., et al. (2025). Multi-agent risks from advanced AI. arXiv:2502.14143.</w:t>
      </w:r>
    </w:p>
    <w:p>
      <w:pPr/>
      <w:r>
        <w:rPr>
          <w:rFonts w:ascii="Old Standard TT" w:hAnsi="Old Standard TT"/>
          <w:sz w:val="22"/>
        </w:rPr>
        <w:t>[10] Harrington, J. E. (2018). Developing competition law for collusion by autonomous artificial agents. Journal of Competition Law &amp; Economics, 14(3), 331–363.</w:t>
      </w:r>
    </w:p>
    <w:p>
      <w:pPr/>
      <w:r>
        <w:rPr>
          <w:rFonts w:ascii="Old Standard TT" w:hAnsi="Old Standard TT"/>
          <w:sz w:val="22"/>
        </w:rPr>
        <w:t>[11] Holm, S. (1979). A simple sequentially rejective multiple test procedure. Scandinavian Journal of Statistics, 6(2), 65–70.</w:t>
      </w:r>
    </w:p>
    <w:p>
      <w:pPr/>
      <w:r>
        <w:rPr>
          <w:rFonts w:ascii="Old Standard TT" w:hAnsi="Old Standard TT"/>
          <w:sz w:val="22"/>
        </w:rPr>
        <w:t>[12] Klein, T. (2021). Autonomous algorithmic collusion: Q-learning under sequential pricing. RAND Journal of Economics, 52(3), 538–558.</w:t>
      </w:r>
    </w:p>
    <w:p>
      <w:pPr/>
      <w:r>
        <w:rPr>
          <w:rFonts w:ascii="Old Standard TT" w:hAnsi="Old Standard TT"/>
          <w:sz w:val="22"/>
        </w:rPr>
        <w:t>[13] Kovacic, W. E., Marshall, R. C., Marx, L. M., &amp; White, H. L. (2011). Plus factors and agreement in antitrust law. Michigan Law Review, 110(3), 393–436.</w:t>
      </w:r>
    </w:p>
    <w:p>
      <w:pPr/>
      <w:r>
        <w:rPr>
          <w:rFonts w:ascii="Old Standard TT" w:hAnsi="Old Standard TT"/>
          <w:sz w:val="22"/>
        </w:rPr>
        <w:t>[14] Meinke, A., et al. (2024). Frontier models are capable of in-context scheming. arXiv:2412.04984.</w:t>
      </w:r>
    </w:p>
    <w:p>
      <w:pPr/>
      <w:r>
        <w:rPr>
          <w:rFonts w:ascii="Old Standard TT" w:hAnsi="Old Standard TT"/>
          <w:sz w:val="22"/>
        </w:rPr>
        <w:t>[15] Motwani, S. R., et al. (2024). Secret collusion among AI agents: Multi-agent deception via steganography. NeurIPS 2024, arXiv:2402.07510.</w:t>
      </w:r>
    </w:p>
    <w:p>
      <w:pPr/>
      <w:r>
        <w:rPr>
          <w:rFonts w:ascii="Old Standard TT" w:hAnsi="Old Standard TT"/>
          <w:sz w:val="22"/>
        </w:rPr>
        <w:t>[16] Nakamura, M., Kumar, A., Das, S., Abdelnabi, S., Mahmud, S., Fioretto, F., Zilberstein, S., &amp; Bagdasarian, E. (2026). Colosseum: Auditing collusion in cooperative multi-agent systems. arXiv:2602.15198.</w:t>
      </w:r>
    </w:p>
    <w:p>
      <w:pPr/>
      <w:r>
        <w:rPr>
          <w:rFonts w:ascii="Old Standard TT" w:hAnsi="Old Standard TT"/>
          <w:sz w:val="22"/>
        </w:rPr>
        <w:t>[17] Park, P. S., Goldstein, S., O'Gara, A., Chen, M., &amp; Hendrycks, D. (2024). AI deception: A survey of examples, risks, and potential solutions. Patterns, 5(5), 100988.</w:t>
      </w:r>
    </w:p>
    <w:p>
      <w:pPr/>
      <w:r>
        <w:rPr>
          <w:rFonts w:ascii="Old Standard TT" w:hAnsi="Old Standard TT"/>
          <w:sz w:val="22"/>
        </w:rPr>
        <w:t>[18] Scheurer, J., Balesni, M., &amp; Hobbhahn, M. (2024). Large language models can strategically deceive their users when put under pressure. arXiv:2311.07590.</w:t>
      </w:r>
    </w:p>
    <w:p>
      <w:pPr/>
      <w:r>
        <w:rPr>
          <w:rFonts w:ascii="Old Standard TT" w:hAnsi="Old Standard TT"/>
          <w:sz w:val="22"/>
        </w:rPr>
        <w:t>[19] Skyrms, B. (2004). The Stag Hunt and the Evolution of Social Structure. Cambridge University Press.</w:t>
      </w:r>
    </w:p>
    <w:p>
      <w:pPr>
        <w:pStyle w:val="Heading2"/>
      </w:pPr>
      <w:r>
        <w:rPr>
          <w:b/>
        </w:rPr>
        <w:t>Appendix</w:t>
      </w:r>
    </w:p>
    <w:p>
      <w:pPr>
        <w:jc w:val="center"/>
      </w:pPr>
      <w:r>
        <w:drawing>
          <wp:inline>
            <wp:extent cx="5760720" cy="1597615"/>
            <wp:docPr id="4" name="Picture 4"/>
            <wp:cNvGraphicFramePr>
              <a:graphicFrameLocks noChangeAspect="1"/>
            </wp:cNvGraphicFramePr>
            <a:graphic>
              <a:graphicData uri="http://schemas.openxmlformats.org/drawingml/2006/picture">
                <pic:pic>
                  <pic:nvPicPr>
                    <pic:cNvPr id="0" name="fig0_game_theory_and_bots.png"/>
                    <pic:cNvPicPr/>
                  </pic:nvPicPr>
                  <pic:blipFill>
                    <a:blip r:embed="rId11"/>
                    <a:stretch>
                      <a:fillRect/>
                    </a:stretch>
                  </pic:blipFill>
                  <pic:spPr>
                    <a:xfrm>
                      <a:off x="0" y="0"/>
                      <a:ext cx="5760720" cy="1597615"/>
                    </a:xfrm>
                    <a:prstGeom prst="rect"/>
                  </pic:spPr>
                </pic:pic>
              </a:graphicData>
            </a:graphic>
          </wp:inline>
        </w:drawing>
      </w:r>
    </w:p>
    <w:p>
      <w:pPr/>
      <w:r>
        <w:rPr>
          <w:rFonts w:ascii="Old Standard TT" w:hAnsi="Old Standard TT"/>
          <w:sz w:val="19"/>
        </w:rPr>
        <w:t>Appendix Figure A1: Environment invariants: (A) Exact Bayesian posteriors by signal pattern; (B) Stag Hunt risk dominance (q* = 4/7); (C) Scripted-bot case verification across 150 episodes.</w:t>
      </w:r>
    </w:p>
    <w:p>
      <w:pPr>
        <w:jc w:val="center"/>
      </w:pPr>
      <w:r>
        <w:drawing>
          <wp:inline>
            <wp:extent cx="5760720" cy="1845510"/>
            <wp:docPr id="5" name="Picture 5"/>
            <wp:cNvGraphicFramePr>
              <a:graphicFrameLocks noChangeAspect="1"/>
            </wp:cNvGraphicFramePr>
            <a:graphic>
              <a:graphicData uri="http://schemas.openxmlformats.org/drawingml/2006/picture">
                <pic:pic>
                  <pic:nvPicPr>
                    <pic:cNvPr id="0" name="fig2_crisis_vs_routine_and_taxonomy.png"/>
                    <pic:cNvPicPr/>
                  </pic:nvPicPr>
                  <pic:blipFill>
                    <a:blip r:embed="rId12"/>
                    <a:stretch>
                      <a:fillRect/>
                    </a:stretch>
                  </pic:blipFill>
                  <pic:spPr>
                    <a:xfrm>
                      <a:off x="0" y="0"/>
                      <a:ext cx="5760720" cy="1845510"/>
                    </a:xfrm>
                    <a:prstGeom prst="rect"/>
                  </pic:spPr>
                </pic:pic>
              </a:graphicData>
            </a:graphic>
          </wp:inline>
        </w:drawing>
      </w:r>
    </w:p>
    <w:p>
      <w:pPr/>
      <w:r>
        <w:rPr>
          <w:rFonts w:ascii="Old Standard TT" w:hAnsi="Old Standard TT"/>
          <w:sz w:val="19"/>
        </w:rPr>
        <w:t>Appendix Figure B1: (A) Crisis vs. routine framing in conflicting cells (H3); (B) Share of messages carrying each lexicon tag.</w:t>
      </w:r>
    </w:p>
    <w:p>
      <w:pPr>
        <w:pStyle w:val="Heading2"/>
      </w:pPr>
      <w:r>
        <w:rPr>
          <w:b/>
        </w:rPr>
        <w:t>LLM Usage Statement</w:t>
      </w:r>
    </w:p>
    <w:p>
      <w:pPr/>
      <w:r>
        <w:rPr>
          <w:rFonts w:ascii="Old Standard TT" w:hAnsi="Old Standard TT"/>
          <w:sz w:val="22"/>
        </w:rPr>
        <w:t>We used AI coding assistants for software engineering, Modal orchestration, statistical scripting, figure generation, LaTeX formatting and help drafting and revising the text. All episodes are live inference calls to qwen2.5:7b-instruct. Every number in this report is computed by the scripts in the repository from the logged trajectories, and the author checked the reported results against the script output. An earlier draft contained simulator-generated results; these were discarded (see the amendment log in PREREG.md).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