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rFonts w:ascii="Times New Roman" w:hAnsi="Times New Roman" w:eastAsia="Times New Roman" w:cs="Times New Roman"/>
          <w:b/>
          <w:bCs/>
          <w:sz w:val="28"/>
          <w:szCs w:val="28"/>
        </w:rPr>
      </w:pPr>
      <w:r>
        <w:rPr>
          <w:b/>
          <w:bCs/>
          <w:sz w:val="28"/>
          <w:szCs w:val="28"/>
          <w:rtl w:val="0"/>
        </w:rPr>
        <w:t xml:space="preserve">AromaLLM: </w:t>
      </w:r>
      <w:r>
        <w:rPr>
          <w:rFonts w:ascii="Times New Roman" w:hAnsi="Times New Roman" w:eastAsia="Times New Roman" w:cs="Times New Roman"/>
          <w:b/>
          <w:bCs/>
          <w:sz w:val="28"/>
          <w:szCs w:val="28"/>
          <w:rtl w:val="0"/>
        </w:rPr>
        <w:t xml:space="preserve">biological olfactory profile prediction in health and cognitive rehabilitation</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0000002">
      <w:pPr>
        <w:pBdr/>
        <w:spacing/>
        <w:ind/>
        <w:rPr>
          <w:b/>
          <w:bCs/>
          <w:sz w:val="24"/>
          <w:szCs w:val="24"/>
        </w:rPr>
      </w:pPr>
      <w:r>
        <w:rPr>
          <w:rtl w:val="0"/>
        </w:rPr>
      </w:r>
      <w:r>
        <w:rPr>
          <w:b/>
          <w:bCs/>
          <w:sz w:val="24"/>
          <w:szCs w:val="24"/>
        </w:rPr>
      </w:r>
      <w:r>
        <w:rPr>
          <w:b/>
          <w:bCs/>
          <w:sz w:val="24"/>
          <w:szCs w:val="24"/>
        </w:rPr>
      </w:r>
    </w:p>
    <w:p w14:paraId="00000003">
      <w:pPr>
        <w:pBdr/>
        <w:spacing w:line="360" w:lineRule="auto"/>
        <w:ind/>
        <w:rPr>
          <w:b/>
          <w:bCs/>
          <w:sz w:val="24"/>
          <w:szCs w:val="24"/>
        </w:rPr>
      </w:pPr>
      <w:r>
        <w:rPr>
          <w:rtl w:val="0"/>
        </w:rPr>
      </w:r>
      <w:r>
        <w:rPr>
          <w:b/>
          <w:bCs/>
          <w:sz w:val="24"/>
          <w:szCs w:val="24"/>
        </w:rPr>
      </w:r>
      <w:r>
        <w:rPr>
          <w:b/>
          <w:bCs/>
          <w:sz w:val="24"/>
          <w:szCs w:val="24"/>
        </w:rPr>
      </w:r>
    </w:p>
    <w:p w14:paraId="00000004">
      <w:pPr>
        <w:pBdr/>
        <w:spacing w:line="360" w:lineRule="auto"/>
        <w:ind/>
        <w:rPr>
          <w:b/>
          <w:bCs/>
          <w:sz w:val="24"/>
          <w:szCs w:val="24"/>
        </w:rPr>
      </w:pPr>
      <w:r>
        <w:rPr>
          <w:b/>
          <w:bCs/>
          <w:sz w:val="24"/>
          <w:szCs w:val="24"/>
          <w:rtl w:val="0"/>
        </w:rPr>
        <w:t xml:space="preserve">INTRODUCTION</w:t>
      </w:r>
      <w:r>
        <w:rPr>
          <w:b/>
          <w:bCs/>
          <w:sz w:val="24"/>
          <w:szCs w:val="24"/>
        </w:rPr>
      </w:r>
      <w:r>
        <w:rPr>
          <w:b/>
          <w:bCs/>
          <w:sz w:val="24"/>
          <w:szCs w:val="24"/>
        </w:rPr>
      </w:r>
    </w:p>
    <w:p w14:paraId="00000005">
      <w:pPr>
        <w:pBdr/>
        <w:spacing w:after="240" w:before="240" w:line="360" w:lineRule="auto"/>
        <w:ind w:firstLine="720"/>
        <w:jc w:val="both"/>
        <w:rPr>
          <w:b/>
          <w:bCs/>
          <w:sz w:val="24"/>
          <w:szCs w:val="24"/>
        </w:rPr>
      </w:pPr>
      <w:r>
        <w:rPr>
          <w:sz w:val="24"/>
          <w:szCs w:val="24"/>
          <w:rtl w:val="0"/>
        </w:rPr>
        <w:t xml:space="preserve">An odor is the sensory impression produced when volatile chemical compounds disperse through the </w:t>
      </w:r>
      <w:r>
        <w:rPr>
          <w:sz w:val="24"/>
          <w:szCs w:val="24"/>
          <w:rtl w:val="0"/>
        </w:rPr>
        <w:t xml:space="preserve">air and are detected by the olfactory system. These molecules enter the nose and bind to olfactory receptors, triggering neuronal signals that are processed by the brain and perceived as distinct smells. Odors enable the recognition and discrimination of a</w:t>
      </w:r>
      <w:r>
        <w:rPr>
          <w:sz w:val="24"/>
          <w:szCs w:val="24"/>
          <w:rtl w:val="0"/>
        </w:rPr>
        <w:t xml:space="preserve"> vast range of environmental chemicals and play an important role in both survival and social behavior, including food identification, detection of dangers such as fire or toxic substances, predator avoidance, mate selection, and mother–infant recognition</w:t>
      </w:r>
      <w:r>
        <w:rPr>
          <w:sz w:val="24"/>
          <w:szCs w:val="24"/>
          <w:rtl w:val="0"/>
          <w:lang w:val="pt-BR"/>
        </w:rPr>
        <w:t xml:space="preserve"> </w:t>
      </w:r>
      <w:r>
        <w:rPr>
          <w:sz w:val="24"/>
          <w:szCs w:val="24"/>
          <w:rtl w:val="0"/>
          <w:lang w:val="pt-BR"/>
        </w:rPr>
      </w:r>
      <w:r>
        <w:rPr>
          <w:sz w:val="24"/>
          <w:szCs w:val="24"/>
          <w:rtl w:val="0"/>
          <w:lang w:val="pt-BR"/>
        </w:rPr>
        <w:fldChar w:fldCharType="begin"/>
        <w:instrText xml:space="preserve"> ADDIN ZOTERO_ITEM CSL_CITATION{"citationID":"xt0jhm1x1r","schema":"https://raw.githubusercontent.com/citation-style-language/schema/master/schemas/input/csl-citation.json","properties":{"noteIndex":1,"index":0,"plainCitation":"[1], [2]"},"citationItems":[{"id":"ZCL5G5C4","itemData":{"id":"ZCL5G5C4","type":"article-journal","language":"en","journalAbbreviation":"Biological Reviews","author":[{"family":"Zarzo","given":"Manuel"}],"accessed":{"date-parts":[["2026",6,2]]},"issued":{"date-parts":[["2007",8]]},"abstract":"Abstract\n            Most animal species rely on odorant compounds to locate food, predators, or toxins. The sense of smell is also involved in animal communication, and revealing the underlying mechanisms will therefore facilitate a deeper understanding of animal behaviour. Since the 1940s different theories have speculated on the fundamental basis of olfaction. It was assumed that odorant molecules were recognized by selective protein receptors in the nose, triggering a nervous signal processed by the brain. The discovery of these receptors in the early 1990s allowed great progress in understanding the physiological and biochemical principles of olfaction. An overview of the different mechanisms involved in the coding of odour character as well as odour intensity is presented here, focusing on the biochemical basis of odorant recognition. Despite the enormous progress achieved in recent years, details of odorant‐receptor interaction at the molecular level and the mechanisms of olfactory receptor activation are poorly understood. The likely role of metal ions in odorant recognition is discussed, and also the perireceptor events involved in odorant transport and biotransformation, with a view to providing a comprehensive overview of mammalian olfaction to guide future computational structural models and the design of functional experiments. Recent studies have analysed the olfactory genome of several species, providing information about the evolution of olfaction. The role of the olfactory system in animal communication is also described.","container-title":"Biological Reviews","DOI":"10.1111/j.1469-185X.2007.00019.x","ISSN":"1464-7931, 1469-185X","issue":"3","page":"455-479","source":"DOI.org (Crossref)","title":"The sense of smell: molecular basis of odorant recognition","title-short":"The sense of smell","URL":"https://onlinelibrary.wiley.com/doi/10.1111/j.1469-185X.2007.00019.x","volume":"82","custom":{"userID":0}},"uris":["http://zotero.org/users/14065362/items/ZCL5G5C4"]},{"id":"UU3XBTWL","itemData":{"id":"UU3XBTWL","type":"article-journal","language":"en","journalAbbreviation":"Chem. Rev.","author":[{"family":"Rossiter","given":"Karen J."}],"accessed":{"date-parts":[["2026",6,2]]},"issued":{"date-parts":[["1996",1,1]]},"container-title":"Chemical Reviews","DOI":"10.1021/cr950068a","ISSN":"0009-2665, 1520-6890","issue":"8","page":"3201-3240","source":"DOI.org (Crossref)","title":"Structure−Odor Relationships","URL":"https://pubs.acs.org/doi/10.1021/cr950068a","volume":"96","custom":{"userID":0}},"uris":["http://zotero.org/users/14065362/items/UU3XBTWL"]}]} </w:instrText>
      </w:r>
      <w:r>
        <w:rPr>
          <w:sz w:val="24"/>
          <w:szCs w:val="24"/>
          <w:rtl w:val="0"/>
          <w:lang w:val="pt-BR"/>
        </w:rPr>
        <w:fldChar w:fldCharType="separate"/>
      </w:r>
      <w:r>
        <w:rPr>
          <w:sz w:val="24"/>
          <w:szCs w:val="24"/>
          <w:rtl w:val="0"/>
          <w:lang w:val="pt-BR"/>
        </w:rPr>
      </w:r>
      <w:r>
        <w:rPr>
          <w:sz w:val="24"/>
          <w:szCs w:val="24"/>
          <w:rtl w:val="0"/>
          <w:lang w:val="pt-BR"/>
        </w:rPr>
        <w:t xml:space="preserve">[1], [2]</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w:t>
      </w:r>
      <w:r>
        <w:rPr>
          <w:sz w:val="24"/>
          <w:szCs w:val="24"/>
          <w:rtl w:val="0"/>
        </w:rPr>
        <w:t xml:space="preserve"> The perception of odors is </w:t>
      </w:r>
      <w:r>
        <w:rPr>
          <w:sz w:val="24"/>
          <w:szCs w:val="24"/>
          <w:rtl w:val="0"/>
        </w:rPr>
        <w:t xml:space="preserve">highly subjective and can vary considerably among individuals due to biological factors, such as genetic differences and age, as well as psychological and environmental influences, including memories, emotions, expectations, humidity, and background smells</w:t>
      </w:r>
      <w:r>
        <w:rPr>
          <w:b/>
          <w:bCs/>
          <w:sz w:val="24"/>
          <w:szCs w:val="24"/>
          <w:rtl w:val="0"/>
        </w:rPr>
        <w:t xml:space="preserve">.</w:t>
      </w:r>
      <w:r>
        <w:rPr>
          <w:b/>
          <w:bCs/>
          <w:sz w:val="24"/>
          <w:szCs w:val="24"/>
        </w:rPr>
      </w:r>
      <w:r>
        <w:rPr>
          <w:b/>
          <w:bCs/>
          <w:sz w:val="24"/>
          <w:szCs w:val="24"/>
        </w:rPr>
      </w:r>
    </w:p>
    <w:p w14:paraId="00000006">
      <w:pPr>
        <w:pBdr/>
        <w:spacing w:after="240" w:before="240" w:line="360" w:lineRule="auto"/>
        <w:ind w:firstLine="720"/>
        <w:jc w:val="both"/>
        <w:rPr>
          <w:sz w:val="24"/>
          <w:szCs w:val="24"/>
        </w:rPr>
      </w:pPr>
      <w:r>
        <w:rPr>
          <w:sz w:val="24"/>
          <w:szCs w:val="24"/>
          <w:rtl w:val="0"/>
        </w:rPr>
        <w:t xml:space="preserve">In humans, odor perception relies on a highly complex olfactory system capable of recognizing millions, and potentially billions, of volatile molecules through approximately 400 human olfactory receptors (</w:t>
      </w:r>
      <w:r>
        <w:rPr>
          <w:sz w:val="24"/>
          <w:szCs w:val="24"/>
          <w:rtl w:val="0"/>
        </w:rPr>
        <w:t xml:space="preserve">hORs</w:t>
      </w:r>
      <w:r>
        <w:rPr>
          <w:sz w:val="24"/>
          <w:szCs w:val="24"/>
          <w:rtl w:val="0"/>
        </w:rPr>
        <w:t xml:space="preserve">)</w:t>
      </w:r>
      <w:r>
        <w:rPr>
          <w:sz w:val="24"/>
          <w:szCs w:val="24"/>
          <w:rtl w:val="0"/>
          <w:lang w:val="pt-BR"/>
        </w:rPr>
        <w:t xml:space="preserve"> </w:t>
      </w:r>
      <w:r>
        <w:rPr>
          <w:sz w:val="24"/>
          <w:szCs w:val="24"/>
          <w:rtl w:val="0"/>
          <w:lang w:val="pt-BR"/>
        </w:rPr>
        <w:fldChar w:fldCharType="begin"/>
        <w:instrText xml:space="preserve"> ADDIN ZOTERO_ITEM CSL_CITATION{"citationID":"43kgy10zht7","schema":"https://raw.githubusercontent.com/citation-style-language/schema/master/schemas/input/csl-citation.json","properties":{"noteIndex":2,"index":1,"plainCitation":"[3], [4]"},"citationItems":[{"id":"UPWINC2F","itemData":{"id":"UPWINC2F","type":"article-journal","journalAbbreviation":"Analytical and Bioanalytical Chemistry","author":[{"family":"Breer","given":"Heinz"}],"accessed":{"date-parts":[["2026",6,1]]},"issued":{"date-parts":[["2003",10,1]]},"container-title":"Analytical and Bioanalytical Chemistry","DOI":"10.1007/s00216-003-2113-9","ISSN":"1618-2642, 1618-2650","issue":"3","page":"427-433","source":"DOI.org (Crossref)","title":"Olfactory receptors: molecular basis for recognition and discrimination of odors","title-short":"Olfactory receptors","URL":"http://link.springer.com/10.1007/s00216-003-2113-9","volume":"377","custom":{"userID":0}},"uris":["http://zotero.org/users/local/UGTkB4Ey/items/UPWINC2F"]},{"id":"X54QYVPV","itemData":{"id":"X54QYVPV","type":"article-journal","language":"en","journalAbbreviation":"Flavour &amp; Fragrance J","author":[{"family":"Tromelin","given":"Anne"}],"accessed":{"date-parts":[["2026",6,1]]},"issued":{"date-parts":[["2016",3]]},"abstract":"Abstract\n            The perception of odours is the result of the complex processing of a signal, which initiates at peripheral receptors and ends in the brain. Along this pathway, olfactory signal processing proceeds through several steps; each step possesses its own complexity, and all steps are also intricately connected. This review aims to describe the main intricate steps of olfactory processing in mammals, some of which remain unclear, and the close associations and overlapping nature of these steps. The causes of both the complexity and the variability of olfactory signals are examined: the nature of olfactory receptors, involving the diversity of the genome; the spatial organization of the olfactory epithelium (OE) and the olfactory bulb (OB); connections in the OB and from the OB to the brain; integration and processing in the brain, which leads to the final perception of odours; and odour recognition and odour identification, which is associated with the difficulty to verbalize a reliable description of the perception in humans. Finally, the last part of this review encompasses recent progress made to decipher and understand olfactory coding and focuses on computational approaches. Copyright © 2015 John Wiley &amp; Sons, Ltd.","container-title":"Flavour and Fragrance Journal","DOI":"10.1002/ffj.3295","ISSN":"0882-5734, 1099-1026","issue":"2","page":"107-119","source":"DOI.org (Crossref)","title":"Odour perception: A review of an intricate signalling pathway","title-short":"Odour perception","URL":"https://onlinelibrary.wiley.com/doi/10.1002/ffj.3295","volume":"31","custom":{"userID":0}},"uris":["http://zotero.org/users/local/UGTkB4Ey/items/X54QYVPV"]}]} </w:instrText>
      </w:r>
      <w:r>
        <w:rPr>
          <w:sz w:val="24"/>
          <w:szCs w:val="24"/>
          <w:rtl w:val="0"/>
          <w:lang w:val="pt-BR"/>
        </w:rPr>
        <w:fldChar w:fldCharType="separate"/>
      </w:r>
      <w:r>
        <w:rPr>
          <w:sz w:val="24"/>
          <w:szCs w:val="24"/>
          <w:rtl w:val="0"/>
          <w:lang w:val="pt-BR"/>
        </w:rPr>
      </w:r>
      <w:r>
        <w:rPr>
          <w:sz w:val="24"/>
          <w:szCs w:val="24"/>
          <w:rtl w:val="0"/>
          <w:lang w:val="pt-BR"/>
        </w:rPr>
        <w:t xml:space="preserve">[3], [4]</w:t>
      </w:r>
      <w:r>
        <w:rPr>
          <w:sz w:val="24"/>
          <w:szCs w:val="24"/>
          <w:rtl w:val="0"/>
          <w:lang w:val="pt-BR"/>
        </w:rPr>
        <w:fldChar w:fldCharType="end"/>
      </w:r>
      <w:r>
        <w:rPr>
          <w:sz w:val="24"/>
          <w:szCs w:val="24"/>
          <w:rtl w:val="0"/>
        </w:rPr>
        <w:t xml:space="preserve">. These receptors, which belong to the family of G-protein-coupled receptors and are located in the olfactory sensory neurons of the nasal epithelium, interact with odorants commonly found in foods, fragra</w:t>
      </w:r>
      <w:r>
        <w:rPr>
          <w:sz w:val="24"/>
          <w:szCs w:val="24"/>
          <w:rtl w:val="0"/>
        </w:rPr>
        <w:t xml:space="preserve">nces, and cosmetic products. The complexity of odor classification is therefore influenced not only by the enormous structural diversity of odorant molecules, including variations in volatility, solubility, stereochemistry, and physicochemical transport pr</w:t>
      </w:r>
      <w:r>
        <w:rPr>
          <w:sz w:val="24"/>
          <w:szCs w:val="24"/>
          <w:rtl w:val="0"/>
        </w:rPr>
        <w:t xml:space="preserve">operties, but also by the dynamic and hierarchical processing performed by the olfactory system. As a result, structurally similar compounds may evoke distinct perceptual responses, whereas chemically unrelated molecules can sometimes produce similar odor </w:t>
      </w:r>
      <w:r>
        <w:rPr>
          <w:sz w:val="24"/>
          <w:szCs w:val="24"/>
          <w:rtl w:val="0"/>
        </w:rPr>
        <w:t xml:space="preserve">impressions</w:t>
      </w:r>
      <w:r>
        <w:rPr>
          <w:sz w:val="24"/>
          <w:szCs w:val="24"/>
          <w:rtl w:val="0"/>
          <w:lang w:val="pt-BR"/>
        </w:rPr>
        <w:t xml:space="preserve"> </w:t>
      </w:r>
      <w:r>
        <w:rPr>
          <w:sz w:val="24"/>
          <w:szCs w:val="24"/>
          <w:rtl w:val="0"/>
          <w:lang w:val="pt-BR"/>
        </w:rPr>
        <w:fldChar w:fldCharType="begin"/>
        <w:instrText xml:space="preserve"> ADDIN ZOTERO_ITEM CSL_CITATION{"citationID":"d2si2nta4vf","schema":"https://raw.githubusercontent.com/citation-style-language/schema/master/schemas/input/csl-citation.json","properties":{"noteIndex":3,"index":2,"plainCitation":"[5], [6]"},"citationItems":[{"id":"NLD85CCQ","itemData":{"id":"NLD85CCQ","type":"article-journal","language":"en","journalAbbreviation":"Journal of Theoretical Biology","author":[{"family":"Polak","given":"Ernest H."}],"accessed":{"date-parts":[["2026",6,2]]},"issued":{"date-parts":[["1973",8]]},"container-title":"Journal of Theoretical Biology","DOI":"10.1016/0022-5193(73)90005-2","ISSN":"00225193","issue":"3","page":"469-484","source":"DOI.org (Crossref)","title":"Multiple profile-multiple receptor site model for vertebrate olfaction","URL":"https://linkinghub.elsevier.com/retrieve/pii/0022519373900052","volume":"40","custom":{"userID":0}},"uris":["http://zotero.org/users/14065362/items/NLD85CCQ"]},{"id":"AME3FMGZ","itemData":{"id":"AME3FMGZ","type":"article-journal","language":"en","journalAbbreviation":"Sci Rep","author":[{"family":"F.","given":"Kermen"},{"family":"A.","given":"Chakirian"},{"family":"C.","given":"Sezille"},{"family":"P.","given":"Joussain"},{"family":"G.","given":"Le Goff"},{"family":"A.","given":"Ziessel"},{"family":"M.","given":"Chastrette"},{"family":"N.","given":"Mandairon"},{"family":"A.","given":"Didier"},{"family":"C.","given":"Rouby"},{"family":"M.","given":"Bensafi"}],"accessed":{"date-parts":[["2026",6,2]]},"issued":{"date-parts":[["2011",12,22]]},"container-title":"Scientific Reports","DOI":"10.1038/srep00206","ISSN":"2045-2322","issue":"1","page":"206","source":"DOI.org (Crossref)","title":"Molecular complexity determines the number of olfactory notes and the pleasantness of smells","URL":"https://www.nature.com/articles/srep00206","volume":"1","custom":{"userID":0}},"uris":["http://zotero.org/users/14065362/items/AME3FMGZ"]}]} </w:instrText>
      </w:r>
      <w:r>
        <w:rPr>
          <w:sz w:val="24"/>
          <w:szCs w:val="24"/>
          <w:rtl w:val="0"/>
          <w:lang w:val="pt-BR"/>
        </w:rPr>
        <w:fldChar w:fldCharType="separate"/>
      </w:r>
      <w:r>
        <w:rPr>
          <w:sz w:val="24"/>
          <w:szCs w:val="24"/>
          <w:rtl w:val="0"/>
          <w:lang w:val="pt-BR"/>
        </w:rPr>
      </w:r>
      <w:r>
        <w:rPr>
          <w:sz w:val="24"/>
          <w:szCs w:val="24"/>
          <w:rtl w:val="0"/>
          <w:lang w:val="pt-BR"/>
        </w:rPr>
        <w:t xml:space="preserve">[5], [6]</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 </w:t>
      </w:r>
      <w:r>
        <w:rPr>
          <w:sz w:val="24"/>
          <w:szCs w:val="24"/>
        </w:rPr>
      </w:r>
      <w:r>
        <w:rPr>
          <w:sz w:val="24"/>
          <w:szCs w:val="24"/>
        </w:rPr>
      </w:r>
    </w:p>
    <w:p w14:paraId="00000007">
      <w:pPr>
        <w:pBdr/>
        <w:spacing w:after="240" w:before="240" w:line="360" w:lineRule="auto"/>
        <w:ind w:firstLine="720"/>
        <w:jc w:val="both"/>
        <w:rPr>
          <w:sz w:val="24"/>
          <w:szCs w:val="24"/>
          <w:vertAlign w:val="superscript"/>
        </w:rPr>
      </w:pPr>
      <w:r>
        <w:rPr>
          <w:sz w:val="24"/>
          <w:szCs w:val="24"/>
          <w:rtl w:val="0"/>
        </w:rPr>
        <w:t xml:space="preserve">Alth</w:t>
      </w:r>
      <w:r>
        <w:rPr>
          <w:sz w:val="24"/>
          <w:szCs w:val="24"/>
          <w:rtl w:val="0"/>
        </w:rPr>
        <w:t xml:space="preserve">ough advances in functional expression systems have improved the large-scale screening of odorant–receptor interactions, experimentally investigating all possible combinations remains costly, labor-intensive, and a major challenge in olfactory research. Re</w:t>
      </w:r>
      <w:r>
        <w:rPr>
          <w:sz w:val="24"/>
          <w:szCs w:val="24"/>
          <w:rtl w:val="0"/>
        </w:rPr>
        <w:t xml:space="preserve">cent advances have begun to address these challenges. In vitro models with 3D olfactory organoids now allow dissection of neuronal regeneration, stem cell dynamics, and receptor expression in environments that recapitulate aspects of the in vivo olfactory </w:t>
      </w:r>
      <w:r>
        <w:rPr>
          <w:sz w:val="24"/>
          <w:szCs w:val="24"/>
          <w:rtl w:val="0"/>
        </w:rPr>
        <w:t xml:space="preserve">epithelium</w:t>
      </w:r>
      <w:r>
        <w:rPr>
          <w:sz w:val="24"/>
          <w:szCs w:val="24"/>
          <w:rtl w:val="0"/>
          <w:lang w:val="pt-BR"/>
        </w:rPr>
        <w:t xml:space="preserve"> </w:t>
      </w:r>
      <w:r>
        <w:rPr>
          <w:sz w:val="24"/>
          <w:szCs w:val="24"/>
          <w:rtl w:val="0"/>
          <w:lang w:val="pt-BR"/>
        </w:rPr>
      </w:r>
      <w:r>
        <w:rPr>
          <w:sz w:val="24"/>
          <w:szCs w:val="24"/>
          <w:rtl w:val="0"/>
          <w:lang w:val="pt-BR"/>
        </w:rPr>
        <w:fldChar w:fldCharType="begin"/>
        <w:instrText xml:space="preserve"> ADDIN ZOTERO_ITEM CSL_CITATION{"citationID":"e7kaoopvc6r","schema":"https://raw.githubusercontent.com/citation-style-language/schema/master/schemas/input/csl-citation.json","properties":{"noteIndex":4,"index":3,"plainCitation":"[7]"},"citationItems":[{"id":"H48KGZVQ","itemData":{"id":"H48KGZVQ","type":"article-journal","language":"en","journalAbbreviation":"Cell Reports Methods","author":[{"family":"Gameiro","given":"Juliana Gutschow"},{"family":"Hintschich","given":"Constantin A."},{"family":"Dekeyser","given":"Agnès"},{"family":"Hox","given":"Valérie"},{"family":"Schwob","given":"James E."},{"family":"Holbrook","given":"Eric H."},{"family":"Fornazieri","given":"Marco Aurélio"},{"family":"Lin","given":"Brian"}],"accessed":{"date-parts":[["2026",6,2]]},"issued":{"date-parts":[["2025",6]]},"container-title":"Cell Reports Methods","DOI":"10.1016/j.crmeth.2025.101055","ISSN":"26672375","issue":"6","page":"101055","source":"DOI.org (Crossref)","title":"Quiescent horizontal basal stem cells act as a niche for olfactory neurogenesis in a mouse 3D organoid model","URL":"https://linkinghub.elsevier.com/retrieve/pii/S2667237525000918","volume":"5","custom":{"userID":0}},"uris":["http://zotero.org/users/14065362/items/H48KGZVQ"]}]} </w:instrText>
      </w:r>
      <w:r>
        <w:rPr>
          <w:sz w:val="24"/>
          <w:szCs w:val="24"/>
          <w:rtl w:val="0"/>
          <w:lang w:val="pt-BR"/>
        </w:rPr>
        <w:fldChar w:fldCharType="separate"/>
      </w:r>
      <w:r>
        <w:rPr>
          <w:sz w:val="24"/>
          <w:szCs w:val="24"/>
          <w:rtl w:val="0"/>
          <w:lang w:val="pt-BR"/>
        </w:rPr>
      </w:r>
      <w:r>
        <w:rPr>
          <w:sz w:val="24"/>
          <w:szCs w:val="24"/>
          <w:rtl w:val="0"/>
          <w:lang w:val="pt-BR"/>
        </w:rPr>
        <w:t xml:space="preserve">[7]</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 Simultaneously, recent transport feature models estimate approximately 40 billion potentially odorous compounds, vastly expanding previous estimates and highlighting the immense chemical space </w:t>
      </w:r>
      <w:r>
        <w:rPr>
          <w:sz w:val="24"/>
          <w:szCs w:val="24"/>
          <w:rtl w:val="0"/>
        </w:rPr>
        <w:t xml:space="preserve">involved</w:t>
      </w:r>
      <w:r>
        <w:rPr>
          <w:sz w:val="24"/>
          <w:szCs w:val="24"/>
          <w:rtl w:val="0"/>
        </w:rPr>
        <w:t xml:space="preserve">.</w:t>
      </w:r>
      <w:r>
        <w:rPr>
          <w:sz w:val="24"/>
          <w:szCs w:val="24"/>
          <w:vertAlign w:val="superscript"/>
        </w:rPr>
      </w:r>
      <w:r>
        <w:rPr>
          <w:sz w:val="24"/>
          <w:szCs w:val="24"/>
          <w:vertAlign w:val="superscript"/>
        </w:rPr>
      </w:r>
    </w:p>
    <w:p w14:paraId="00000008">
      <w:pPr>
        <w:pBdr/>
        <w:spacing w:after="240" w:before="240" w:line="360" w:lineRule="auto"/>
        <w:ind w:firstLine="720"/>
        <w:jc w:val="both"/>
        <w:rPr>
          <w:sz w:val="24"/>
          <w:szCs w:val="24"/>
        </w:rPr>
      </w:pPr>
      <w:r>
        <w:rPr>
          <w:sz w:val="24"/>
          <w:szCs w:val="24"/>
          <w:rtl w:val="0"/>
        </w:rPr>
        <w:t xml:space="preserve">From a computational perspective, one of the earliest systematic summaries of Structure–Odor Relationships (SOR) was published as a book chapter, compiling initial evidence that molecular structure could be correlated with olfactory </w:t>
      </w:r>
      <w:r>
        <w:rPr>
          <w:sz w:val="24"/>
          <w:szCs w:val="24"/>
          <w:rtl w:val="0"/>
        </w:rPr>
        <w:t xml:space="preserve">perception</w:t>
      </w:r>
      <w:r>
        <w:rPr>
          <w:sz w:val="24"/>
          <w:szCs w:val="24"/>
          <w:rtl w:val="0"/>
          <w:lang w:val="pt-BR"/>
        </w:rPr>
        <w:t xml:space="preserve"> </w:t>
      </w:r>
      <w:r>
        <w:rPr>
          <w:sz w:val="24"/>
          <w:szCs w:val="24"/>
          <w:rtl w:val="0"/>
          <w:lang w:val="pt-BR"/>
        </w:rPr>
        <w:fldChar w:fldCharType="begin"/>
        <w:instrText xml:space="preserve"> ADDIN ZOTERO_ITEM CSL_CITATION{"citationID":"u324p8arxc","schema":"https://raw.githubusercontent.com/citation-style-language/schema/master/schemas/input/csl-citation.json","properties":{"noteIndex":5,"index":4,"plainCitation":"[8]"},"citationItems":[{"id":"MSCSSBP6","itemData":{"id":"MSCSSBP6","type":"chapter","language":"en","author":[{"family":"Beets","given":"M. G. J."}],"container-author":[{"family":"Amoore","given":"J. E."},{"family":"Beets","given":"M. G. J."},{"family":"Davies","given":"J. T."},{"family":"Engen","given":"T."},{"family":"Garcia","given":"J."},{"family":"Gesteland","given":"R. C."},{"family":"Graziadei","given":"P. P. C."},{"family":"Kaissling","given":"K.-E."},{"family":"Koelling","given":"R. A."},{"family":"LeMagnen","given":"J."},{"family":"MacLeod","given":"P."},{"family":"Moulton","given":"D. G."},{"family":"Mozell","given":"M. M."},{"family":"Ottoson","given":"D."},{"family":"Parsons","given":"T. S."},{"family":"Takagi","given":"S. F."},{"family":"Tucker","given":"D."},{"family":"Wenzel","given":"B. M."}],"editor":[{"family":"Beidler","given":"Lloyd M."}],"accessed":{"date-parts":[["2026",6,1]]},"issued":{"date-parts":[["1971"]]},"container-title":"Olfaction","DOI":"10.1007/978-3-642-65126-7_12","ISBN":"978-3-642-65128-1","note":"collection-title: Handbook of Sensory Physiology","page":"257-321","publisher":"Springer Berlin Heidelberg","publisher-place":"Berlin, Heidelberg","source":"DOI.org (Crossref)","title":"Olfactory Response and Molecular Structure","URL":"http://link.springer.com/10.1007/978-3-642-65126-7_12","volume":"4 / 1","custom":{"userID":0}},"uris":["http://zotero.org/users/local/UGTkB4Ey/items/MSCSSBP6"]}]} </w:instrText>
      </w:r>
      <w:r>
        <w:rPr>
          <w:sz w:val="24"/>
          <w:szCs w:val="24"/>
          <w:rtl w:val="0"/>
          <w:lang w:val="pt-BR"/>
        </w:rPr>
        <w:fldChar w:fldCharType="separate"/>
      </w:r>
      <w:r>
        <w:rPr>
          <w:sz w:val="24"/>
          <w:szCs w:val="24"/>
          <w:rtl w:val="0"/>
          <w:lang w:val="pt-BR"/>
        </w:rPr>
      </w:r>
      <w:r>
        <w:rPr>
          <w:sz w:val="24"/>
          <w:szCs w:val="24"/>
          <w:rtl w:val="0"/>
          <w:lang w:val="pt-BR"/>
        </w:rPr>
        <w:t xml:space="preserve">[8]</w:t>
      </w:r>
      <w:r>
        <w:rPr>
          <w:sz w:val="24"/>
          <w:szCs w:val="24"/>
          <w:rtl w:val="0"/>
          <w:lang w:val="pt-BR"/>
        </w:rPr>
        <w:fldChar w:fldCharType="end"/>
      </w:r>
      <w:r>
        <w:rPr>
          <w:sz w:val="24"/>
          <w:szCs w:val="24"/>
          <w:rtl w:val="0"/>
        </w:rPr>
        <w:t xml:space="preserve">. Starting in the 2</w:t>
      </w:r>
      <w:r>
        <w:rPr>
          <w:sz w:val="24"/>
          <w:szCs w:val="24"/>
          <w:rtl w:val="0"/>
        </w:rPr>
        <w:t xml:space="preserve">000s, QSOR (Quantitative Structure–Odor Relationship) models began to formalize statistical relationships between molecular descriptors and odor properties, yet often suffered from limited chemical diversity, coarse perceptual labels, and interpretability </w:t>
      </w:r>
      <w:r>
        <w:rPr>
          <w:sz w:val="24"/>
          <w:szCs w:val="24"/>
          <w:rtl w:val="0"/>
        </w:rPr>
        <w:t xml:space="preserve">constraints</w:t>
      </w:r>
      <w:r>
        <w:rPr>
          <w:sz w:val="24"/>
          <w:szCs w:val="24"/>
          <w:rtl w:val="0"/>
          <w:lang w:val="pt-BR"/>
        </w:rPr>
        <w:t xml:space="preserve"> </w:t>
      </w:r>
      <w:r>
        <w:rPr>
          <w:sz w:val="24"/>
          <w:szCs w:val="24"/>
          <w:rtl w:val="0"/>
          <w:lang w:val="pt-BR"/>
        </w:rPr>
      </w:r>
      <w:r>
        <w:rPr>
          <w:sz w:val="24"/>
          <w:szCs w:val="24"/>
          <w:rtl w:val="0"/>
          <w:lang w:val="pt-BR"/>
        </w:rPr>
        <w:fldChar w:fldCharType="begin"/>
        <w:instrText xml:space="preserve"> ADDIN ZOTERO_ITEM CSL_CITATION{"citationID":"1579q9iylit","schema":"https://raw.githubusercontent.com/citation-style-language/schema/master/schemas/input/csl-citation.json","properties":{"noteIndex":6,"index":5,"plainCitation":"[9]"},"citationItems":[{"id":"T5GXGMPT","itemData":{"id":"T5GXGMPT","type":"article-journal","language":"en","journalAbbreviation":"J. Agric. Food Chem.","author":[{"family":"De Mello Castanho Amboni","given":"Renata D."},{"family":"Da Silva Junkes","given":"Berenice"},{"family":"Yunes","given":"Rosendo Augusto"},{"family":"Heinzen","given":"Vilma Edite Fonseca"}],"accessed":{"date-parts":[["2026",6,2]]},"issued":{"date-parts":[["2000",8,1]]},"container-title":"Journal of Agricultural and Food Chemistry","DOI":"10.1021/jf991039u","ISSN":"0021-8561, 1520-5118","issue":"8","page":"3517-3521","source":"DOI.org (Crossref)","title":"Quantitative Structure−Odor Relationships of Aliphatic Esters Using Topological Indices","URL":"https://pubs.acs.org/doi/10.1021/jf991039u","volume":"48","custom":{"userID":0}},"uris":["http://zotero.org/users/14065362/items/T5GXGMPT"]}]} </w:instrText>
      </w:r>
      <w:r>
        <w:rPr>
          <w:sz w:val="24"/>
          <w:szCs w:val="24"/>
          <w:rtl w:val="0"/>
          <w:lang w:val="pt-BR"/>
        </w:rPr>
        <w:fldChar w:fldCharType="separate"/>
      </w:r>
      <w:r>
        <w:rPr>
          <w:sz w:val="24"/>
          <w:szCs w:val="24"/>
          <w:rtl w:val="0"/>
          <w:lang w:val="pt-BR"/>
        </w:rPr>
      </w:r>
      <w:r>
        <w:rPr>
          <w:sz w:val="24"/>
          <w:szCs w:val="24"/>
          <w:rtl w:val="0"/>
          <w:lang w:val="pt-BR"/>
        </w:rPr>
        <w:t xml:space="preserve">[9]</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w:t>
      </w:r>
      <w:r>
        <w:rPr>
          <w:sz w:val="24"/>
          <w:szCs w:val="24"/>
        </w:rPr>
      </w:r>
      <w:r>
        <w:rPr>
          <w:sz w:val="24"/>
          <w:szCs w:val="24"/>
        </w:rPr>
      </w:r>
    </w:p>
    <w:p w14:paraId="00000009">
      <w:pPr>
        <w:pBdr/>
        <w:spacing w:after="240" w:before="240" w:line="360" w:lineRule="auto"/>
        <w:ind/>
        <w:jc w:val="both"/>
        <w:rPr>
          <w:sz w:val="24"/>
          <w:szCs w:val="24"/>
        </w:rPr>
      </w:pPr>
      <w:r>
        <w:rPr>
          <w:sz w:val="24"/>
          <w:szCs w:val="24"/>
          <w:rtl w:val="0"/>
        </w:rPr>
        <w:t xml:space="preserve">More recently, machine learning (ML) has revolutionized the field. Unified frameworks for predicting odor perception from molecular structure have achieved human-level reliability and enabled effective odor </w:t>
      </w:r>
      <w:r>
        <w:rPr>
          <w:sz w:val="24"/>
          <w:szCs w:val="24"/>
          <w:rtl w:val="0"/>
        </w:rPr>
        <w:t xml:space="preserve">digitization</w:t>
      </w:r>
      <w:r>
        <w:rPr>
          <w:sz w:val="24"/>
          <w:szCs w:val="24"/>
          <w:rtl w:val="0"/>
          <w:lang w:val="pt-BR"/>
        </w:rPr>
        <w:t xml:space="preserve"> </w:t>
      </w:r>
      <w:r>
        <w:rPr>
          <w:sz w:val="24"/>
          <w:szCs w:val="24"/>
          <w:rtl w:val="0"/>
          <w:lang w:val="pt-BR"/>
        </w:rPr>
      </w:r>
      <w:r>
        <w:rPr>
          <w:sz w:val="24"/>
          <w:szCs w:val="24"/>
          <w:rtl w:val="0"/>
          <w:lang w:val="pt-BR"/>
        </w:rPr>
      </w:r>
      <w:r>
        <w:rPr>
          <w:sz w:val="24"/>
          <w:szCs w:val="24"/>
          <w:rtl w:val="0"/>
          <w:lang w:val="pt-BR"/>
        </w:rPr>
        <w:fldChar w:fldCharType="begin"/>
        <w:instrText xml:space="preserve"> ADDIN ZOTERO_ITEM CSL_CITATION{"citationID":"qenn7nz2ew","schema":"https://raw.githubusercontent.com/citation-style-language/schema/master/schemas/input/csl-citation.json","properties":{"noteIndex":7,"index":6,"plainCitation":"[10]"},"citationItems":[{"id":"52EDPMAK","itemData":{"id":"52EDPMAK","type":"article-journal","language":"en","journalAbbreviation":"Science","author":[{"family":"Lee","given":"Brian K."},{"family":"Mayhew","given":"Emily J."},{"family":"Sanchez-Lengeling","given":"Benjamin"},{"family":"Wei","given":"Jennifer N."},{"family":"Qian","given":"Wesley W."},{"family":"Little","given":"Kelsie A."},{"family":"Andres","given":"Matthew"},{"family":"Nguyen","given":"Britney B."},{"family":"Moloy","given":"Theresa"},{"family":"Yasonik","given":"Jacob"},{"family":"Parker","given":"Jane K."},{"family":"Gerkin","given":"Richard C."},{"family":"Mainland","given":"Joel D."},{"family":"Wiltschko","given":"Alexander B."}],"accessed":{"date-parts":[["2025",11,28]]},"issued":{"date-parts":[["2023",9]]},"abstract":"Mapping molecular structure to odor perception is a key challenge in olfaction. We used graph neural networks to generate a principal odor map (POM) that preserves perceptual relationships and enables odor quality prediction for previously uncharacterized odorants. The model was as reliable as a human in describing odor quality: On a prospective validation set of 400 out-of-sample odorants, the model-generated odor profile more closely matched the trained panel mean than did the median panelist. By applying simple, interpretable, theoretically rooted transformations, the POM outperformed chemoinformatic models on several other odor prediction tasks, indicating that the POM successfully encoded a generalized map of structure-odor relationships. This approach broadly enables odor prediction and paves the way toward digitizing odors.\n          , \n            Editor’s summary\n            \n              For vision and hearing, there are well-developed maps that relate physical properties such as frequency and wavelength to perceptual properties such as pitch and color. The sense of olfaction does not yet have such a map. Using a graph neural network, Lee\n              et al\n              . developed a principal odor map (POM) that faithfully represents known perceptual hierarchies and distances. This map outperforms previously published models to the point that replacing a trained human’s responses with the model output would improve overall panel description. The POM coordinates were able to predict odor intensity and perceptual similarity, even though these perceptual features were not explicitly part of the model training. These results were used to build a variety of olfactory predictions that outperformed previous feature sets even without fine-tuning. —Peter Stern\n            \n          , \n            An odor map achieved human-level odor description performance and generalized to diverse odor-prediction tasks.","container-title":"Science","DOI":"10.1126/science.ade4401","ISSN":"0036-8075, 1095-9203","issue":"6661","page":"999-1006","source":"DOI.org (Crossref)","title":"A principal odor map unifies diverse tasks in olfactory perception","URL":"https://www.science.org/doi/10.1126/science.ade4401","volume":"381","custom":{"userID":0}},"label":"page","uris":["http://zotero.org/users/14065362/items/52EDPMAK"]}]} </w:instrText>
      </w:r>
      <w:r>
        <w:rPr>
          <w:sz w:val="24"/>
          <w:szCs w:val="24"/>
          <w:rtl w:val="0"/>
          <w:lang w:val="pt-BR"/>
        </w:rPr>
        <w:fldChar w:fldCharType="separate"/>
      </w:r>
      <w:r>
        <w:rPr>
          <w:sz w:val="24"/>
          <w:szCs w:val="24"/>
          <w:rtl w:val="0"/>
          <w:lang w:val="pt-BR"/>
        </w:rPr>
      </w:r>
      <w:r>
        <w:rPr>
          <w:sz w:val="24"/>
          <w:szCs w:val="24"/>
          <w:rtl w:val="0"/>
          <w:lang w:val="pt-BR"/>
        </w:rPr>
        <w:t xml:space="preserve">[10]</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t xml:space="preserve">.</w:t>
      </w:r>
      <w:r>
        <w:rPr>
          <w:sz w:val="24"/>
          <w:szCs w:val="24"/>
          <w:rtl w:val="0"/>
        </w:rPr>
        <w:t xml:space="preserve"> Further advances improved predictive performance through the use of deep neural networks and transformer-based </w:t>
      </w:r>
      <w:r>
        <w:rPr>
          <w:sz w:val="24"/>
          <w:szCs w:val="24"/>
          <w:rtl w:val="0"/>
        </w:rPr>
        <w:t xml:space="preserve">architectures</w:t>
      </w:r>
      <w:r>
        <w:rPr>
          <w:sz w:val="24"/>
          <w:szCs w:val="24"/>
          <w:rtl w:val="0"/>
          <w:lang w:val="pt-BR"/>
        </w:rPr>
        <w:t xml:space="preserve"> </w:t>
      </w:r>
      <w:r>
        <w:rPr>
          <w:sz w:val="24"/>
          <w:szCs w:val="24"/>
          <w:rtl w:val="0"/>
        </w:rPr>
      </w:r>
      <w:r>
        <w:rPr>
          <w:sz w:val="24"/>
          <w:szCs w:val="24"/>
          <w:rtl w:val="0"/>
        </w:rPr>
        <w:fldChar w:fldCharType="begin"/>
        <w:instrText xml:space="preserve"> ADDIN ZOTERO_ITEM CSL_CITATION{"citationID":"1p2qg8vdgsu","schema":"https://raw.githubusercontent.com/citation-style-language/schema/master/schemas/input/csl-citation.json","properties":{"noteIndex":8,"index":7,"plainCitation":"[11]"},"citationItems":[{"id":"M67GB9T7","itemData":{"id":"M67GB9T7","type":"article-journal","language":"en","journalAbbreviation":"J. Chem. Inf. Model.","author":[{"family":"Sharma","given":"Anju"},{"family":"Kumar","given":"Rajnish"},{"family":"Ranjta","given":"Shabnam"},{"family":"Varadwaj","given":"Pritish Kumar"}],"accessed":{"date-parts":[["2026",6,2]]},"issued":{"date-parts":[["2021",2,22]]},"container-title":"Journal of Chemical Information and Modeling","DOI":"10.1021/acs.jcim.0c01288","ISSN":"1549-9596, 1549-960X","issue":"2","page":"676-688","source":"DOI.org (Crossref)","title":"SMILES to Smell: Decoding the Structure–Odor Relationship of Chemical Compounds Using the Deep Neural Network Approach","title-short":"SMILES to Smell","URL":"https://pubs.acs.org/doi/10.1021/acs.jcim.0c01288","volume":"61","custom":{"userID":0}},"uris":["http://zotero.org/users/14065362/items/M67GB9T7"]}]} </w:instrText>
      </w:r>
      <w:r>
        <w:rPr>
          <w:sz w:val="24"/>
          <w:szCs w:val="24"/>
          <w:rtl w:val="0"/>
        </w:rPr>
        <w:fldChar w:fldCharType="separate"/>
      </w:r>
      <w:r>
        <w:rPr>
          <w:sz w:val="24"/>
          <w:szCs w:val="24"/>
          <w:rtl w:val="0"/>
        </w:rPr>
      </w:r>
      <w:r>
        <w:rPr>
          <w:sz w:val="24"/>
          <w:szCs w:val="24"/>
          <w:rtl w:val="0"/>
        </w:rPr>
        <w:t xml:space="preserve">[11]</w:t>
      </w:r>
      <w:r>
        <w:rPr>
          <w:sz w:val="24"/>
          <w:szCs w:val="24"/>
          <w:rtl w:val="0"/>
        </w:rPr>
        <w:fldChar w:fldCharType="end"/>
      </w:r>
      <w:r>
        <w:rPr>
          <w:sz w:val="24"/>
          <w:szCs w:val="24"/>
          <w:rtl w:val="0"/>
        </w:rPr>
      </w:r>
      <w:r>
        <w:rPr>
          <w:sz w:val="24"/>
          <w:szCs w:val="24"/>
          <w:rtl w:val="0"/>
        </w:rPr>
      </w:r>
      <w:r>
        <w:rPr>
          <w:sz w:val="24"/>
          <w:szCs w:val="24"/>
          <w:rtl w:val="0"/>
        </w:rPr>
      </w:r>
      <w:r>
        <w:rPr>
          <w:sz w:val="24"/>
          <w:szCs w:val="24"/>
          <w:rtl w:val="0"/>
        </w:rPr>
      </w:r>
      <w:r>
        <w:rPr>
          <w:sz w:val="24"/>
          <w:szCs w:val="24"/>
          <w:rtl w:val="0"/>
        </w:rPr>
        <w:t xml:space="preserve">. Landmark efforts</w:t>
      </w:r>
      <w:r>
        <w:rPr>
          <w:sz w:val="24"/>
          <w:szCs w:val="24"/>
          <w:rtl w:val="0"/>
        </w:rPr>
        <w:t xml:space="preserve"> such as the DREAM Olfaction Prediction Challenge demonstrated that machine-learning approaches, particularly random forests and regularized linear models, can predict odor intensity, pleasantness, and qualitative descriptors directly from chemoinformatic </w:t>
      </w:r>
      <w:r>
        <w:rPr>
          <w:sz w:val="24"/>
          <w:szCs w:val="24"/>
          <w:rtl w:val="0"/>
        </w:rPr>
        <w:t xml:space="preserve">features</w:t>
      </w:r>
      <w:r>
        <w:rPr>
          <w:sz w:val="24"/>
          <w:szCs w:val="24"/>
          <w:rtl w:val="0"/>
          <w:lang w:val="pt-BR"/>
        </w:rPr>
        <w:t xml:space="preserve"> </w:t>
      </w:r>
      <w:r>
        <w:rPr>
          <w:sz w:val="24"/>
          <w:szCs w:val="24"/>
          <w:rtl w:val="0"/>
        </w:rPr>
      </w:r>
      <w:r>
        <w:rPr>
          <w:sz w:val="24"/>
          <w:szCs w:val="24"/>
          <w:rtl w:val="0"/>
        </w:rPr>
        <w:fldChar w:fldCharType="begin"/>
        <w:instrText xml:space="preserve"> ADDIN ZOTERO_ITEM CSL_CITATION{"citationID":"f2zdarbyz3c","schema":"https://raw.githubusercontent.com/citation-style-language/schema/master/schemas/input/csl-citation.json","properties":{"noteIndex":9,"index":8,"plainCitation":"[12], [13]"},"citationItems":[{"id":"HX3FP5CQ","itemData":{"id":"HX3FP5CQ","type":"article-journal","language":"en","journalAbbreviation":"Science","author":[{"family":"Keller","given":"Andreas"},{"family":"Gerkin","given":"Richard C."},{"family":"Guan","given":"Yuanfang"},{"family":"Dhurandhar","given":"Amit"},{"family":"Turu","given":"Gabor"},{"family":"Szalai","given":"Bence"},{"family":"Mainland","given":"Joel D."},{"family":"Ihara","given":"Yusuke"},{"family":"Yu","given":"Chung Wen"},{"family":"Wolfinger","given":"Russ"},{"family":"Vens","given":"Celine"},{"family":"Schietgat","given":"Leander"},{"family":"De Grave","given":"Kurt"},{"family":"Norel","given":"Raquel"},{"literal":"DREAM Olfaction Prediction Consortium"},{"family":"Stolovitzky","given":"Gustavo"},{"family":"Cecchi","given":"Guillermo A."},{"family":"Vosshall","given":"Leslie B."},{"family":"Meyer","given":"Pablo"}],"accessed":{"date-parts":[["2026",6,2]]},"issued":{"date-parts":[["2017",2,24]]},"abstract":"How will this molecule smell?\n            \n              We still do not understand what a given substance will smell like. Keller\n              et al.\n              launched an international crowd-sourced competition in which many teams tried to solve how the smell of a molecule will be perceived by humans. The teams were given access to a database of responses from subjects who had sniffed a large number of molecules and been asked to rate each smell across a range of different qualities. The teams were also given a comprehensive list of the physical and chemical features of the molecules smelled. The teams produced algorithms to predict the correspondence between the quality of each smell and a given molecule. The best models that emerged from this challenge could accurately predict how a new molecule would smell.\n            \n            \n              Science\n              , this issue p.\n              820\n            \n          , \n            Results of a crowdsourcing competition show that it is possible to accurately predict and reverse-engineer the smell of a molecule.\n          , \n            It is still not possible to predict whether a given molecule will have a perceived odor or what olfactory percept it will produce. We therefore organized the crowd-sourced DREAM Olfaction Prediction Challenge. Using a large olfactory psychophysical data set, teams developed machine-learning algorithms to predict sensory attributes of molecules based on their chemoinformatic features. The resulting models accurately predicted odor intensity and pleasantness and also successfully predicted 8 among 19 rated semantic descriptors (“garlic,” “fish,” “sweet,” “fruit,” “burnt,” “spices,” “flower,” and “sour”). Regularized linear models performed nearly as well as random forest–based ones, with a predictive accuracy that closely approaches a key theoretical limit. These models help to predict the perceptual qualities of virtually any molecule with high accuracy and also reverse-engineer the smell of a molecule.","container-title":"Science","DOI":"10.1126/science.aal2014","ISSN":"0036-8075, 1095-9203","issue":"6327","page":"820-826","source":"DOI.org (Crossref)","title":"Predicting human olfactory perception from chemical features of odor molecules","URL":"https://www.science.org/doi/10.1126/science.aal2014","volume":"355","custom":{"userID":0}},"uris":["http://zotero.org/users/14065362/items/HX3FP5CQ"]},{"id":"IPLVRYQR","itemData":{"id":"IPLVRYQR","type":"article-journal","language":"en","journalAbbreviation":"Nature","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M."}],"accessed":{"date-parts":[["2026",6,2]]},"issued":{"date-parts":[["2024",6,13]]},"abstract":"Abstract\n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1476-4687","issue":"8016","page":"493-500","source":"DOI.org (Crossref)","title":"Accurate structure prediction of biomolecular interactions with AlphaFold 3","URL":"https://www.nature.com/articles/s41586-024-07487-w","volume":"630","custom":{"userID":0}},"uris":["http://zotero.org/users/14065362/items/IPLVRYQR"]}]} </w:instrText>
      </w:r>
      <w:r>
        <w:rPr>
          <w:sz w:val="24"/>
          <w:szCs w:val="24"/>
          <w:rtl w:val="0"/>
        </w:rPr>
        <w:fldChar w:fldCharType="separate"/>
      </w:r>
      <w:r>
        <w:rPr>
          <w:sz w:val="24"/>
          <w:szCs w:val="24"/>
          <w:rtl w:val="0"/>
        </w:rPr>
      </w:r>
      <w:r>
        <w:rPr>
          <w:sz w:val="24"/>
          <w:szCs w:val="24"/>
          <w:rtl w:val="0"/>
        </w:rPr>
        <w:t xml:space="preserve">[12], [13]</w:t>
      </w:r>
      <w:r>
        <w:rPr>
          <w:sz w:val="24"/>
          <w:szCs w:val="24"/>
          <w:rtl w:val="0"/>
        </w:rPr>
        <w:fldChar w:fldCharType="end"/>
      </w:r>
      <w:r>
        <w:rPr>
          <w:sz w:val="24"/>
          <w:szCs w:val="24"/>
          <w:rtl w:val="0"/>
        </w:rPr>
      </w:r>
      <w:r>
        <w:rPr>
          <w:sz w:val="24"/>
          <w:szCs w:val="24"/>
          <w:rtl w:val="0"/>
        </w:rPr>
      </w:r>
      <w:r>
        <w:rPr>
          <w:sz w:val="24"/>
          <w:szCs w:val="24"/>
          <w:rtl w:val="0"/>
        </w:rPr>
      </w:r>
      <w:r>
        <w:rPr>
          <w:sz w:val="24"/>
          <w:szCs w:val="24"/>
          <w:rtl w:val="0"/>
        </w:rPr>
      </w:r>
      <w:r>
        <w:rPr>
          <w:sz w:val="24"/>
          <w:szCs w:val="24"/>
          <w:rtl w:val="0"/>
        </w:rPr>
        <w:t xml:space="preserve">. Building on this foundation, later studies introduced feature-selected models trained on both classical and modern datasets, improving cross-study consistency and expanding the chemical space of predicted </w:t>
      </w:r>
      <w:r>
        <w:rPr>
          <w:sz w:val="24"/>
          <w:szCs w:val="24"/>
          <w:rtl w:val="0"/>
        </w:rPr>
        <w:t xml:space="preserve">percepts</w:t>
      </w:r>
      <w:r>
        <w:rPr>
          <w:sz w:val="24"/>
          <w:szCs w:val="24"/>
          <w:rtl w:val="0"/>
          <w:lang w:val="pt-BR"/>
        </w:rPr>
        <w:t xml:space="preserve"> </w:t>
      </w:r>
      <w:r>
        <w:rPr>
          <w:sz w:val="24"/>
          <w:szCs w:val="24"/>
          <w:rtl w:val="0"/>
          <w:lang w:val="pt-BR"/>
        </w:rPr>
      </w:r>
      <w:r>
        <w:rPr>
          <w:sz w:val="24"/>
          <w:szCs w:val="24"/>
          <w:rtl w:val="0"/>
          <w:lang w:val="pt-BR"/>
        </w:rPr>
        <w:fldChar w:fldCharType="begin"/>
        <w:instrText xml:space="preserve"> ADDIN ZOTERO_ITEM CSL_CITATION{"citationID":"liv5at90kr","schema":"https://raw.githubusercontent.com/citation-style-language/schema/master/schemas/input/csl-citation.json","properties":{"noteIndex":10,"index":9,"plainCitation":"[14]"},"citationItems":[{"id":"RWXPXR3G","itemData":{"id":"RWXPXR3G","type":"article-journal","language":"en","author":[{"family":"Kowalewski","given":"Joel"},{"family":"Huynh","given":"Brandon"},{"family":"Ray","given":"Anandasankar"}],"accessed":{"date-parts":[["2026",6,2]]},"issued":{"date-parts":[["2021",1,1]]},"abstract":"Abstract\n            The fundamental units of olfactory perception are discrete 3D structures of volatile chemicals that each interact with specific subsets of a very large family of hundreds of odorant receptor proteins, in turn activating complex neural circuitry and posing a challenge to understand. We have applied computational approaches to analyze olfactory perceptual space from the perspective of odorant chemical features. We identify physicochemical features associated with ~150 different perceptual descriptors and develop machine-learning models. Validation of predictions shows a high success rate for test set chemicals within a study, as well as across studies more than 30 years apart in time. Due to the high success rates, we are able to map ~150 percepts onto a chemical space of nearly 0.5 million compounds, predicting numerous percept–structure combinations. The chemical structure-to-percept prediction provides a system-level view of human olfaction and opens the door for comprehensive computational discovery of fragrances and flavors.","container-title":"Chemical Senses","DOI":"10.1093/chemse/bjab007","ISSN":"0379-864X, 1464-3553","page":"bjab007","source":"DOI.org (Crossref)","title":"A System-Wide Understanding of the Human Olfactory Percept Chemical Space","URL":"https://academic.oup.com/chemse/article/doi/10.1093/chemse/bjab007/6153471","volume":"46","custom":{"userID":0}},"uris":["http://zotero.org/users/14065362/items/RWXPXR3G"]}]} </w:instrText>
      </w:r>
      <w:r>
        <w:rPr>
          <w:sz w:val="24"/>
          <w:szCs w:val="24"/>
          <w:rtl w:val="0"/>
          <w:lang w:val="pt-BR"/>
        </w:rPr>
        <w:fldChar w:fldCharType="separate"/>
      </w:r>
      <w:r>
        <w:rPr>
          <w:sz w:val="24"/>
          <w:szCs w:val="24"/>
          <w:rtl w:val="0"/>
          <w:lang w:val="pt-BR"/>
        </w:rPr>
      </w:r>
      <w:r>
        <w:rPr>
          <w:sz w:val="24"/>
          <w:szCs w:val="24"/>
          <w:rtl w:val="0"/>
          <w:lang w:val="pt-BR"/>
        </w:rPr>
        <w:t xml:space="preserve">[14]</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w:t>
      </w:r>
      <w:r>
        <w:rPr>
          <w:sz w:val="24"/>
          <w:szCs w:val="24"/>
        </w:rPr>
      </w:r>
      <w:r>
        <w:rPr>
          <w:sz w:val="24"/>
          <w:szCs w:val="24"/>
        </w:rPr>
      </w:r>
    </w:p>
    <w:p w14:paraId="0000000A">
      <w:pPr>
        <w:pBdr/>
        <w:spacing w:after="240" w:before="240" w:line="360" w:lineRule="auto"/>
        <w:ind w:firstLine="720"/>
        <w:jc w:val="both"/>
        <w:rPr>
          <w:sz w:val="24"/>
          <w:szCs w:val="24"/>
        </w:rPr>
      </w:pPr>
      <w:r>
        <w:rPr>
          <w:sz w:val="24"/>
          <w:szCs w:val="24"/>
          <w:rtl w:val="0"/>
        </w:rPr>
        <w:t xml:space="preserve">Subsequent QSOR frameworks have focused on improving interpretability and scalability.</w:t>
      </w:r>
      <w:r>
        <w:rPr>
          <w:sz w:val="24"/>
          <w:szCs w:val="24"/>
          <w:rtl w:val="0"/>
        </w:rPr>
        <w:t xml:space="preserve"> Saini and Ramanathan proposed a multi-label approach that accounts for correlations among odor descriptors, while Schicker and co-workers introduced OWSum, a transparent linear model that connects molecular fragments to odor impressions using conditional </w:t>
      </w:r>
      <w:r>
        <w:rPr>
          <w:sz w:val="24"/>
          <w:szCs w:val="24"/>
          <w:rtl w:val="0"/>
        </w:rPr>
        <w:t xml:space="preserve">probabilities</w:t>
      </w:r>
      <w:r>
        <w:rPr>
          <w:sz w:val="24"/>
          <w:szCs w:val="24"/>
          <w:rtl w:val="0"/>
          <w:lang w:val="pt-BR"/>
        </w:rPr>
        <w:t xml:space="preserve"> </w:t>
      </w:r>
      <w:r>
        <w:rPr>
          <w:sz w:val="24"/>
          <w:szCs w:val="24"/>
          <w:rtl w:val="0"/>
          <w:lang w:val="pt-BR"/>
        </w:rPr>
        <w:fldChar w:fldCharType="begin"/>
        <w:instrText xml:space="preserve"> ADDIN ZOTERO_ITEM CSL_CITATION{"citationID":"q5655sea0ze","schema":"https://raw.githubusercontent.com/citation-style-language/schema/master/schemas/input/csl-citation.json","properties":{"noteIndex":11,"index":10,"plainCitation":"[15], [16]"},"citationItems":[{"id":"742ZG6GA","itemData":{"id":"742ZG6GA","type":"article-journal","language":"en","journalAbbreviation":"Sci Rep","author":[{"family":"Saini","given":"Kushagra"},{"family":"Ramanathan","given":"Venkatnarayan"}],"accessed":{"date-parts":[["2026",6,1]]},"issued":{"date-parts":[["2022",8,16]]},"abstract":"Abstract\n            Decoding the factors behind odor perception has long been a challenge in the field of human neuroscience, olfactory research, perfumery, psychology, biology and chemistry. The new wave of data-driven and machine learning approaches to predicting molecular properties are a growing area of research interest and provide for significant improvement over conventional statistical methods. We look at these approaches in the context of predicting molecular odor, specifically focusing on multi-label classification strategies employed for the same. Namely binary relevance, classifier chains, and random forests adapted to deal with such a task. This challenge, termed quantitative structure–odor relationship, remains an unsolved task in the field of sensory perception in machine learning, and we hope to emulate the results achieved in the field of vision and auditory perception in olfaction over time.","container-title":"Scientific Reports","DOI":"10.1038/s41598-022-18086-y","ISSN":"2045-2322","issue":"1","page":"13863","source":"DOI.org (Crossref)","title":"Predicting odor from molecular structure: a multi-label classification approach","title-short":"Predicting odor from molecular structure","URL":"https://www.nature.com/articles/s41598-022-18086-y","volume":"12","custom":{"userID":0}},"uris":["http://zotero.org/users/local/UGTkB4Ey/items/742ZG6GA"]},{"id":"3G4AIXKL","itemData":{"id":"3G4AIXKL","type":"article-journal","language":"en","journalAbbreviation":"J Cheminform","author":[{"family":"Schicker","given":"Doris"},{"family":"Singh","given":"Satnam"},{"family":"Freiherr","given":"Jessica"},{"family":"Grasskamp","given":"Andreas T."}],"accessed":{"date-parts":[["2026",6,1]]},"issued":{"date-parts":[["2023",5,7]]},"abstract":"Abstract\n            We derived and implemented a linear classification algorithm for the prediction of a molecule’s odor, called Olfactory Weighted Sum (OWSum). Our approach relies solely on structural patterns of the molecules as features for algorithmic treatment and uses conditional probabilities combined with tf-idf values. In addition to the prediction of molecular odor, OWSum provides insights into properties of the dataset and allows to understand how algorithmic classifications are reached by quantitatively assigning structural patterns to odors. This provides chemists with an intuitive understanding of underlying interactions. To deal with ambiguities of the natural language used to describe odor, we introduced descriptor overlap as a metric for the quantification of semantic overlap between descriptors. Thus, grouping of descriptors and derivation of higher-level descriptors becomes possible. Our approach poses a large leap forward in our capabilities to understand and predict molecular features.","container-title":"Journal of Cheminformatics","DOI":"10.1186/s13321-023-00722-y","ISSN":"1758-2946","issue":"1","page":"51","source":"DOI.org (Crossref)","title":"OWSum: algorithmic odor prediction and insight into structure-odor relationships","title-short":"OWSum","URL":"https://jcheminf.biomedcentral.com/articles/10.1186/s13321-023-00722-y","volume":"15","custom":{"userID":0}},"uris":["http://zotero.org/users/local/UGTkB4Ey/items/3G4AIXKL"]}]} </w:instrText>
      </w:r>
      <w:r>
        <w:rPr>
          <w:sz w:val="24"/>
          <w:szCs w:val="24"/>
          <w:rtl w:val="0"/>
          <w:lang w:val="pt-BR"/>
        </w:rPr>
        <w:fldChar w:fldCharType="separate"/>
      </w:r>
      <w:r>
        <w:rPr>
          <w:sz w:val="24"/>
          <w:szCs w:val="24"/>
          <w:rtl w:val="0"/>
          <w:lang w:val="pt-BR"/>
        </w:rPr>
      </w:r>
      <w:r>
        <w:rPr>
          <w:sz w:val="24"/>
          <w:szCs w:val="24"/>
          <w:rtl w:val="0"/>
          <w:lang w:val="pt-BR"/>
        </w:rPr>
        <w:t xml:space="preserve">[15], [16]</w:t>
      </w:r>
      <w:r>
        <w:rPr>
          <w:sz w:val="24"/>
          <w:szCs w:val="24"/>
          <w:rtl w:val="0"/>
          <w:lang w:val="pt-BR"/>
        </w:rPr>
        <w:fldChar w:fldCharType="end"/>
      </w:r>
      <w:r>
        <w:rPr>
          <w:sz w:val="24"/>
          <w:szCs w:val="24"/>
          <w:rtl w:val="0"/>
          <w:lang w:val="pt-BR"/>
        </w:rPr>
        <w:t xml:space="preserve">. </w:t>
      </w:r>
      <w:r>
        <w:rPr>
          <w:sz w:val="24"/>
          <w:szCs w:val="24"/>
          <w:rtl w:val="0"/>
        </w:rPr>
        <w:t xml:space="preserve">These advances reflect a shift from purely predictive black-box systems toward explainable models that reveal how specific structural motifs contribute to perceived smell, providing a foundation for more rational and interpretable odor design.</w:t>
      </w:r>
      <w:r>
        <w:rPr>
          <w:sz w:val="24"/>
          <w:szCs w:val="24"/>
        </w:rPr>
      </w:r>
      <w:r>
        <w:rPr>
          <w:sz w:val="24"/>
          <w:szCs w:val="24"/>
        </w:rPr>
      </w:r>
    </w:p>
    <w:p w14:paraId="0000000B">
      <w:pPr>
        <w:pBdr/>
        <w:spacing w:after="240" w:before="240" w:line="360" w:lineRule="auto"/>
        <w:ind w:firstLine="720"/>
        <w:jc w:val="both"/>
        <w:rPr>
          <w:sz w:val="24"/>
          <w:szCs w:val="24"/>
        </w:rPr>
      </w:pPr>
      <w:r>
        <w:rPr>
          <w:sz w:val="24"/>
          <w:szCs w:val="24"/>
          <w:rtl w:val="0"/>
        </w:rPr>
        <w:t xml:space="preserve">Following these computational</w:t>
      </w:r>
      <w:r>
        <w:rPr>
          <w:sz w:val="24"/>
          <w:szCs w:val="24"/>
          <w:rtl w:val="0"/>
        </w:rPr>
        <w:t xml:space="preserve"> advances, recent chemical odor space have shifted from sparse, general-purpose chemical collections toward specialized databases explicitly focused on olfactory perception. Earlier efforts largely relied on cataloguing Generally Recognized as Safe (GRAS) </w:t>
      </w:r>
      <w:r>
        <w:rPr>
          <w:sz w:val="24"/>
          <w:szCs w:val="24"/>
          <w:rtl w:val="0"/>
        </w:rPr>
        <w:t xml:space="preserve">compounds</w:t>
      </w:r>
      <w:r>
        <w:rPr>
          <w:sz w:val="24"/>
          <w:szCs w:val="24"/>
          <w:rtl w:val="0"/>
        </w:rPr>
        <w:t xml:space="preserve"> </w:t>
      </w:r>
      <w:r>
        <w:rPr>
          <w:sz w:val="24"/>
          <w:szCs w:val="24"/>
          <w:rtl w:val="0"/>
        </w:rPr>
      </w:r>
      <w:r>
        <w:rPr>
          <w:sz w:val="24"/>
          <w:szCs w:val="24"/>
          <w:rtl w:val="0"/>
        </w:rPr>
        <w:fldChar w:fldCharType="begin"/>
        <w:instrText xml:space="preserve"> ADDIN ZOTERO_ITEM CSL_CITATION{"citationID":"7pc6d5nwyym","schema":"https://raw.githubusercontent.com/citation-style-language/schema/master/schemas/input/csl-citation.json","properties":{"noteIndex":12,"index":11,"plainCitation":"[17]"},"citationItems":[{"id":"BHYKBAHD","itemData":{"id":"BHYKBAHD","type":"article-journal","language":"en","journalAbbreviation":"PLoS ONE","author":[{"family":"Medina-Franco","given":"José L."},{"family":"Martínez-Mayorga","given":"Karina"},{"family":"Peppard","given":"Terry L."},{"family":"Del Rio","given":"Alberto"}],"editor":[{"family":"Taylor","given":"Paul"}],"accessed":{"date-parts":[["2026",6,2]]},"issued":{"date-parts":[["2012",11,30]]},"container-title":"PLoS ONE","DOI":"10.1371/journal.pone.0050798","ISSN":"1932-6203","issue":"11","page":"e50798","source":"DOI.org (Crossref)","title":"Chemoinformatic Analysis of GRAS (Generally Recognized as Safe) Flavor Chemicals and Natural Products","URL":"https://dx.plos.org/10.1371/journal.pone.0050798","volume":"7","custom":{"userID":0}},"uris":["http://zotero.org/users/14065362/items/BHYKBAHD"]}]} </w:instrText>
      </w:r>
      <w:r>
        <w:rPr>
          <w:sz w:val="24"/>
          <w:szCs w:val="24"/>
          <w:rtl w:val="0"/>
        </w:rPr>
        <w:fldChar w:fldCharType="separate"/>
      </w:r>
      <w:r>
        <w:rPr>
          <w:sz w:val="24"/>
          <w:szCs w:val="24"/>
          <w:rtl w:val="0"/>
        </w:rPr>
      </w:r>
      <w:r>
        <w:rPr>
          <w:sz w:val="24"/>
          <w:szCs w:val="24"/>
          <w:rtl w:val="0"/>
        </w:rPr>
        <w:t xml:space="preserve">[17]</w:t>
      </w:r>
      <w:r>
        <w:rPr>
          <w:sz w:val="24"/>
          <w:szCs w:val="24"/>
          <w:rtl w:val="0"/>
        </w:rPr>
        <w:fldChar w:fldCharType="end"/>
      </w:r>
      <w:r>
        <w:rPr>
          <w:sz w:val="24"/>
          <w:szCs w:val="24"/>
          <w:rtl w:val="0"/>
        </w:rPr>
      </w:r>
      <w:r>
        <w:rPr>
          <w:sz w:val="24"/>
          <w:szCs w:val="24"/>
          <w:rtl w:val="0"/>
        </w:rPr>
      </w:r>
      <w:r>
        <w:rPr>
          <w:sz w:val="24"/>
          <w:szCs w:val="24"/>
          <w:rtl w:val="0"/>
        </w:rPr>
      </w:r>
      <w:r>
        <w:rPr>
          <w:sz w:val="24"/>
          <w:szCs w:val="24"/>
          <w:rtl w:val="0"/>
        </w:rPr>
      </w:r>
      <w:r>
        <w:rPr>
          <w:sz w:val="24"/>
          <w:szCs w:val="24"/>
          <w:rtl w:val="0"/>
          <w:lang w:val="pt-BR"/>
        </w:rPr>
        <w:t xml:space="preserve"> </w:t>
      </w:r>
      <w:r>
        <w:rPr>
          <w:sz w:val="24"/>
          <w:szCs w:val="24"/>
          <w:rtl w:val="0"/>
        </w:rPr>
        <w:t xml:space="preserve">and public databases like </w:t>
      </w:r>
      <w:r>
        <w:rPr>
          <w:sz w:val="24"/>
          <w:szCs w:val="24"/>
          <w:rtl w:val="0"/>
        </w:rPr>
        <w:t xml:space="preserve">SuperScent</w:t>
      </w:r>
      <w:r>
        <w:rPr>
          <w:sz w:val="24"/>
          <w:szCs w:val="24"/>
          <w:rtl w:val="0"/>
          <w:lang w:val="pt-BR"/>
        </w:rPr>
        <w:t xml:space="preserve"> </w:t>
      </w:r>
      <w:r>
        <w:rPr>
          <w:sz w:val="24"/>
          <w:szCs w:val="24"/>
          <w:rtl w:val="0"/>
          <w:lang w:val="pt-BR"/>
        </w:rPr>
      </w:r>
      <w:r>
        <w:rPr>
          <w:sz w:val="24"/>
          <w:szCs w:val="24"/>
          <w:rtl w:val="0"/>
          <w:lang w:val="pt-BR"/>
        </w:rPr>
        <w:fldChar w:fldCharType="begin"/>
        <w:instrText xml:space="preserve"> ADDIN ZOTERO_ITEM CSL_CITATION{"citationID":"ccn546myfit","schema":"https://raw.githubusercontent.com/citation-style-language/schema/master/schemas/input/csl-citation.json","properties":{"noteIndex":13,"index":12,"plainCitation":"[18]"},"citationItems":[{"id":"939GP27K","itemData":{"id":"939GP27K","type":"article-journal","language":"en","journalAbbreviation":"Nucleic Acids Research","author":[{"family":"Dunkel","given":"M."},{"family":"Schmidt","given":"U."},{"family":"Struck","given":"S."},{"family":"Berger","given":"L."},{"family":"Gruening","given":"B."},{"family":"Hossbach","given":"J."},{"family":"Jaeger","given":"I. S."},{"family":"Effmert","given":"U."},{"family":"Piechulla","given":"B."},{"family":"Eriksson","given":"R."},{"family":"Knudsen","given":"J."},{"family":"Preissner","given":"R."}],"accessed":{"date-parts":[["2026",6,2]]},"issued":{"date-parts":[["2009",1,1]]},"container-title":"Nucleic Acids Research","DOI":"10.1093/nar/gkn695","ISSN":"0305-1048, 1362-4962","issue":"Database","page":"D291-D294","source":"DOI.org (Crossref)","title":"SuperScent--a database of flavors and scents","URL":"https://academic.oup.com/nar/article-lookup/doi/10.1093/nar/gkn695","volume":"37","custom":{"userID":0}},"uris":["http://zotero.org/users/14065362/items/939GP27K"]}]} </w:instrText>
      </w:r>
      <w:r>
        <w:rPr>
          <w:sz w:val="24"/>
          <w:szCs w:val="24"/>
          <w:rtl w:val="0"/>
          <w:lang w:val="pt-BR"/>
        </w:rPr>
        <w:fldChar w:fldCharType="separate"/>
      </w:r>
      <w:r>
        <w:rPr>
          <w:sz w:val="24"/>
          <w:szCs w:val="24"/>
          <w:rtl w:val="0"/>
          <w:lang w:val="pt-BR"/>
        </w:rPr>
      </w:r>
      <w:r>
        <w:rPr>
          <w:sz w:val="24"/>
          <w:szCs w:val="24"/>
          <w:rtl w:val="0"/>
          <w:lang w:val="pt-BR"/>
        </w:rPr>
        <w:t xml:space="preserve">[18]</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t xml:space="preserve"> </w:t>
      </w:r>
      <w:r>
        <w:rPr>
          <w:sz w:val="24"/>
          <w:szCs w:val="24"/>
          <w:rtl w:val="0"/>
        </w:rPr>
        <w:t xml:space="preserve">which </w:t>
      </w:r>
      <w:r>
        <w:rPr>
          <w:sz w:val="24"/>
          <w:szCs w:val="24"/>
          <w:rtl w:val="0"/>
        </w:rPr>
        <w:t xml:space="preserve">contained limited and heterogeneous odor information. More recent approaches now integrate transport feature models with receptor activation criteria to systematically map olfactory space boundaries. At the same time, dedicated olfactory resources such as </w:t>
      </w:r>
      <w:r>
        <w:rPr>
          <w:sz w:val="24"/>
          <w:szCs w:val="24"/>
          <w:rtl w:val="0"/>
        </w:rPr>
        <w:t xml:space="preserve">Flavornet</w:t>
      </w:r>
      <w:r>
        <w:rPr>
          <w:sz w:val="24"/>
          <w:szCs w:val="24"/>
          <w:rtl w:val="0"/>
          <w:lang w:val="pt-BR"/>
        </w:rPr>
        <w:t xml:space="preserve"> </w:t>
      </w:r>
      <w:r>
        <w:rPr>
          <w:sz w:val="24"/>
          <w:szCs w:val="24"/>
          <w:rtl w:val="0"/>
          <w:lang w:val="pt-BR"/>
        </w:rPr>
        <w:fldChar w:fldCharType="begin"/>
        <w:instrText xml:space="preserve"> ADDIN ZOTERO_ITEM CSL_CITATION{"citationID":"m32wgzjxik","schema":"https://raw.githubusercontent.com/citation-style-language/schema/master/schemas/input/csl-citation.json","properties":{"noteIndex":14,"index":13,"plainCitation":"[19]"},"citationItems":[{"id":"VSTNTXLI","itemData":{"id":"VSTNTXLI","type":"article-journal","language":"en","journalAbbreviation":"ACS Omega","author":[{"family":"Harada","given":"Yuki"},{"family":"Maeda","given":"Shuichi"},{"family":"Shen","given":"Junwei"},{"family":"Misonou","given":"Taku"},{"family":"Hori","given":"Hirokazu"},{"family":"Nakamura","given":"Shinichiro"}],"accessed":{"date-parts":[["2026",6,1]]},"issued":{"date-parts":[["2024",6,11]]},"container-title":"ACS Omega","DOI":"10.1021/acsomega.4c02268","ISSN":"2470-1343, 2470-1343","issue":"23","page":"25054-25062","source":"DOI.org (Crossref)","title":"Regression Study of Odorant Chemical Space, Molecular Structural Diversity, and Natural Language Description","URL":"https://pubs.acs.org/doi/10.1021/acsomega.4c02268","volume":"9","custom":{"userID":0}},"uris":["http://zotero.org/users/local/UGTkB4Ey/items/VSTNTXLI"]}]} </w:instrText>
      </w:r>
      <w:r>
        <w:rPr>
          <w:sz w:val="24"/>
          <w:szCs w:val="24"/>
          <w:rtl w:val="0"/>
          <w:lang w:val="pt-BR"/>
        </w:rPr>
        <w:fldChar w:fldCharType="separate"/>
      </w:r>
      <w:r>
        <w:rPr>
          <w:sz w:val="24"/>
          <w:szCs w:val="24"/>
          <w:rtl w:val="0"/>
          <w:lang w:val="pt-BR"/>
        </w:rPr>
      </w:r>
      <w:r>
        <w:rPr>
          <w:sz w:val="24"/>
          <w:szCs w:val="24"/>
          <w:rtl w:val="0"/>
          <w:lang w:val="pt-BR"/>
        </w:rPr>
        <w:t xml:space="preserve">[19]</w:t>
      </w:r>
      <w:r>
        <w:rPr>
          <w:sz w:val="24"/>
          <w:szCs w:val="24"/>
          <w:rtl w:val="0"/>
          <w:lang w:val="pt-BR"/>
        </w:rPr>
        <w:fldChar w:fldCharType="end"/>
      </w:r>
      <w:r>
        <w:rPr>
          <w:sz w:val="24"/>
          <w:szCs w:val="24"/>
          <w:rtl w:val="0"/>
        </w:rPr>
        <w:t xml:space="preserve">, </w:t>
      </w:r>
      <w:r>
        <w:rPr>
          <w:sz w:val="24"/>
          <w:szCs w:val="24"/>
          <w:rtl w:val="0"/>
        </w:rPr>
        <w:t xml:space="preserve">OlfactionBase</w:t>
      </w:r>
      <w:r>
        <w:rPr>
          <w:sz w:val="24"/>
          <w:szCs w:val="24"/>
          <w:rtl w:val="0"/>
        </w:rPr>
        <w:t xml:space="preserve"> </w:t>
      </w:r>
      <w:r>
        <w:rPr>
          <w:sz w:val="24"/>
          <w:szCs w:val="24"/>
          <w:rtl w:val="0"/>
        </w:rPr>
        <w:fldChar w:fldCharType="begin"/>
        <w:instrText xml:space="preserve"> ADDIN ZOTERO_ITEM CSL_CITATION{"citationID":"09wf8vrp4h2y","schema":"https://raw.githubusercontent.com/citation-style-language/schema/master/schemas/input/csl-citation.json","properties":{"noteIndex":15,"index":14,"plainCitation":"[20]"},"citationItems":[{"id":"NWZD3L3P","itemData":{"id":"NWZD3L3P","type":"article-journal","language":"en","author":[{"family":"Sharma","given":"Anju"},{"family":"Saha","given":"Bishal Kumar"},{"family":"Kumar","given":"Rajnish"},{"family":"Varadwaj","given":"Pritish Kumar"}],"accessed":{"date-parts":[["2026",6,1]]},"issued":{"date-parts":[["2022",1,7]]},"abstract":"Abstract\n            Olfaction is a multi-stage process that initiates with the odorants entering the nose and terminates with the brain recognizing the odor associated with the odorant. In a very intricate way, the process incorporates various components functioning together and in synchronization. OlfactionBase is a free, open-access web server that aims to bring together knowledge about many aspects of the olfaction mechanism in one place. OlfactionBase contains detailed information of components like odors, odorants, and odorless compounds with physicochemical and ADMET properties, olfactory receptors (ORs), odorant- and pheromone binding proteins, OR-odorant interactions in Human and Mus musculus. The dynamic, user-friendly interface of the resource facilitates exploration of different entities: finding chemical compounds having desired odor, finding odorants associated with OR, associating chemical features with odor and OR, finding sequence information of ORs and related proteins. Finally, the data in OlfactionBase on odors, odorants, olfactory receptors, human and mouse OR-odorant pairs, and other associated proteins could aid in the inference and improved understanding of odor perception, which might provide new insights into the mechanism underlying olfaction. The OlfactionBase is available at https://bioserver.iiita.ac.in/olfactionbase/.","container-title":"Nucleic Acids Research","DOI":"10.1093/nar/gkab763","ISSN":"0305-1048, 1362-4962","issue":"D1","page":"D678-D686","source":"DOI.org (Crossref)","title":"OlfactionBase: a repository to explore odors, odorants, olfactory receptors and odorant–receptor interactions","title-short":"OlfactionBase","URL":"https://academic.oup.com/nar/article/50/D1/D678/6362078","volume":"50","custom":{"userID":0}},"uris":["http://zotero.org/users/local/UGTkB4Ey/items/NWZD3L3P"]}]} </w:instrText>
      </w:r>
      <w:r>
        <w:rPr>
          <w:sz w:val="24"/>
          <w:szCs w:val="24"/>
          <w:rtl w:val="0"/>
        </w:rPr>
        <w:fldChar w:fldCharType="separate"/>
      </w:r>
      <w:r>
        <w:rPr>
          <w:sz w:val="24"/>
          <w:szCs w:val="24"/>
          <w:rtl w:val="0"/>
        </w:rPr>
      </w:r>
      <w:r>
        <w:rPr>
          <w:sz w:val="24"/>
          <w:szCs w:val="24"/>
          <w:rtl w:val="0"/>
        </w:rPr>
        <w:t xml:space="preserve">[20]</w:t>
      </w:r>
      <w:r>
        <w:rPr>
          <w:sz w:val="24"/>
          <w:szCs w:val="24"/>
          <w:rtl w:val="0"/>
        </w:rPr>
        <w:fldChar w:fldCharType="end"/>
      </w:r>
      <w:r>
        <w:rPr>
          <w:sz w:val="24"/>
          <w:szCs w:val="24"/>
          <w:rtl w:val="0"/>
        </w:rPr>
        <w:t xml:space="preserve">, </w:t>
      </w:r>
      <w:r>
        <w:rPr>
          <w:sz w:val="24"/>
          <w:szCs w:val="24"/>
          <w:rtl w:val="0"/>
        </w:rPr>
        <w:t xml:space="preserve">M2OR</w:t>
      </w:r>
      <w:r>
        <w:rPr>
          <w:sz w:val="24"/>
          <w:szCs w:val="24"/>
          <w:rtl w:val="0"/>
          <w:lang w:val="pt-BR"/>
        </w:rPr>
        <w:t xml:space="preserve"> </w:t>
      </w:r>
      <w:r>
        <w:rPr>
          <w:sz w:val="24"/>
          <w:szCs w:val="24"/>
          <w:rtl w:val="0"/>
          <w:lang w:val="pt-BR"/>
        </w:rPr>
        <w:fldChar w:fldCharType="begin"/>
        <w:instrText xml:space="preserve"> ADDIN ZOTERO_ITEM CSL_CITATION{"citationID":"vcrxipb8y7h","schema":"https://raw.githubusercontent.com/citation-style-language/schema/master/schemas/input/csl-citation.json","properties":{"noteIndex":16,"index":15,"plainCitation":"[21]"},"citationItems":[{"id":"4FFB5VSS","itemData":{"id":"4FFB5VSS","type":"article-journal","language":"en","author":[{"family":"Lalis","given":"Maxence"},{"family":"Hladiš","given":"Matej"},{"family":"Khalil","given":"Samar Abi"},{"family":"Briand","given":"Loïc"},{"family":"Fiorucci","given":"Sébastien"},{"family":"Topin","given":"Jérémie"}],"accessed":{"date-parts":[["2026",6,2]]},"issued":{"date-parts":[["2024",1,5]]},"abstract":"Abstract\n            Mammalian sense of smell is triggered by interaction between odorant molecules and a class of proteins, called olfactory receptors (ORs). These receptors, expressed at the surface of olfactory sensory neurons, encode myriad of distinct odors via a sophisticated activation pattern. However, determining the molecular recognition spectrum of ORs remains a major challenge. The Molecule to Olfactory Receptor database (M2OR, https://m2or.chemsensim.fr/) provides curated data that allows an easy exploration of the current state of the research on OR-molecule interaction. We have gathered a database of 75,050 bioassay experiments for 51 395 distinct OR-molecule pairs. Drawn from published literature and public databases, M2OR contains information about OR responses to molecules and their mixtures, receptor sequences and experimental details. Users can obtain information on the activity of a chosen molecule or a group of molecules, or search for agonists for a specific OR or a group of ORs. Advanced search allows for fine-grained queries using various metadata such as species or experimental assay system, and the database can be queried by multiple inputs via a batch search. Finally, for a given search query, users can access and download a curated aggregation of the experimental data into a binarized combinatorial code of olfaction.","container-title":"Nucleic Acids Research","DOI":"10.1093/nar/gkad886","ISSN":"0305-1048, 1362-4962","issue":"D1","page":"D1370-D1379","source":"DOI.org (Crossref)","title":"M2OR: a database of olfactory receptor–odorant pairs for understanding the molecular mechanisms of olfaction","title-short":"M2OR","URL":"https://academic.oup.com/nar/article/52/D1/D1370/7327067","volume":"52","custom":{"userID":0}},"uris":["http://zotero.org/users/14065362/items/4FFB5VSS"]}]} </w:instrText>
      </w:r>
      <w:r>
        <w:rPr>
          <w:sz w:val="24"/>
          <w:szCs w:val="24"/>
          <w:rtl w:val="0"/>
          <w:lang w:val="pt-BR"/>
        </w:rPr>
        <w:fldChar w:fldCharType="separate"/>
      </w:r>
      <w:r>
        <w:rPr>
          <w:sz w:val="24"/>
          <w:szCs w:val="24"/>
          <w:rtl w:val="0"/>
          <w:lang w:val="pt-BR"/>
        </w:rPr>
      </w:r>
      <w:r>
        <w:rPr>
          <w:sz w:val="24"/>
          <w:szCs w:val="24"/>
          <w:rtl w:val="0"/>
          <w:lang w:val="pt-BR"/>
        </w:rPr>
        <w:t xml:space="preserve">[21]</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 </w:t>
      </w:r>
      <w:r>
        <w:rPr>
          <w:sz w:val="24"/>
          <w:szCs w:val="24"/>
          <w:rtl w:val="0"/>
        </w:rPr>
        <w:t xml:space="preserve">FlavorDB</w:t>
      </w:r>
      <w:r>
        <w:rPr>
          <w:sz w:val="24"/>
          <w:szCs w:val="24"/>
          <w:rtl w:val="0"/>
          <w:lang w:val="pt-BR"/>
        </w:rPr>
        <w:t xml:space="preserve"> </w:t>
      </w:r>
      <w:r>
        <w:rPr>
          <w:sz w:val="24"/>
          <w:szCs w:val="24"/>
          <w:rtl w:val="0"/>
          <w:lang w:val="pt-BR"/>
        </w:rPr>
      </w:r>
      <w:r>
        <w:rPr>
          <w:sz w:val="24"/>
          <w:szCs w:val="24"/>
          <w:rtl w:val="0"/>
          <w:lang w:val="pt-BR"/>
        </w:rPr>
      </w:r>
      <w:r>
        <w:rPr>
          <w:sz w:val="24"/>
          <w:szCs w:val="24"/>
          <w:rtl w:val="0"/>
          <w:lang w:val="pt-BR"/>
        </w:rPr>
        <w:fldChar w:fldCharType="begin"/>
        <w:instrText xml:space="preserve"> ADDIN ZOTERO_ITEM CSL_CITATION{"citationID":"rdkgh5csej","schema":"https://raw.githubusercontent.com/citation-style-language/schema/master/schemas/input/csl-citation.json","properties":{"noteIndex":17,"index":16,"plainCitation":"[22]"},"citationItems":[{"id":"U7T8SUEH","itemData":{"id":"U7T8SUEH","type":"article-journal","language":"en","author":[{"family":"Garg","given":"Neelansh"},{"family":"Sethupathy","given":"Apuroop"},{"family":"Tuwani","given":"Rudraksh"},{"family":"Nk","given":"Rakhi"},{"family":"Dokania","given":"Shubham"},{"family":"Iyer","given":"Arvind"},{"family":"Gupta","given":"Ayushi"},{"family":"Agrawal","given":"Shubhra"},{"family":"Singh","given":"Navjot"},{"family":"Shukla","given":"Shubham"},{"family":"Kathuria","given":"Kriti"},{"family":"Badhwar","given":"Rahul"},{"family":"Kanji","given":"Rakesh"},{"family":"Jain","given":"Anupam"},{"family":"Kaur","given":"Avneet"},{"family":"Nagpal","given":"Rashmi"},{"family":"Bagler","given":"Ganesh"}],"accessed":{"date-parts":[["2026",6,2]]},"issued":{"date-parts":[["2018",1,4]]},"container-title":"Nucleic Acids Research","DOI":"10.1093/nar/gkx957","ISSN":"0305-1048, 1362-4962","issue":"D1","page":"D1210-D1216","source":"DOI.org (Crossref)","title":"FlavorDB: a database of flavor molecules","title-short":"FlavorDB","URL":"http://academic.oup.com/nar/article/46/D1/D1210/4559748","volume":"46","custom":{"userID":0}},"uris":["http://zotero.org/users/14065362/items/U7T8SUEH"]}]} </w:instrText>
      </w:r>
      <w:r>
        <w:rPr>
          <w:sz w:val="24"/>
          <w:szCs w:val="24"/>
          <w:rtl w:val="0"/>
          <w:lang w:val="pt-BR"/>
        </w:rPr>
        <w:fldChar w:fldCharType="separate"/>
      </w:r>
      <w:r>
        <w:rPr>
          <w:sz w:val="24"/>
          <w:szCs w:val="24"/>
          <w:rtl w:val="0"/>
          <w:lang w:val="pt-BR"/>
        </w:rPr>
      </w:r>
      <w:r>
        <w:rPr>
          <w:sz w:val="24"/>
          <w:szCs w:val="24"/>
          <w:rtl w:val="0"/>
          <w:lang w:val="pt-BR"/>
        </w:rPr>
        <w:t xml:space="preserve">[22]</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 </w:t>
      </w:r>
      <w:r>
        <w:rPr>
          <w:sz w:val="24"/>
          <w:szCs w:val="24"/>
          <w:rtl w:val="0"/>
        </w:rPr>
        <w:t xml:space="preserve">HORDE</w:t>
      </w:r>
      <w:r>
        <w:rPr>
          <w:sz w:val="24"/>
          <w:szCs w:val="24"/>
          <w:rtl w:val="0"/>
          <w:lang w:val="pt-BR"/>
        </w:rPr>
        <w:t xml:space="preserve"> </w:t>
      </w:r>
      <w:r>
        <w:rPr>
          <w:sz w:val="24"/>
          <w:szCs w:val="24"/>
          <w:rtl w:val="0"/>
          <w:lang w:val="pt-BR"/>
        </w:rPr>
        <w:fldChar w:fldCharType="begin"/>
        <w:instrText xml:space="preserve"> ADDIN ZOTERO_ITEM CSL_CITATION{"citationID":"16vhumss0uc","schema":"https://raw.githubusercontent.com/citation-style-language/schema/master/schemas/input/csl-citation.json","properties":{"noteIndex":18,"index":17,"plainCitation":"[23]"},"citationItems":[{"id":"53I2JQ43","itemData":{"id":"53I2JQ43","type":"chapter","language":"en","author":[{"family":"Olender","given":"Tsviya"},{"family":"Nativ","given":"Noam"},{"family":"Lancet","given":"Doron"}],"editor":[{"family":"Crasto","given":"Chiquito J."}],"accessed":{"date-parts":[["2026",6,1]]},"issued":{"date-parts":[["2013"]]},"container-title":"Olfactory Receptors","DOI":"10.1007/978-1-62703-377-0_2","ISBN":"978-1-62703-376-3","note":"collection-title: Methods in Molecular Biology","page":"23-38","publisher":"Humana Press","publisher-place":"Totowa, NJ","source":"DOI.org (Crossref)","title":"HORDE: Comprehensive Resource for Olfactory Receptor Genomics","title-short":"HORDE","URL":"https://link.springer.com/10.1007/978-1-62703-377-0_2","volume":"1003","custom":{"userID":0}},"uris":["http://zotero.org/users/local/UGTkB4Ey/items/53I2JQ43"]}]} </w:instrText>
      </w:r>
      <w:r>
        <w:rPr>
          <w:sz w:val="24"/>
          <w:szCs w:val="24"/>
          <w:rtl w:val="0"/>
          <w:lang w:val="pt-BR"/>
        </w:rPr>
        <w:fldChar w:fldCharType="separate"/>
      </w:r>
      <w:r>
        <w:rPr>
          <w:sz w:val="24"/>
          <w:szCs w:val="24"/>
          <w:rtl w:val="0"/>
          <w:lang w:val="pt-BR"/>
        </w:rPr>
      </w:r>
      <w:r>
        <w:rPr>
          <w:sz w:val="24"/>
          <w:szCs w:val="24"/>
          <w:rtl w:val="0"/>
          <w:lang w:val="pt-BR"/>
        </w:rPr>
        <w:t xml:space="preserve">[23]</w:t>
      </w:r>
      <w:r>
        <w:rPr>
          <w:sz w:val="24"/>
          <w:szCs w:val="24"/>
          <w:rtl w:val="0"/>
          <w:lang w:val="pt-BR"/>
        </w:rPr>
        <w:fldChar w:fldCharType="end"/>
      </w:r>
      <w:r>
        <w:rPr>
          <w:sz w:val="24"/>
          <w:szCs w:val="24"/>
          <w:rtl w:val="0"/>
        </w:rPr>
        <w:t xml:space="preserve">, and particularly </w:t>
      </w:r>
      <w:r>
        <w:rPr>
          <w:sz w:val="24"/>
          <w:szCs w:val="24"/>
          <w:rtl w:val="0"/>
        </w:rPr>
        <w:t xml:space="preserve">Pyrfume</w:t>
      </w:r>
      <w:r>
        <w:rPr>
          <w:sz w:val="24"/>
          <w:szCs w:val="24"/>
          <w:rtl w:val="0"/>
          <w:lang w:val="pt-BR"/>
        </w:rPr>
        <w:t xml:space="preserve"> </w:t>
      </w:r>
      <w:r>
        <w:rPr>
          <w:sz w:val="24"/>
          <w:szCs w:val="24"/>
          <w:rtl w:val="0"/>
          <w:lang w:val="pt-BR"/>
        </w:rPr>
      </w:r>
      <w:r>
        <w:rPr>
          <w:sz w:val="24"/>
          <w:szCs w:val="24"/>
          <w:rtl w:val="0"/>
          <w:lang w:val="pt-BR"/>
        </w:rPr>
        <w:fldChar w:fldCharType="begin"/>
        <w:instrText xml:space="preserve"> ADDIN ZOTERO_ITEM CSL_CITATION{"citationID":"au4wq1t3aht","schema":"https://raw.githubusercontent.com/citation-style-language/schema/master/schemas/input/csl-citation.json","properties":{"noteIndex":19,"index":18,"plainCitation":"[24]"},"citationItems":[{"id":"FBNK8WHV","itemData":{"id":"FBNK8WHV","type":"article","language":"en","author":[{"family":"Castro","given":"Jason B."},{"family":"Gould","given":"Travis J."},{"family":"Pellegrino","given":"Robert"},{"family":"Liang","given":"Zhiwei"},{"family":"Coleman","given":"Liyah A."},{"family":"Patel","given":"Famesh"},{"family":"Wallace","given":"Derek S."},{"family":"Bhatnagar","given":"Tanushri"},{"family":"Mainland","given":"Joel D."},{"family":"Gerkin","given":"Richard C."}],"accessed":{"date-parts":[["2026",6,2]]},"issued":{"date-parts":[["2022",9,12]]},"abstract":"ABSTRACT\n          \n            Advances in theoretical understanding are frequently unlocked by access to large, diverse experimental datasets. Olfactory neuroscience and psychophysics remain years behind the other senses in part because rich datasets linking olfactory stimuli with their corresponding percepts, behaviors, and neural pathways underlying this transformation, remain scarce. Here we present a concerted effort to unlock and unify dozens of stimulus-linked olfactory datasets across species and modalities under a unified framework called\n            Pyrfume\n            . We present examples of how researchers might use Pyrfume to conduct novel analyses uncovering new principles, introduce trainees to the field, or construct benchmarks for machine olfaction.","DOI":"10.1101/2022.09.08.507170","publisher":"Neuroscience","source":"DOI.org (Crossref)","title":"Pyrfume: A Window to the World’s Olfactory Data","title-short":"Pyrfume","URL":"http://biorxiv.org/lookup/doi/10.1101/2022.09.08.507170","custom":{"userID":0}},"uris":["http://zotero.org/users/14065362/items/FBNK8WHV"]}]} </w:instrText>
      </w:r>
      <w:r>
        <w:rPr>
          <w:sz w:val="24"/>
          <w:szCs w:val="24"/>
          <w:rtl w:val="0"/>
          <w:lang w:val="pt-BR"/>
        </w:rPr>
        <w:fldChar w:fldCharType="separate"/>
      </w:r>
      <w:r>
        <w:rPr>
          <w:sz w:val="24"/>
          <w:szCs w:val="24"/>
          <w:rtl w:val="0"/>
          <w:lang w:val="pt-BR"/>
        </w:rPr>
      </w:r>
      <w:r>
        <w:rPr>
          <w:sz w:val="24"/>
          <w:szCs w:val="24"/>
          <w:rtl w:val="0"/>
          <w:lang w:val="pt-BR"/>
        </w:rPr>
        <w:t xml:space="preserve">[24]</w:t>
      </w:r>
      <w:r>
        <w:rPr>
          <w:sz w:val="24"/>
          <w:szCs w:val="24"/>
          <w:rtl w:val="0"/>
          <w:lang w:val="pt-BR"/>
        </w:rPr>
        <w:fldChar w:fldCharType="end"/>
      </w:r>
      <w:r>
        <w:rPr>
          <w:sz w:val="24"/>
          <w:szCs w:val="24"/>
          <w:rtl w:val="0"/>
          <w:lang w:val="pt-BR"/>
        </w:rPr>
      </w:r>
      <w:r>
        <w:rPr>
          <w:sz w:val="24"/>
          <w:szCs w:val="24"/>
          <w:rtl w:val="0"/>
          <w:lang w:val="pt-BR"/>
        </w:rPr>
      </w:r>
      <w:r>
        <w:rPr>
          <w:sz w:val="24"/>
          <w:szCs w:val="24"/>
          <w:rtl w:val="0"/>
          <w:lang w:val="pt-BR"/>
        </w:rPr>
      </w:r>
      <w:r>
        <w:rPr>
          <w:sz w:val="24"/>
          <w:szCs w:val="24"/>
          <w:rtl w:val="0"/>
          <w:lang w:val="pt-BR"/>
        </w:rPr>
      </w:r>
      <w:r>
        <w:rPr>
          <w:sz w:val="24"/>
          <w:szCs w:val="24"/>
          <w:rtl w:val="0"/>
        </w:rPr>
        <w:t xml:space="preserve"> (which offers explicit, experimentally validated links between molecular features and human perceptual data), collectively enable systematic mapping, refine predictive models, and underpin clinical research.</w:t>
      </w:r>
      <w:r>
        <w:rPr>
          <w:sz w:val="24"/>
          <w:szCs w:val="24"/>
        </w:rPr>
      </w:r>
      <w:r>
        <w:rPr>
          <w:sz w:val="24"/>
          <w:szCs w:val="24"/>
        </w:rPr>
      </w:r>
    </w:p>
    <w:p w14:paraId="0000000C">
      <w:pPr>
        <w:pBdr/>
        <w:spacing w:after="240" w:before="240" w:line="360" w:lineRule="auto"/>
        <w:ind w:firstLine="720"/>
        <w:jc w:val="both"/>
        <w:rPr>
          <w:sz w:val="24"/>
          <w:szCs w:val="24"/>
          <w:highlight w:val="none"/>
        </w:rPr>
      </w:pPr>
      <w:r>
        <w:rPr>
          <w:sz w:val="24"/>
          <w:szCs w:val="24"/>
          <w:rtl w:val="0"/>
        </w:rPr>
        <w:t xml:space="preserve">Despite major advances in computational olfaction, predicting odor perception directly from molecular structure remains a major challenge due to the complexity, subjectivity, and multidimensional na</w:t>
      </w:r>
      <w:r>
        <w:rPr>
          <w:sz w:val="24"/>
          <w:szCs w:val="24"/>
          <w:rtl w:val="0"/>
        </w:rPr>
        <w:t xml:space="preserve">ture of olfactory perception. Traditional QSOR approaches have achieved important progress, but many remain limited by handcrafted descriptors, fixed-output architectures, and difficulties in capturing semantic relationships between odor labels. Recent dev</w:t>
      </w:r>
      <w:r>
        <w:rPr>
          <w:sz w:val="24"/>
          <w:szCs w:val="24"/>
          <w:rtl w:val="0"/>
        </w:rPr>
        <w:t xml:space="preserve">elopments in large language models specialized for chemistry offer new opportunities to model structure–odor relationships in a more flexible and generative manner. In this work, we present AromaLLM, a generative framework developed through fine-tuning of </w:t>
      </w:r>
      <w:r>
        <w:rPr>
          <w:sz w:val="24"/>
          <w:szCs w:val="24"/>
          <w:rtl w:val="0"/>
        </w:rPr>
        <w:t xml:space="preserve">ChemDFM</w:t>
      </w:r>
      <w:r>
        <w:rPr>
          <w:sz w:val="24"/>
          <w:szCs w:val="24"/>
          <w:rtl w:val="0"/>
        </w:rPr>
        <w:t xml:space="preserve"> </w:t>
      </w:r>
      <w:r>
        <w:rPr>
          <w:sz w:val="24"/>
          <w:szCs w:val="24"/>
          <w:rtl w:val="0"/>
        </w:rPr>
      </w:r>
      <w:r>
        <w:rPr>
          <w:sz w:val="24"/>
          <w:szCs w:val="24"/>
          <w:rtl w:val="0"/>
        </w:rPr>
        <w:fldChar w:fldCharType="begin"/>
        <w:instrText xml:space="preserve"> ADDIN ZOTERO_ITEM CSL_CITATION{"citationID":"6caro5fi1n2","schema":"https://raw.githubusercontent.com/citation-style-language/schema/master/schemas/input/csl-citation.json","properties":{"noteIndex":20,"index":19,"plainCitation":"[25]"},"citationItems":[{"id":"9NHNT7XR","itemData":{"id":"9NHNT7XR","type":"article-journal","language":"en","journalAbbreviation":"Cell Reports Physical Science","author":[{"family":"Zhao","given":"Zihan"},{"family":"Ma","given":"Da"},{"family":"Chen","given":"Lu"},{"family":"Sun","given":"Liangtai"},{"family":"Li","given":"Zihao"},{"family":"Xia","given":"Yi"},{"family":"Chen","given":"Bo"},{"family":"Xu","given":"Hongshen"},{"family":"Zhu","given":"Zichen"},{"family":"Zhu","given":"Su"},{"family":"Fan","given":"Shuai"},{"family":"Shen","given":"Guodong"},{"family":"Yu","given":"Kai"},{"family":"Chen","given":"Xin"}],"accessed":{"date-parts":[["2026",6,2]]},"issued":{"date-parts":[["2025",4]]},"container-title":"Cell Reports Physical Science","DOI":"10.1016/j.xcrp.2025.102523","ISSN":"26663864","issue":"4","page":"102523","source":"DOI.org (Crossref)","title":"Developing ChemDFM as a large language foundation model for chemistry","URL":"https://linkinghub.elsevier.com/retrieve/pii/S2666386425001225","volume":"6","custom":{"userID":0}},"uris":["http://zotero.org/users/14065362/items/9NHNT7XR"]}]} </w:instrText>
      </w:r>
      <w:r>
        <w:rPr>
          <w:sz w:val="24"/>
          <w:szCs w:val="24"/>
          <w:rtl w:val="0"/>
        </w:rPr>
        <w:fldChar w:fldCharType="separate"/>
      </w:r>
      <w:r>
        <w:rPr>
          <w:sz w:val="24"/>
          <w:szCs w:val="24"/>
          <w:rtl w:val="0"/>
        </w:rPr>
      </w:r>
      <w:r>
        <w:rPr>
          <w:sz w:val="24"/>
          <w:szCs w:val="24"/>
          <w:rtl w:val="0"/>
        </w:rPr>
        <w:t xml:space="preserve">[25]</w:t>
      </w:r>
      <w:r>
        <w:rPr>
          <w:sz w:val="24"/>
          <w:szCs w:val="24"/>
          <w:rtl w:val="0"/>
        </w:rPr>
        <w:fldChar w:fldCharType="end"/>
      </w:r>
      <w:r>
        <w:rPr>
          <w:sz w:val="24"/>
          <w:szCs w:val="24"/>
          <w:rtl w:val="0"/>
        </w:rPr>
      </w:r>
      <w:r>
        <w:rPr>
          <w:sz w:val="24"/>
          <w:szCs w:val="24"/>
          <w:rtl w:val="0"/>
        </w:rPr>
      </w:r>
      <w:r>
        <w:rPr>
          <w:sz w:val="24"/>
          <w:szCs w:val="24"/>
          <w:rtl w:val="0"/>
        </w:rPr>
      </w:r>
      <w:r>
        <w:rPr>
          <w:sz w:val="24"/>
          <w:szCs w:val="24"/>
          <w:rtl w:val="0"/>
        </w:rPr>
      </w:r>
      <w:r>
        <w:rPr>
          <w:sz w:val="24"/>
          <w:szCs w:val="24"/>
          <w:rtl w:val="0"/>
          <w:lang w:val="pt-BR"/>
        </w:rPr>
        <w:t xml:space="preserve"> </w:t>
      </w:r>
      <w:r>
        <w:rPr>
          <w:sz w:val="24"/>
          <w:szCs w:val="24"/>
          <w:rtl w:val="0"/>
        </w:rPr>
        <w:t xml:space="preserve">using prompt engi</w:t>
      </w:r>
      <w:r>
        <w:rPr>
          <w:sz w:val="24"/>
          <w:szCs w:val="24"/>
          <w:rtl w:val="0"/>
        </w:rPr>
        <w:t xml:space="preserve">neering strategies to predict olfactory descriptors directly from molecular representations. By leveraging curated and harmonized olfactory datasets and refining descriptor consistency across databases, AromaLLM learns chemically meaningful structure–perce</w:t>
      </w:r>
      <w:r>
        <w:rPr>
          <w:sz w:val="24"/>
          <w:szCs w:val="24"/>
          <w:rtl w:val="0"/>
        </w:rPr>
        <w:t xml:space="preserve">ption relationships while enabling generative prediction of biologically relevant odor profiles. This approach demonstrates the potential of chemistry-oriented language models as scalable tools for computational olfaction and next-generation QSOR modeling.</w:t>
      </w:r>
      <w:r>
        <w:rPr>
          <w:sz w:val="24"/>
          <w:szCs w:val="24"/>
        </w:rPr>
      </w:r>
      <w:r>
        <w:rPr>
          <w:sz w:val="24"/>
          <w:szCs w:val="24"/>
          <w:highlight w:val="none"/>
        </w:rPr>
      </w:r>
    </w:p>
    <w:p w14:paraId="4DA35CE6">
      <w:pPr>
        <w:pBdr/>
        <w:shd w:val="nil"/>
        <w:spacing w:line="360" w:lineRule="auto"/>
        <w:ind/>
        <w:rPr>
          <w:sz w:val="24"/>
          <w:szCs w:val="24"/>
          <w:highlight w:val="none"/>
        </w:rPr>
      </w:pPr>
      <w:r>
        <w:rPr>
          <w:sz w:val="24"/>
          <w:szCs w:val="24"/>
          <w:highlight w:val="none"/>
        </w:rPr>
        <w:br w:type="page" w:clear="all"/>
      </w:r>
      <w:r>
        <w:rPr>
          <w:sz w:val="24"/>
          <w:szCs w:val="24"/>
          <w:highlight w:val="none"/>
        </w:rPr>
      </w:r>
      <w:r>
        <w:rPr>
          <w:sz w:val="24"/>
          <w:szCs w:val="24"/>
          <w:highlight w:val="none"/>
        </w:rPr>
      </w:r>
      <w:r>
        <w:rPr>
          <w:sz w:val="24"/>
          <w:szCs w:val="24"/>
          <w:highlight w:val="none"/>
        </w:rPr>
      </w:r>
      <w:r>
        <w:rPr>
          <w:sz w:val="24"/>
          <w:szCs w:val="24"/>
          <w:highlight w:val="none"/>
        </w:rPr>
      </w:r>
      <w:r>
        <w:rPr>
          <w:sz w:val="24"/>
          <w:szCs w:val="24"/>
          <w:highlight w:val="none"/>
        </w:rPr>
      </w:r>
      <w:r>
        <w:rPr>
          <w:sz w:val="24"/>
          <w:szCs w:val="24"/>
          <w:highlight w:val="none"/>
        </w:rPr>
      </w:r>
    </w:p>
    <w:p w14:paraId="0000000D">
      <w:pPr>
        <w:pBdr/>
        <w:spacing w:after="240" w:before="240" w:line="360" w:lineRule="auto"/>
        <w:ind w:right="0" w:firstLine="0" w:left="0"/>
        <w:rPr>
          <w:b/>
          <w:bCs/>
          <w:sz w:val="24"/>
          <w:szCs w:val="24"/>
        </w:rPr>
      </w:pPr>
      <w:r>
        <w:rPr>
          <w:b/>
          <w:bCs/>
          <w:sz w:val="24"/>
          <w:szCs w:val="24"/>
          <w:rtl w:val="0"/>
        </w:rPr>
        <w:t xml:space="preserve">METHODS</w:t>
      </w:r>
      <w:r>
        <w:rPr>
          <w:b/>
          <w:bCs/>
          <w:sz w:val="24"/>
          <w:szCs w:val="24"/>
        </w:rPr>
      </w:r>
      <w:r>
        <w:rPr>
          <w:b/>
          <w:bCs/>
          <w:sz w:val="24"/>
          <w:szCs w:val="24"/>
        </w:rPr>
      </w:r>
    </w:p>
    <w:p w14:paraId="0000000E">
      <w:pPr>
        <w:pBdr/>
        <w:spacing w:after="0" w:afterAutospacing="0" w:before="240" w:line="360" w:lineRule="auto"/>
        <w:ind w:firstLine="0" w:left="0"/>
        <w:rPr>
          <w:b/>
          <w:bCs/>
          <w:sz w:val="24"/>
          <w:szCs w:val="24"/>
          <w:highlight w:val="none"/>
          <w:u w:val="none"/>
        </w:rPr>
      </w:pPr>
      <w:r>
        <w:rPr>
          <w:b/>
          <w:bCs/>
          <w:sz w:val="24"/>
          <w:szCs w:val="24"/>
          <w:rtl w:val="0"/>
        </w:rPr>
        <w:t xml:space="preserve">Datasets and preprocessing</w:t>
      </w:r>
      <w:r>
        <w:rPr>
          <w:b/>
          <w:bCs/>
          <w:sz w:val="24"/>
          <w:szCs w:val="24"/>
          <w:u w:val="none"/>
        </w:rPr>
      </w:r>
      <w:r>
        <w:rPr>
          <w:b/>
          <w:bCs/>
          <w:sz w:val="24"/>
          <w:szCs w:val="24"/>
          <w:u w:val="none"/>
        </w:rPr>
      </w:r>
    </w:p>
    <w:p w14:paraId="39EABF05">
      <w:pPr>
        <w:pBdr/>
        <w:spacing w:after="0" w:afterAutospacing="0" w:before="240" w:line="360" w:lineRule="auto"/>
        <w:ind w:firstLine="720" w:left="0"/>
        <w:jc w:val="both"/>
        <w:rPr>
          <w:sz w:val="24"/>
          <w:szCs w:val="24"/>
          <w:highlight w:val="none"/>
        </w:rPr>
      </w:pPr>
      <w:r>
        <w:rPr>
          <w:b/>
          <w:bCs/>
          <w:sz w:val="24"/>
          <w:szCs w:val="24"/>
          <w:highlight w:val="none"/>
          <w:u w:val="none"/>
        </w:rPr>
      </w:r>
      <w:r>
        <w:rPr>
          <w:sz w:val="24"/>
          <w:szCs w:val="24"/>
        </w:rPr>
        <w:t xml:space="preserve">The chemical dataset was constructed by aggregating olfactometric and structural information from three primary chemical and fragrance repositories: the GoodScents company database, the Dravnieks atlas, and the Leffingwell &amp; Associates flavor and fragrance</w:t>
      </w:r>
      <w:r>
        <w:rPr>
          <w:sz w:val="24"/>
          <w:szCs w:val="24"/>
        </w:rPr>
        <w:t xml:space="preserve"> database. To prepare the chemical structures for downstream predictive tasks, the molecular Simplified Molecular Input Line Entry System (SMILES) strings underwent a rigorous curation and standardization workflow based on an adapted version of the data cu</w:t>
      </w:r>
      <w:r>
        <w:rPr>
          <w:sz w:val="24"/>
          <w:szCs w:val="24"/>
        </w:rPr>
        <w:t xml:space="preserve">ration protocol proposed by Fourches et al.</w:t>
      </w:r>
      <w:r>
        <w:rPr>
          <w:sz w:val="24"/>
          <w:szCs w:val="24"/>
          <w:lang w:val="pt-BR"/>
        </w:rPr>
        <w:t xml:space="preserve"> </w:t>
      </w:r>
      <w:r>
        <w:rPr>
          <w:sz w:val="24"/>
          <w:szCs w:val="24"/>
          <w:lang w:val="pt-BR"/>
        </w:rPr>
        <w:fldChar w:fldCharType="begin"/>
        <w:instrText xml:space="preserve"> ADDIN ZOTERO_ITEM CSL_CITATION{"citationID":"bbwxderprne","schema":"https://raw.githubusercontent.com/citation-style-language/schema/master/schemas/input/csl-citation.json","properties":{"noteIndex":21,"index":20,"plainCitation":"[26], [27]"},"citationItems":[{"id":"7APYK9EM","itemData":{"id":"7APYK9EM","type":"article-journal","language":"en","journalAbbreviation":"J. Chem. Inf. Model.","author":[{"family":"Fourches","given":"Denis"},{"family":"Muratov","given":"Eugene"},{"family":"Tropsha","given":"Alexander"}],"accessed":{"date-parts":[["2025",9,29]]},"issued":{"date-parts":[["2016",7,25]]},"container-title":"Journal of Chemical Information and Modeling","DOI":"10.1021/acs.jcim.6b00129","ISSN":"1549-9596, 1549-960X","issue":"7","page":"1243-1252","source":"DOI.org (Crossref)","title":"Trust, but Verify II: A Practical Guide to Chemogenomics Data Curation","title-short":"Trust, but Verify II","URL":"https://pubs.acs.org/doi/10.1021/acs.jcim.6b00129","volume":"56","custom":{"userID":0}},"uris":["http://zotero.org/users/14065362/items/7APYK9EM"]},{"id":"2ZTZ5CCU","itemData":{"id":"2ZTZ5CCU","type":"article-journal","language":"en","journalAbbreviation":"J. Chem. Inf. Model.","author":[{"family":"Fourches","given":"Denis"},{"family":"Muratov","given":"Eugene"},{"family":"Tropsha","given":"Alexander"}],"accessed":{"date-parts":[["2025",9,29]]},"issued":{"date-parts":[["2010",7,26]]},"container-title":"Journal of Chemical Information and Modeling","DOI":"10.1021/ci100176x","ISSN":"1549-9596, 1549-960X","issue":"7","page":"1189-1204","source":"DOI.org (Crossref)","title":"Trust, But Verify: On the Importance of Chemical Structure Curation in Cheminformatics and QSAR Modeling Research","title-short":"Trust, But Verify","URL":"https://pubs.acs.org/doi/10.1021/ci100176x","volume":"50","custom":{"userID":0}},"uris":["http://zotero.org/users/14065362/items/2ZTZ5CCU"]}]} </w:instrText>
      </w:r>
      <w:r>
        <w:rPr>
          <w:sz w:val="24"/>
          <w:szCs w:val="24"/>
          <w:lang w:val="pt-BR"/>
        </w:rPr>
        <w:fldChar w:fldCharType="separate"/>
      </w:r>
      <w:r>
        <w:rPr>
          <w:sz w:val="24"/>
          <w:szCs w:val="24"/>
          <w:lang w:val="pt-BR"/>
        </w:rPr>
      </w:r>
      <w:r>
        <w:rPr>
          <w:sz w:val="24"/>
          <w:szCs w:val="24"/>
          <w:lang w:val="pt-BR"/>
        </w:rPr>
        <w:t xml:space="preserve">[26], [27]</w:t>
      </w:r>
      <w:r>
        <w:rPr>
          <w:sz w:val="24"/>
          <w:szCs w:val="24"/>
          <w:lang w:val="pt-BR"/>
        </w:rPr>
        <w:fldChar w:fldCharType="end"/>
      </w:r>
      <w:r>
        <w:rPr>
          <w:sz w:val="24"/>
          <w:szCs w:val="24"/>
          <w:lang w:val="pt-BR"/>
        </w:rPr>
      </w:r>
      <w:r>
        <w:rPr>
          <w:sz w:val="24"/>
          <w:szCs w:val="24"/>
          <w:lang w:val="pt-BR"/>
        </w:rPr>
      </w:r>
      <w:r>
        <w:rPr>
          <w:sz w:val="24"/>
          <w:szCs w:val="24"/>
          <w:lang w:val="pt-BR"/>
        </w:rPr>
      </w:r>
      <w:r>
        <w:rPr>
          <w:sz w:val="24"/>
          <w:szCs w:val="24"/>
          <w:lang w:val="pt-BR"/>
        </w:rPr>
      </w:r>
      <w:r>
        <w:rPr>
          <w:sz w:val="24"/>
          <w:szCs w:val="24"/>
        </w:rPr>
        <w:t xml:space="preserve">. In accordance with this preprocessing pipeline, inorganic salts were removed, the fundamental molecular frameworks were standardized, and multi-component chemical mixtures were filtered out of the dataset</w:t>
      </w:r>
      <w:r>
        <w:rPr>
          <w:sz w:val="24"/>
          <w:szCs w:val="24"/>
        </w:rPr>
        <w:t xml:space="preserve">. However, unlike conventional chemical data curation approaches that strip stereochemical designations, explicit structural stereochemistry was preserved, and stereoisomers were not collapsed into generic canonical representations. This preservation is cr</w:t>
      </w:r>
      <w:r>
        <w:rPr>
          <w:sz w:val="24"/>
          <w:szCs w:val="24"/>
        </w:rPr>
        <w:t xml:space="preserve">ucial because different stereoisomers and enantiomers frequently elicit entirely distinct olfactory sensations and possess unique odor characters due to the chiral sensitivity of human olfactory receptors </w:t>
      </w:r>
      <w:r>
        <w:rPr>
          <w:sz w:val="24"/>
          <w:szCs w:val="24"/>
        </w:rPr>
        <w:fldChar w:fldCharType="begin"/>
        <w:instrText xml:space="preserve"> ADDIN ZOTERO_ITEM CSL_CITATION{"citationID":"r30x14xtff","schema":"https://raw.githubusercontent.com/citation-style-language/schema/master/schemas/input/csl-citation.json","properties":{"noteIndex":22,"index":21,"plainCitation":"[28]"},"citationItems":[{"id":"SGLD8L9U","itemData":{"id":"SGLD8L9U","type":"article-journal","language":"en","journalAbbreviation":"Chem. Rev.","author":[{"family":"Bentley","given":"Ronald"}],"accessed":{"date-parts":[["2026",6,2]]},"issued":{"date-parts":[["2006",9,1]]},"container-title":"Chemical Reviews","DOI":"10.1021/cr050049t","ISSN":"0009-2665, 1520-6890","issue":"9","page":"4099-4112","source":"DOI.org (Crossref)","title":"The Nose as a Stereochemist. Enantiomers and Odor","URL":"https://pubs.acs.org/doi/10.1021/cr050049t","volume":"106","custom":{"userID":0}},"uris":["http://zotero.org/users/14065362/items/SGLD8L9U"]}]} </w:instrText>
      </w:r>
      <w:r>
        <w:rPr>
          <w:sz w:val="24"/>
          <w:szCs w:val="24"/>
        </w:rPr>
        <w:fldChar w:fldCharType="separate"/>
      </w:r>
      <w:r>
        <w:rPr>
          <w:sz w:val="24"/>
          <w:szCs w:val="24"/>
        </w:rPr>
      </w:r>
      <w:r>
        <w:rPr>
          <w:sz w:val="24"/>
          <w:szCs w:val="24"/>
        </w:rPr>
        <w:t xml:space="preserve">[28]</w:t>
      </w:r>
      <w:r>
        <w:rPr>
          <w:sz w:val="24"/>
          <w:szCs w:val="24"/>
        </w:rPr>
        <w:fldChar w:fldCharType="end"/>
      </w:r>
      <w:r>
        <w:rPr>
          <w:sz w:val="24"/>
          <w:szCs w:val="24"/>
        </w:rPr>
      </w:r>
      <w:r>
        <w:rPr>
          <w:sz w:val="24"/>
          <w:szCs w:val="24"/>
        </w:rPr>
      </w:r>
      <w:r>
        <w:rPr>
          <w:sz w:val="24"/>
          <w:szCs w:val="24"/>
        </w:rPr>
      </w:r>
      <w:r>
        <w:rPr>
          <w:sz w:val="24"/>
          <w:szCs w:val="24"/>
        </w:rPr>
        <w:t xml:space="preserve">. In addition, structural duplicates</w:t>
      </w:r>
      <w:r>
        <w:rPr>
          <w:sz w:val="24"/>
          <w:szCs w:val="24"/>
        </w:rPr>
        <w:t xml:space="preserve"> across or within the source databases were intentionally kept during the initial processing stages because identical chemical entities can be annotated with different odor descriptors depending on the repository, sensory panel conditions, or concentration</w:t>
      </w:r>
      <w:r>
        <w:rPr>
          <w:sz w:val="24"/>
          <w:szCs w:val="24"/>
        </w:rPr>
        <w:t xml:space="preserve">. To account for these multi-source annotations, the duplicate molecular entries were merged into a single unique SMILES string accompanied by an aggregated set of multiple odor labels, effectively transforming the predictive objective into a multi-label c</w:t>
      </w:r>
      <w:r>
        <w:rPr>
          <w:sz w:val="24"/>
          <w:szCs w:val="24"/>
        </w:rPr>
        <w:t xml:space="preserve">lassification problem.</w:t>
      </w:r>
      <w:r>
        <w:rPr>
          <w:b/>
          <w:bCs/>
          <w:sz w:val="24"/>
          <w:szCs w:val="24"/>
          <w:highlight w:val="none"/>
          <w:u w:val="none"/>
        </w:rPr>
      </w:r>
    </w:p>
    <w:p w14:paraId="00F01EFF">
      <w:pPr>
        <w:pBdr/>
        <w:spacing w:after="0" w:afterAutospacing="0" w:before="240" w:line="360" w:lineRule="auto"/>
        <w:ind w:firstLine="720" w:left="0"/>
        <w:jc w:val="both"/>
        <w:rPr>
          <w:b/>
          <w:bCs/>
          <w:sz w:val="24"/>
          <w:szCs w:val="24"/>
          <w:highlight w:val="none"/>
          <w:u w:val="none"/>
        </w:rPr>
      </w:pPr>
      <w:r>
        <w:rPr>
          <w:sz w:val="24"/>
          <w:szCs w:val="24"/>
          <w:highlight w:val="none"/>
        </w:rPr>
      </w:r>
      <w:r>
        <w:rPr>
          <w:sz w:val="24"/>
          <w:szCs w:val="24"/>
          <w:highlight w:val="none"/>
        </w:rPr>
      </w:r>
      <w:r>
        <w:rPr>
          <w:sz w:val="24"/>
          <w:szCs w:val="24"/>
          <w:highlight w:val="none"/>
        </w:rPr>
      </w:r>
    </w:p>
    <w:p w14:paraId="0000000F">
      <w:pPr>
        <w:pBdr/>
        <w:spacing w:after="0" w:afterAutospacing="0" w:before="0" w:beforeAutospacing="0" w:line="360" w:lineRule="auto"/>
        <w:ind w:firstLine="0" w:left="0"/>
        <w:rPr>
          <w:b/>
          <w:bCs/>
          <w:sz w:val="24"/>
          <w:szCs w:val="24"/>
          <w:highlight w:val="none"/>
          <w:u w:val="none"/>
        </w:rPr>
      </w:pPr>
      <w:r>
        <w:rPr>
          <w:b/>
          <w:bCs/>
          <w:sz w:val="24"/>
          <w:szCs w:val="24"/>
          <w:rtl w:val="0"/>
        </w:rPr>
        <w:t xml:space="preserve">Exploratory Data Analysis</w:t>
      </w:r>
      <w:r>
        <w:rPr>
          <w:b/>
          <w:bCs/>
          <w:sz w:val="24"/>
          <w:szCs w:val="24"/>
          <w:u w:val="none"/>
        </w:rPr>
      </w:r>
      <w:r>
        <w:rPr>
          <w:b/>
          <w:bCs/>
          <w:sz w:val="24"/>
          <w:szCs w:val="24"/>
          <w:u w:val="none"/>
        </w:rPr>
      </w:r>
    </w:p>
    <w:p w14:paraId="2824BBE3">
      <w:pPr>
        <w:pBdr/>
        <w:spacing w:after="0" w:afterAutospacing="0" w:before="0" w:beforeAutospacing="0" w:line="360" w:lineRule="auto"/>
        <w:ind w:firstLine="0" w:left="0"/>
        <w:rPr>
          <w:b/>
          <w:bCs/>
          <w:sz w:val="24"/>
          <w:szCs w:val="24"/>
          <w:u w:val="none"/>
        </w:rPr>
      </w:pPr>
      <w:r>
        <w:rPr>
          <w:b/>
          <w:bCs/>
          <w:sz w:val="24"/>
          <w:szCs w:val="24"/>
          <w:highlight w:val="none"/>
          <w:u w:val="none"/>
        </w:rPr>
      </w:r>
      <w:r>
        <w:rPr>
          <w:b/>
          <w:bCs/>
          <w:sz w:val="24"/>
          <w:szCs w:val="24"/>
          <w:highlight w:val="none"/>
          <w:u w:val="none"/>
        </w:rPr>
      </w:r>
      <w:r>
        <w:rPr>
          <w:b/>
          <w:bCs/>
          <w:sz w:val="24"/>
          <w:szCs w:val="24"/>
          <w:highlight w:val="none"/>
          <w:u w:val="none"/>
        </w:rPr>
      </w:r>
    </w:p>
    <w:p w14:paraId="00000010">
      <w:pPr>
        <w:pBdr/>
        <w:spacing w:after="0" w:afterAutospacing="0" w:before="0" w:beforeAutospacing="0" w:line="360" w:lineRule="auto"/>
        <w:ind w:firstLine="0" w:left="720"/>
        <w:rPr>
          <w:b/>
          <w:bCs/>
          <w:sz w:val="24"/>
          <w:szCs w:val="24"/>
          <w:highlight w:val="none"/>
        </w:rPr>
      </w:pPr>
      <w:r>
        <w:rPr>
          <w:b/>
          <w:bCs/>
          <w:sz w:val="24"/>
          <w:szCs w:val="24"/>
          <w:rtl w:val="0"/>
        </w:rPr>
        <w:t xml:space="preserve">Chemical Space analysis</w:t>
      </w:r>
      <w:r>
        <w:rPr>
          <w:b/>
          <w:bCs/>
          <w:sz w:val="24"/>
          <w:szCs w:val="24"/>
        </w:rPr>
      </w:r>
      <w:r>
        <w:rPr>
          <w:b/>
          <w:bCs/>
          <w:sz w:val="24"/>
          <w:szCs w:val="24"/>
        </w:rPr>
      </w:r>
    </w:p>
    <w:p w14:paraId="7C8EBF6A">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To map the chemical space of the curated dataset, a dimensionality reduction workflow was executed using molecular fingerprints and t-distributed Stochastic Neighbor Embedding (t-SNE). The structural features of the 4,822 unique molecules were computationa</w:t>
      </w:r>
      <w:r>
        <w:rPr>
          <w:rFonts w:ascii="Arial" w:hAnsi="Arial" w:eastAsia="Arial" w:cs="Arial"/>
          <w:color w:val="000000"/>
          <w:sz w:val="24"/>
        </w:rPr>
        <w:t xml:space="preserve">lly encoded by calculating Morgan fingerprints (Extended-Connectivity Fingerprints) directly from the standardized SMILES strings. This high-dimensional matrix was subsequently utilized as the input configuration for the t-SNE algorithm to project the stru</w:t>
      </w:r>
      <w:r>
        <w:rPr>
          <w:rFonts w:ascii="Arial" w:hAnsi="Arial" w:eastAsia="Arial" w:cs="Arial"/>
          <w:color w:val="000000"/>
          <w:sz w:val="24"/>
        </w:rPr>
        <w:t xml:space="preserve">ctural topologies into a discrete two-dimensional coordinate space while optimizing the preservation of local pairwise similarities. The resulting two-dimensional embedding coordinates served as the spatial baseline configuration, onto which the binary cla</w:t>
      </w:r>
      <w:r>
        <w:rPr>
          <w:rFonts w:ascii="Arial" w:hAnsi="Arial" w:eastAsia="Arial" w:cs="Arial"/>
          <w:color w:val="000000"/>
          <w:sz w:val="24"/>
        </w:rPr>
        <w:t xml:space="preserve">ssification vectors for the 145 odor descriptors were systematically mapped to analyze coordinate density, structural overlap, and localized clustering patterns across the chemical space.</w:t>
      </w:r>
      <w:r>
        <w:rPr>
          <w:rFonts w:ascii="Arial" w:hAnsi="Arial" w:eastAsia="Arial" w:cs="Arial"/>
        </w:rPr>
      </w:r>
      <w:r>
        <w:rPr>
          <w:b/>
          <w:bCs/>
          <w:sz w:val="24"/>
          <w:szCs w:val="24"/>
          <w:highlight w:val="none"/>
          <w:rtl w:val="0"/>
          <w:lang w:val="pt-BR"/>
        </w:rPr>
      </w:r>
      <w:r>
        <w:rPr>
          <w:b/>
          <w:bCs/>
          <w:sz w:val="24"/>
          <w:szCs w:val="24"/>
          <w:highlight w:val="none"/>
          <w:rtl w:val="0"/>
          <w:lang w:val="pt-BR"/>
        </w:rPr>
      </w:r>
      <w:r>
        <w:rPr>
          <w:b/>
          <w:bCs/>
          <w:sz w:val="24"/>
          <w:szCs w:val="24"/>
          <w:highlight w:val="none"/>
          <w:rtl w:val="0"/>
          <w:lang w:val="pt-BR"/>
        </w:rPr>
      </w:r>
      <w:r>
        <w:rPr>
          <w:rFonts w:ascii="Arial" w:hAnsi="Arial" w:cs="Arial"/>
          <w:sz w:val="24"/>
        </w:rPr>
      </w:r>
    </w:p>
    <w:p w14:paraId="1B72DA9F">
      <w:pPr>
        <w:pBdr/>
        <w:spacing w:after="0" w:afterAutospacing="0" w:before="0" w:beforeAutospacing="0" w:line="360" w:lineRule="auto"/>
        <w:ind w:firstLine="0" w:left="720"/>
        <w:rPr>
          <w:b/>
          <w:bCs/>
          <w:sz w:val="24"/>
          <w:szCs w:val="24"/>
        </w:rPr>
      </w:pPr>
      <w:r>
        <w:rPr>
          <w:b/>
          <w:bCs/>
          <w:sz w:val="24"/>
          <w:szCs w:val="24"/>
          <w:highlight w:val="none"/>
        </w:rPr>
      </w:r>
      <w:r>
        <w:rPr>
          <w:b/>
          <w:bCs/>
          <w:sz w:val="24"/>
          <w:szCs w:val="24"/>
          <w:highlight w:val="none"/>
        </w:rPr>
      </w:r>
      <w:r>
        <w:rPr>
          <w:b/>
          <w:bCs/>
          <w:sz w:val="24"/>
          <w:szCs w:val="24"/>
          <w:highlight w:val="none"/>
        </w:rPr>
      </w:r>
    </w:p>
    <w:p w14:paraId="00000015">
      <w:pPr>
        <w:pBdr/>
        <w:spacing w:after="0" w:afterAutospacing="0" w:before="0" w:beforeAutospacing="0" w:line="360" w:lineRule="auto"/>
        <w:ind w:firstLine="0" w:left="0"/>
        <w:rPr>
          <w:b/>
          <w:bCs/>
          <w:sz w:val="24"/>
          <w:szCs w:val="24"/>
          <w:u w:val="none"/>
        </w:rPr>
      </w:pPr>
      <w:r>
        <w:rPr>
          <w:b/>
          <w:bCs/>
          <w:sz w:val="24"/>
          <w:szCs w:val="24"/>
          <w:rtl w:val="0"/>
        </w:rPr>
        <w:t xml:space="preserve">Model building</w:t>
      </w:r>
      <w:r>
        <w:rPr>
          <w:b/>
          <w:bCs/>
          <w:sz w:val="24"/>
          <w:szCs w:val="24"/>
          <w:u w:val="none"/>
          <w:lang w:val="pt-BR"/>
        </w:rPr>
        <w:t xml:space="preserve"> and evaluation</w:t>
      </w:r>
      <w:r>
        <w:rPr>
          <w:b/>
          <w:bCs/>
          <w:sz w:val="24"/>
          <w:szCs w:val="24"/>
          <w:u w:val="none"/>
        </w:rPr>
      </w:r>
    </w:p>
    <w:p w14:paraId="00000016">
      <w:pPr>
        <w:pBdr/>
        <w:spacing w:after="0" w:afterAutospacing="0" w:before="0" w:beforeAutospacing="0" w:line="360" w:lineRule="auto"/>
        <w:ind w:firstLine="0" w:left="720"/>
        <w:rPr>
          <w:b/>
          <w:bCs/>
          <w:sz w:val="24"/>
          <w:szCs w:val="24"/>
          <w:highlight w:val="none"/>
          <w:u w:val="none"/>
        </w:rPr>
      </w:pPr>
      <w:r>
        <w:rPr>
          <w:b/>
          <w:bCs/>
          <w:sz w:val="24"/>
          <w:szCs w:val="24"/>
          <w:rtl w:val="0"/>
        </w:rPr>
        <w:t xml:space="preserve">QLoRA fine tuning of ChemDFM</w:t>
      </w:r>
      <w:r>
        <w:rPr>
          <w:b/>
          <w:bCs/>
          <w:sz w:val="24"/>
          <w:szCs w:val="24"/>
          <w:u w:val="none"/>
        </w:rPr>
      </w:r>
      <w:r>
        <w:rPr>
          <w:b/>
          <w:bCs/>
          <w:sz w:val="24"/>
          <w:szCs w:val="24"/>
          <w:u w:val="none"/>
        </w:rPr>
      </w:r>
    </w:p>
    <w:p w14:paraId="59F4CDD5">
      <w:pPr>
        <w:pBdr/>
        <w:spacing w:after="0" w:afterAutospacing="0" w:before="0" w:beforeAutospacing="0" w:line="360" w:lineRule="auto"/>
        <w:ind w:firstLine="720" w:left="0"/>
        <w:jc w:val="both"/>
        <w:rPr>
          <w:b/>
          <w:bCs/>
          <w:sz w:val="24"/>
          <w:szCs w:val="24"/>
          <w:highlight w:val="none"/>
          <w:u w:val="none"/>
        </w:rPr>
      </w:pPr>
      <w:r>
        <w:rPr>
          <w:b/>
          <w:bCs/>
          <w:sz w:val="24"/>
          <w:szCs w:val="24"/>
          <w:highlight w:val="none"/>
          <w:u w:val="none"/>
        </w:rPr>
      </w:r>
      <w:r>
        <w:rPr>
          <w:sz w:val="24"/>
          <w:szCs w:val="24"/>
        </w:rPr>
        <w:t xml:space="preserve">To optimize the odor prediction framework, the chemistry domain-specific foundation model, ChemDFM, was fine-tuned on the curated multi-label dataset using an autoregressive learning approach. Given the computational constraints of consumer-grade hardware,</w:t>
      </w:r>
      <w:r>
        <w:rPr>
          <w:sz w:val="24"/>
          <w:szCs w:val="24"/>
        </w:rPr>
        <w:t xml:space="preserve"> the training pipeline was specifically configured to run efficiently on an NVIDIA RTX 4060 GPU equipped with 8 GB of video random-access memory (VRAM). This low-memory execution was achieved by implementing Parameter-Efficient Fine-Tuning (PEFT) through Q</w:t>
      </w:r>
      <w:r>
        <w:rPr>
          <w:sz w:val="24"/>
          <w:szCs w:val="24"/>
        </w:rPr>
        <w:t xml:space="preserve">uantized Low-Rank Adaptation (QLoRA), where the base model weights were frozen in a 4-bit NormalFloat (NF4) quantized format while updating only small, low-rank adapters. To further minimize the VRAM footprint and prevent out-of-memory errors, the optimize</w:t>
      </w:r>
      <w:r>
        <w:rPr>
          <w:sz w:val="24"/>
          <w:szCs w:val="24"/>
        </w:rPr>
        <w:t xml:space="preserve">r states were compressed using an 8-bit AdamW optimizer, and gradient checkpointing was enabled to drastically reduce memory usage from stored intermediate activations. The model was trained using a cross-entropy loss function over successive global steps </w:t>
      </w:r>
      <w:r>
        <w:rPr>
          <w:sz w:val="24"/>
          <w:szCs w:val="24"/>
        </w:rPr>
        <w:t xml:space="preserve">with a highly restricted per-device batch size, which was counterbalanced by a high number of gradient accumulation steps to simulate a larger effective batch size and ensure stable convergence. To safeguard against overfitting, the dataset was partitioned</w:t>
      </w:r>
      <w:r>
        <w:rPr>
          <w:sz w:val="24"/>
          <w:szCs w:val="24"/>
        </w:rPr>
        <w:t xml:space="preserve"> into distinct training, validation, and independent testing splits. Optimization dynamics were monitored continuously throughout the fine-tuning process by extracting performance indicators directly from the internal training log histories, capturing the </w:t>
      </w:r>
      <w:r>
        <w:rPr>
          <w:sz w:val="24"/>
          <w:szCs w:val="24"/>
        </w:rPr>
        <w:t xml:space="preserve">simultaneous trajectories of training and validation losses, next-token accuracy metrics, and prediction entropy. The final predictive performance and architectural stability were verified against the independent test split using the optimal model checkpoi</w:t>
      </w:r>
      <w:r>
        <w:rPr>
          <w:sz w:val="24"/>
          <w:szCs w:val="24"/>
        </w:rPr>
        <w:t xml:space="preserve">nts determined by the validation loss minima. To support open-source reproducibility and computational transparency, the complete suite of scripts utilized for model training, testing, and validation has been made publicly available in a dedicated GitHub r</w:t>
      </w:r>
      <w:r>
        <w:rPr>
          <w:sz w:val="24"/>
          <w:szCs w:val="24"/>
        </w:rPr>
        <w:t xml:space="preserve">epository.</w:t>
      </w:r>
      <w:r>
        <w:rPr>
          <w:b/>
          <w:bCs/>
          <w:sz w:val="24"/>
          <w:szCs w:val="24"/>
          <w:highlight w:val="none"/>
          <w:u w:val="none"/>
        </w:rPr>
      </w:r>
      <w:r>
        <w:rPr>
          <w:b/>
          <w:bCs/>
          <w:sz w:val="24"/>
          <w:szCs w:val="24"/>
          <w:u w:val="none"/>
        </w:rPr>
      </w:r>
    </w:p>
    <w:p w14:paraId="20BB8468">
      <w:pPr>
        <w:pBdr/>
        <w:spacing w:after="0" w:afterAutospacing="0" w:before="0" w:beforeAutospacing="0" w:line="360" w:lineRule="auto"/>
        <w:ind w:firstLine="720" w:left="0"/>
        <w:jc w:val="both"/>
        <w:rPr>
          <w:b/>
          <w:bCs/>
          <w:sz w:val="24"/>
          <w:szCs w:val="24"/>
          <w:u w:val="none"/>
        </w:rPr>
      </w:pPr>
      <w:r>
        <w:rPr>
          <w:b/>
          <w:bCs/>
          <w:sz w:val="24"/>
          <w:szCs w:val="24"/>
          <w:highlight w:val="none"/>
          <w:u w:val="none"/>
        </w:rPr>
      </w:r>
      <w:r>
        <w:rPr>
          <w:b/>
          <w:bCs/>
          <w:sz w:val="24"/>
          <w:szCs w:val="24"/>
          <w:highlight w:val="none"/>
          <w:u w:val="none"/>
        </w:rPr>
      </w:r>
      <w:r>
        <w:rPr>
          <w:b/>
          <w:bCs/>
          <w:sz w:val="24"/>
          <w:szCs w:val="24"/>
          <w:highlight w:val="none"/>
          <w:u w:val="none"/>
        </w:rPr>
      </w:r>
    </w:p>
    <w:p w14:paraId="00000017">
      <w:pPr>
        <w:pBdr/>
        <w:spacing w:after="0" w:afterAutospacing="0" w:before="0" w:beforeAutospacing="0" w:line="360" w:lineRule="auto"/>
        <w:ind w:firstLine="0" w:left="720"/>
        <w:rPr>
          <w:b/>
          <w:bCs/>
          <w:sz w:val="24"/>
          <w:szCs w:val="24"/>
          <w:highlight w:val="none"/>
          <w:u w:val="none"/>
        </w:rPr>
      </w:pPr>
      <w:r>
        <w:rPr>
          <w:b/>
          <w:bCs/>
          <w:sz w:val="24"/>
          <w:szCs w:val="24"/>
          <w:rtl w:val="0"/>
        </w:rPr>
        <w:t xml:space="preserve">Label Refinement</w:t>
      </w:r>
      <w:r>
        <w:rPr>
          <w:b/>
          <w:bCs/>
          <w:sz w:val="24"/>
          <w:szCs w:val="24"/>
          <w:u w:val="none"/>
        </w:rPr>
      </w:r>
      <w:r>
        <w:rPr>
          <w:b/>
          <w:bCs/>
          <w:sz w:val="24"/>
          <w:szCs w:val="24"/>
          <w:u w:val="none"/>
        </w:rPr>
      </w:r>
    </w:p>
    <w:p w14:paraId="3788CF7D">
      <w:pPr>
        <w:pBdr/>
        <w:spacing w:after="0" w:afterAutospacing="0" w:before="0" w:beforeAutospacing="0" w:line="360" w:lineRule="auto"/>
        <w:ind w:firstLine="720" w:left="0"/>
        <w:jc w:val="both"/>
        <w:rPr>
          <w:b/>
          <w:bCs/>
          <w:sz w:val="24"/>
          <w:szCs w:val="24"/>
          <w:highlight w:val="none"/>
          <w:u w:val="none"/>
        </w:rPr>
      </w:pPr>
      <w:r>
        <w:rPr>
          <w:b/>
          <w:bCs/>
          <w:sz w:val="24"/>
          <w:szCs w:val="24"/>
          <w:highlight w:val="none"/>
          <w:u w:val="none"/>
        </w:rPr>
      </w:r>
      <w:r>
        <w:rPr>
          <w:sz w:val="24"/>
          <w:szCs w:val="24"/>
        </w:rPr>
        <w:t xml:space="preserve">To optimize the multi-label classification target space, alternative label curation and taxonomic grouping strategies were systematically evaluated. Initially, semantic aggregation was tested by merging highly correlated or conceptually proximate descripto</w:t>
      </w:r>
      <w:r>
        <w:rPr>
          <w:sz w:val="24"/>
          <w:szCs w:val="24"/>
        </w:rPr>
        <w:t xml:space="preserve">rs that belonged to identical olfactory families, guided by the structural hierarchy of the OlfactionBase odor wheel</w:t>
      </w:r>
      <w:r>
        <w:rPr>
          <w:sz w:val="24"/>
          <w:szCs w:val="24"/>
          <w:lang w:val="pt-BR"/>
        </w:rPr>
        <w:t xml:space="preserve"> </w:t>
      </w:r>
      <w:r>
        <w:rPr>
          <w:sz w:val="24"/>
          <w:szCs w:val="24"/>
          <w:lang w:val="pt-BR"/>
        </w:rPr>
        <w:fldChar w:fldCharType="begin"/>
      </w:r>
      <w:r>
        <w:rPr>
          <w:sz w:val="24"/>
          <w:szCs w:val="24"/>
          <w:lang w:val="pt-BR"/>
        </w:rPr>
        <w:instrText xml:space="preserve"> ADDIN ZOTERO_ITEM CSL_CITATION{"citationID":"zpeefdu62c","schema":"https://raw.githubusercontent.com/citation-style-language/schema/master/schemas/input/csl-citation.json","properties":{"noteIndex":23,"index":22,"plainCitation":"[29]"},"citationItems":[{"id":"K9P7JXW9","itemData":{"id":"K9P7JXW9","type":"article-journal","language":"en","author":[{"family":"Sharma","given":"Anju"},{"family":"Saha","given":"Bishal Kumar"},{"family":"Kumar","given":"Rajnish"},{"family":"Varadwaj","given":"Pritish Kumar"}],"accessed":{"date-parts":[["2026",6,2]]},"issued":{"date-parts":[["2022",1,7]]},"abstract":"Abstract\n            Olfaction is a multi-stage process that initiates with the odorants entering the nose and terminates with the brain recognizing the odor associated with the odorant. In a very intricate way, the process incorporates various components functioning together and in synchronization. OlfactionBase is a free, open-access web server that aims to bring together knowledge about many aspects of the olfaction mechanism in one place. OlfactionBase contains detailed information of components like odors, odorants, and odorless compounds with physicochemical and ADMET properties, olfactory receptors (ORs), odorant- and pheromone binding proteins, OR-odorant interactions in Human and Mus musculus. The dynamic, user-friendly interface of the resource facilitates exploration of different entities: finding chemical compounds having desired odor, finding odorants associated with OR, associating chemical features with odor and OR, finding sequence information of ORs and related proteins. Finally, the data in OlfactionBase on odors, odorants, olfactory receptors, human and mouse OR-odorant pairs, and other associated proteins could aid in the inference and improved understanding of odor perception, which might provide new insights into the mechanism underlying olfaction. The OlfactionBase is available at https://bioserver.iiita.ac.in/olfactionbase/.","container-title":"Nucleic Acids Research","DOI":"10.1093/nar/gkab763","ISSN":"0305-1048, 1362-4962","issue":"D1","page":"D678-D686","source":"DOI.org (Crossref)","title":"OlfactionBase: a repository to explore odors, odorants, olfactory receptors and odorant–receptor interactions","title-short":"OlfactionBase","URL":"https://academic.oup.com/nar/article/50/D1/D678/6362078","volume":"50","custom":{"userID":0}},"uris":["http://zotero.org/users/14065362/items/K9P7JXW9"]}]} </w:instrText>
      </w:r>
      <w:r>
        <w:rPr>
          <w:sz w:val="24"/>
          <w:szCs w:val="24"/>
          <w:lang w:val="pt-BR"/>
        </w:rPr>
        <w:fldChar w:fldCharType="separate"/>
      </w:r>
      <w:r>
        <w:rPr>
          <w:sz w:val="24"/>
          <w:szCs w:val="24"/>
          <w:lang w:val="pt-BR"/>
        </w:rPr>
        <w:t xml:space="preserve">[29]</w:t>
      </w:r>
      <w:r>
        <w:rPr>
          <w:sz w:val="24"/>
          <w:szCs w:val="24"/>
          <w:lang w:val="pt-BR"/>
        </w:rPr>
        <w:fldChar w:fldCharType="end"/>
      </w:r>
      <w:r>
        <w:rPr>
          <w:sz w:val="24"/>
          <w:szCs w:val="24"/>
        </w:rPr>
        <w:t xml:space="preserve">. However, collapsing these discrete semantic boundaries did not yield any meaningful predictive improvements and conversely resulted in a m</w:t>
      </w:r>
      <w:r>
        <w:rPr>
          <w:sz w:val="24"/>
          <w:szCs w:val="24"/>
        </w:rPr>
        <w:t xml:space="preserve">easurable degradation of model performance, confirming that subtle semantic nuances carry critical localized structural signals that are flattened during grouping. Consequently, to address the highly imbalanced label distribution without compromising descr</w:t>
      </w:r>
      <w:r>
        <w:rPr>
          <w:sz w:val="24"/>
          <w:szCs w:val="24"/>
        </w:rPr>
        <w:t xml:space="preserve">iptor specificity, a strict frequency thresholding filter was adopted, whereby rare olfactory descriptors that occurred fewer than three times across the entire curated dataset were pruned from the final target matrix.</w:t>
      </w:r>
      <w:r>
        <w:rPr>
          <w:b/>
          <w:bCs/>
          <w:sz w:val="24"/>
          <w:szCs w:val="24"/>
          <w:highlight w:val="none"/>
          <w:u w:val="none"/>
        </w:rPr>
      </w:r>
      <w:r>
        <w:rPr>
          <w:b/>
          <w:bCs/>
          <w:sz w:val="24"/>
          <w:szCs w:val="24"/>
          <w:u w:val="none"/>
        </w:rPr>
      </w:r>
    </w:p>
    <w:p w14:paraId="1747C846">
      <w:pPr>
        <w:pBdr/>
        <w:spacing w:after="0" w:afterAutospacing="0" w:before="0" w:beforeAutospacing="0" w:line="360" w:lineRule="auto"/>
        <w:ind w:firstLine="720" w:left="0"/>
        <w:jc w:val="both"/>
        <w:rPr>
          <w:b/>
          <w:bCs/>
          <w:sz w:val="24"/>
          <w:szCs w:val="24"/>
          <w:u w:val="none"/>
        </w:rPr>
      </w:pPr>
      <w:r>
        <w:rPr>
          <w:b/>
          <w:bCs/>
          <w:sz w:val="24"/>
          <w:szCs w:val="24"/>
          <w:highlight w:val="none"/>
          <w:u w:val="none"/>
        </w:rPr>
      </w:r>
      <w:r>
        <w:rPr>
          <w:b/>
          <w:bCs/>
          <w:sz w:val="24"/>
          <w:szCs w:val="24"/>
          <w:highlight w:val="none"/>
          <w:u w:val="none"/>
        </w:rPr>
      </w:r>
      <w:r>
        <w:rPr>
          <w:b/>
          <w:bCs/>
          <w:sz w:val="24"/>
          <w:szCs w:val="24"/>
          <w:highlight w:val="none"/>
          <w:u w:val="none"/>
        </w:rPr>
      </w:r>
    </w:p>
    <w:p w14:paraId="00000018">
      <w:pPr>
        <w:pBdr/>
        <w:spacing w:after="240" w:before="0" w:beforeAutospacing="0" w:line="360" w:lineRule="auto"/>
        <w:ind w:firstLine="0" w:left="720"/>
        <w:rPr>
          <w:b/>
          <w:bCs/>
          <w:sz w:val="24"/>
          <w:szCs w:val="24"/>
          <w:highlight w:val="none"/>
          <w:u w:val="none"/>
        </w:rPr>
      </w:pPr>
      <w:r>
        <w:rPr>
          <w:b/>
          <w:bCs/>
          <w:sz w:val="24"/>
          <w:szCs w:val="24"/>
          <w:rtl w:val="0"/>
        </w:rPr>
        <w:t xml:space="preserve">Statistic analysis</w:t>
      </w:r>
      <w:r>
        <w:rPr>
          <w:b/>
          <w:bCs/>
          <w:sz w:val="24"/>
          <w:szCs w:val="24"/>
          <w:u w:val="none"/>
        </w:rPr>
      </w:r>
      <w:r>
        <w:rPr>
          <w:b/>
          <w:bCs/>
          <w:sz w:val="24"/>
          <w:szCs w:val="24"/>
          <w:u w:val="none"/>
        </w:rPr>
      </w:r>
    </w:p>
    <w:p w14:paraId="4560836E">
      <w:pPr>
        <w:pBdr>
          <w:top w:val="none" w:color="000000" w:sz="4" w:space="0"/>
          <w:left w:val="none" w:color="000000" w:sz="4" w:space="0"/>
          <w:bottom w:val="none" w:color="000000" w:sz="4" w:space="0"/>
          <w:right w:val="none" w:color="000000" w:sz="4" w:space="0"/>
        </w:pBdr>
        <w:spacing w:line="360" w:lineRule="auto"/>
        <w:ind w:right="0" w:firstLine="720" w:left="0"/>
        <w:jc w:val="both"/>
        <w:rPr>
          <w:b/>
          <w:bCs/>
          <w:sz w:val="24"/>
          <w:szCs w:val="24"/>
          <w:highlight w:val="none"/>
        </w:rPr>
      </w:pPr>
      <w:r>
        <w:rPr>
          <w:sz w:val="24"/>
          <w:szCs w:val="24"/>
        </w:rPr>
      </w:r>
      <w:r>
        <w:rPr>
          <w:sz w:val="24"/>
          <w:szCs w:val="24"/>
        </w:rPr>
        <w:t xml:space="preserve">The performance of the fine-tuned model was evaluated using both intrinsic training dynamics and downstream multi-label classification accuracy on an independent test dataset. Intrinsic evaluation was conducted by monitoring the cross-entropy loss, next-to</w:t>
      </w:r>
      <w:r>
        <w:rPr>
          <w:sz w:val="24"/>
          <w:szCs w:val="24"/>
        </w:rPr>
        <w:t xml:space="preserve">ken accuracy, and prediction entropy for both the training and validation sets at each global step, which were extracted directly from the internal trainer state logs. The validation loss minimum was utilized as the primary criterion to select the optimal </w:t>
      </w:r>
      <w:r>
        <w:rPr>
          <w:sz w:val="24"/>
          <w:szCs w:val="24"/>
        </w:rPr>
        <w:t xml:space="preserve">model checkpoint. For the extrinsic evaluation, the selected model checkpoint was deployed to run inference on the test dataset using autoregressive generation with a decoding temperature of 0.3 and a repetition penalty of 1.15. A regular expression script</w:t>
      </w:r>
      <w:r>
        <w:rPr>
          <w:sz w:val="24"/>
          <w:szCs w:val="24"/>
        </w:rPr>
        <w:t xml:space="preserve"> was developed to parse and extract the predicted olfactory descriptors from the designated primary odors and sub-odors sections of the generated text. The extracted labels and the ground-truth targets were converted into binary arrays using a multi-label </w:t>
      </w:r>
      <w:r>
        <w:rPr>
          <w:sz w:val="24"/>
          <w:szCs w:val="24"/>
        </w:rPr>
        <w:t xml:space="preserve">binarizer. The final classification performance was quantified by calculating micro- and macro-averaged precision, micro- and macro-averaged sensitivity, micro- and macro-averaged F1-scores, and the Matthews Correlation Coefficient.</w:t>
      </w:r>
      <w:r>
        <w:rPr>
          <w:b/>
          <w:bCs/>
          <w:sz w:val="24"/>
          <w:szCs w:val="24"/>
        </w:rPr>
      </w:r>
      <w:r>
        <w:rPr>
          <w:rFonts w:ascii="Times New Roman" w:hAnsi="Times New Roman" w:eastAsia="Times New Roman" w:cs="Times New Roman"/>
          <w:sz w:val="24"/>
          <w:szCs w:val="24"/>
        </w:rPr>
      </w:r>
    </w:p>
    <w:p w14:paraId="35166F6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1A733D">
      <w:pPr>
        <w:pBdr/>
        <w:spacing w:after="0" w:afterAutospacing="0" w:before="0" w:beforeAutospacing="0" w:line="360" w:lineRule="auto"/>
        <w:ind w:firstLine="0" w:left="0"/>
        <w:rPr>
          <w:b/>
          <w:bCs/>
          <w:sz w:val="24"/>
          <w:szCs w:val="24"/>
          <w:highlight w:val="none"/>
        </w:rPr>
      </w:pPr>
      <w:r>
        <w:rPr>
          <w:b/>
          <w:bCs/>
          <w:sz w:val="24"/>
          <w:szCs w:val="24"/>
          <w:rtl w:val="0"/>
          <w:lang w:val="pt-BR"/>
        </w:rPr>
        <w:t xml:space="preserve">Model interpretability</w:t>
      </w:r>
      <w:r>
        <w:rPr>
          <w:b/>
          <w:bCs/>
          <w:sz w:val="24"/>
          <w:szCs w:val="24"/>
          <w:highlight w:val="none"/>
          <w:lang w:val="pt-BR"/>
        </w:rPr>
      </w:r>
      <w:r>
        <w:rPr>
          <w:b/>
          <w:bCs/>
          <w:sz w:val="24"/>
          <w:szCs w:val="24"/>
          <w:highlight w:val="none"/>
          <w:lang w:val="pt-BR"/>
        </w:rPr>
      </w:r>
    </w:p>
    <w:p w14:paraId="5ED50E1E">
      <w:pPr>
        <w:pBdr/>
        <w:spacing w:after="0" w:afterAutospacing="0" w:before="0" w:beforeAutospacing="0" w:line="360" w:lineRule="auto"/>
        <w:ind w:firstLine="720" w:left="0"/>
        <w:jc w:val="both"/>
        <w:rPr>
          <w:b/>
          <w:bCs/>
          <w:sz w:val="24"/>
          <w:szCs w:val="24"/>
          <w:highlight w:val="none"/>
        </w:rPr>
      </w:pPr>
      <w:r>
        <w:rPr>
          <w:b/>
          <w:bCs/>
          <w:sz w:val="24"/>
          <w:szCs w:val="24"/>
          <w:highlight w:val="none"/>
          <w:rtl w:val="0"/>
          <w:lang w:val="pt-BR"/>
        </w:rPr>
      </w:r>
      <w:r>
        <w:rPr>
          <w:sz w:val="24"/>
          <w:szCs w:val="24"/>
        </w:rPr>
        <w:t xml:space="preserve">To elucidate the global predictive behavior of the fine-tuned primary model, a Random Forest global surrogate model was implemented. The surrogate algorithm was trained utilizing a derived dataset comprising the original input molecular representations pai</w:t>
      </w:r>
      <w:r>
        <w:rPr>
          <w:sz w:val="24"/>
          <w:szCs w:val="24"/>
        </w:rPr>
        <w:t xml:space="preserve">red with the corresponding target outputs predicted by the primary black-box model. By fitting an ensemble of decision trees to approximate the primary model's decision surface across the entire training distribution, the surrogate established a transparen</w:t>
      </w:r>
      <w:r>
        <w:rPr>
          <w:sz w:val="24"/>
          <w:szCs w:val="24"/>
        </w:rPr>
        <w:t xml:space="preserve">t mapping of the overall feature space. Global interpretability was subsequently achieved by extracting mean decrease in impurity metrics from the fitted Random Forest, thereby quantifying the relative global importance of distinct input features driving t</w:t>
      </w:r>
      <w:r>
        <w:rPr>
          <w:sz w:val="24"/>
          <w:szCs w:val="24"/>
        </w:rPr>
        <w:t xml:space="preserve">he primary model's aggregate predictions.</w:t>
      </w:r>
      <w:r>
        <w:rPr>
          <w:b/>
          <w:bCs/>
          <w:sz w:val="24"/>
          <w:szCs w:val="24"/>
          <w:highlight w:val="none"/>
          <w:lang w:val="pt-BR"/>
        </w:rPr>
      </w:r>
      <w:r>
        <w:rPr>
          <w:b/>
          <w:bCs/>
          <w:sz w:val="24"/>
          <w:szCs w:val="24"/>
          <w:highlight w:val="none"/>
          <w:lang w:val="pt-BR"/>
        </w:rPr>
      </w:r>
    </w:p>
    <w:p w14:paraId="377FDFCF">
      <w:pPr>
        <w:pBdr/>
        <w:spacing w:after="0" w:afterAutospacing="0" w:before="0" w:beforeAutospacing="0" w:line="360" w:lineRule="auto"/>
        <w:ind w:firstLine="0" w:left="0"/>
        <w:jc w:val="both"/>
        <w:rPr>
          <w:b/>
          <w:bCs/>
          <w:sz w:val="24"/>
          <w:szCs w:val="24"/>
        </w:rPr>
      </w:pPr>
      <w:r>
        <w:rPr>
          <w:b/>
          <w:bCs/>
          <w:sz w:val="24"/>
          <w:szCs w:val="24"/>
        </w:rPr>
      </w:r>
      <w:r>
        <w:rPr>
          <w:b/>
          <w:bCs/>
          <w:sz w:val="24"/>
          <w:szCs w:val="24"/>
        </w:rPr>
      </w:r>
      <w:r>
        <w:rPr>
          <w:b/>
          <w:bCs/>
          <w:sz w:val="24"/>
          <w:szCs w:val="24"/>
        </w:rPr>
      </w:r>
    </w:p>
    <w:p w14:paraId="7B74BA25">
      <w:pPr>
        <w:pBdr/>
        <w:spacing w:after="0" w:afterAutospacing="0" w:before="0" w:beforeAutospacing="0" w:line="360" w:lineRule="auto"/>
        <w:ind w:firstLine="0" w:left="0"/>
        <w:jc w:val="both"/>
        <w:rPr>
          <w:b/>
          <w:bCs/>
          <w:sz w:val="24"/>
          <w:szCs w:val="24"/>
        </w:rPr>
      </w:pPr>
      <w:r>
        <w:rPr>
          <w:b/>
          <w:bCs/>
          <w:sz w:val="24"/>
          <w:szCs w:val="24"/>
          <w:lang w:val="pt-BR"/>
        </w:rPr>
      </w:r>
      <w:r>
        <w:rPr>
          <w:b/>
          <w:bCs/>
          <w:sz w:val="24"/>
          <w:szCs w:val="24"/>
          <w:lang w:val="pt-BR"/>
        </w:rPr>
        <w:t xml:space="preserve">Uncertainty calculation</w:t>
      </w:r>
      <w:r>
        <w:rPr>
          <w:b/>
          <w:bCs/>
          <w:sz w:val="24"/>
          <w:szCs w:val="24"/>
        </w:rPr>
      </w:r>
      <w:r>
        <w:rPr>
          <w:b/>
          <w:bCs/>
          <w:sz w:val="24"/>
          <w:szCs w:val="24"/>
        </w:rPr>
      </w:r>
    </w:p>
    <w:p w14:paraId="7EAD3D65">
      <w:pPr>
        <w:pBdr>
          <w:top w:val="none" w:color="000000" w:sz="4" w:space="0"/>
          <w:left w:val="none" w:color="000000" w:sz="4" w:space="0"/>
          <w:bottom w:val="none" w:color="000000" w:sz="4" w:space="0"/>
          <w:right w:val="none" w:color="000000" w:sz="4" w:space="0"/>
        </w:pBdr>
        <w:spacing w:line="360" w:lineRule="auto"/>
        <w:ind w:right="0" w:firstLine="720" w:left="0"/>
        <w:jc w:val="both"/>
        <w:rPr>
          <w:b/>
          <w:bCs/>
          <w:sz w:val="24"/>
          <w:szCs w:val="24"/>
          <w:highlight w:val="none"/>
        </w:rPr>
      </w:pPr>
      <w:r>
        <w:rPr>
          <w:b/>
          <w:bCs/>
          <w:sz w:val="24"/>
          <w:szCs w:val="24"/>
          <w:highlight w:val="none"/>
        </w:rPr>
      </w:r>
      <w:r>
        <w:rPr>
          <w:sz w:val="24"/>
          <w:szCs w:val="24"/>
        </w:rPr>
        <w:t xml:space="preserve">To quantify predictive uncertainty within the fine-tuned autoregressive model, Monte Carlo dropout was employed during inference. The dropout layers inherent to the Low-Rank Adaptation modules were explicitly retained in active mode during evaluation to fa</w:t>
      </w:r>
      <w:r>
        <w:rPr>
          <w:sz w:val="24"/>
          <w:szCs w:val="24"/>
        </w:rPr>
        <w:t xml:space="preserve">cilitate stochastic forward passes. For each input representation, thirty independent generation trajectories were sampled to construct an implicit predictive ensemble. The variance of the resulting output distribution was subsequently calculated to derive</w:t>
      </w:r>
      <w:r>
        <w:rPr>
          <w:sz w:val="24"/>
          <w:szCs w:val="24"/>
        </w:rPr>
        <w:t xml:space="preserve"> a quantifiable uncertainty metric for each generated sequence, thereby isolating robust predictions from instances of high model uncertainty.</w:t>
      </w:r>
      <w:r>
        <w:rPr>
          <w:b/>
          <w:bCs/>
          <w:sz w:val="24"/>
          <w:szCs w:val="24"/>
          <w:highlight w:val="none"/>
        </w:rPr>
      </w:r>
      <w:r>
        <w:rPr>
          <w:rFonts w:ascii="Times New Roman" w:hAnsi="Times New Roman" w:eastAsia="Times New Roman" w:cs="Times New Roman"/>
          <w:sz w:val="24"/>
          <w:szCs w:val="24"/>
        </w:rPr>
      </w:r>
    </w:p>
    <w:p w14:paraId="5780C94B">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B00F39C">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CD15740">
      <w:pPr>
        <w:pBdr/>
        <w:shd w:val="nil"/>
        <w:spacing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b/>
          <w:bCs/>
          <w:sz w:val="24"/>
          <w:szCs w:val="24"/>
          <w:highlight w:val="none"/>
        </w:rPr>
      </w:r>
      <w:r>
        <w:rPr>
          <w:b/>
          <w:bCs/>
          <w:sz w:val="24"/>
          <w:szCs w:val="24"/>
          <w:highlight w:val="none"/>
        </w:rPr>
      </w:r>
      <w:r>
        <w:rPr>
          <w:b/>
          <w:bCs/>
          <w:sz w:val="24"/>
          <w:szCs w:val="24"/>
          <w:highlight w:val="none"/>
        </w:rPr>
      </w:r>
      <w:r>
        <w:rPr>
          <w:rFonts w:ascii="Times New Roman" w:hAnsi="Times New Roman" w:eastAsia="Times New Roman" w:cs="Times New Roman"/>
          <w:sz w:val="24"/>
          <w:szCs w:val="24"/>
        </w:rPr>
      </w:r>
    </w:p>
    <w:p w14:paraId="00000024">
      <w:pPr>
        <w:pBdr/>
        <w:spacing w:after="240" w:before="240" w:line="360" w:lineRule="auto"/>
        <w:ind w:firstLine="0" w:left="0"/>
        <w:rPr>
          <w:b/>
          <w:bCs/>
          <w:sz w:val="24"/>
          <w:szCs w:val="24"/>
        </w:rPr>
      </w:pPr>
      <w:r>
        <w:rPr>
          <w:b/>
          <w:bCs/>
          <w:sz w:val="24"/>
          <w:szCs w:val="24"/>
          <w:rtl w:val="0"/>
        </w:rPr>
        <w:t xml:space="preserve">RESULTS AND DISCUSSION</w:t>
      </w:r>
      <w:r>
        <w:rPr>
          <w:b/>
          <w:bCs/>
          <w:sz w:val="24"/>
          <w:szCs w:val="24"/>
        </w:rPr>
      </w:r>
      <w:r>
        <w:rPr>
          <w:b/>
          <w:bCs/>
          <w:sz w:val="24"/>
          <w:szCs w:val="24"/>
        </w:rPr>
      </w:r>
    </w:p>
    <w:p w14:paraId="00000025">
      <w:pPr>
        <w:pBdr/>
        <w:spacing w:after="0" w:afterAutospacing="0" w:before="240" w:line="360" w:lineRule="auto"/>
        <w:ind w:firstLine="0" w:left="0"/>
        <w:rPr>
          <w:b/>
          <w:bCs/>
          <w:sz w:val="24"/>
          <w:szCs w:val="24"/>
          <w:highlight w:val="none"/>
        </w:rPr>
      </w:pPr>
      <w:r>
        <w:rPr>
          <w:b/>
          <w:bCs/>
          <w:sz w:val="24"/>
          <w:szCs w:val="24"/>
          <w:rtl w:val="0"/>
        </w:rPr>
        <w:t xml:space="preserve">Datasets and preprocessing</w:t>
      </w:r>
      <w:r>
        <w:rPr>
          <w:b/>
          <w:bCs/>
          <w:sz w:val="24"/>
          <w:szCs w:val="24"/>
          <w:highlight w:val="none"/>
        </w:rPr>
      </w:r>
    </w:p>
    <w:p w14:paraId="38066FBD">
      <w:pPr>
        <w:pBdr/>
        <w:spacing w:after="0" w:afterAutospacing="0" w:before="240" w:line="360" w:lineRule="auto"/>
        <w:ind w:firstLine="720" w:left="0"/>
        <w:jc w:val="both"/>
        <w:rPr>
          <w:b/>
          <w:bCs/>
          <w:sz w:val="24"/>
          <w:szCs w:val="24"/>
          <w:highlight w:val="none"/>
        </w:rPr>
      </w:pPr>
      <w:r>
        <w:rPr>
          <w:b/>
          <w:bCs/>
          <w:sz w:val="24"/>
          <w:szCs w:val="24"/>
          <w:highlight w:val="none"/>
          <w:rtl w:val="0"/>
        </w:rPr>
      </w:r>
      <w:r>
        <w:rPr>
          <w:sz w:val="24"/>
          <w:szCs w:val="24"/>
        </w:rPr>
        <w:t xml:space="preserve">The initial aggregation of raw structural data from the GoodScents company database, the Dravnieks atlas, and the Leffingwell &amp; Associates flavor and fragrance database yielded a starting pool of 14,674 SMILES strings. Subjecting these raw records to the s</w:t>
      </w:r>
      <w:r>
        <w:rPr>
          <w:sz w:val="24"/>
          <w:szCs w:val="24"/>
        </w:rPr>
        <w:t xml:space="preserve">tandardization and filtration workflow</w:t>
      </w:r>
      <w:r>
        <w:rPr>
          <w:sz w:val="24"/>
          <w:szCs w:val="24"/>
          <w:lang w:val="pt-BR"/>
        </w:rPr>
        <w:t xml:space="preserve">, </w:t>
      </w:r>
      <w:r>
        <w:rPr>
          <w:sz w:val="24"/>
          <w:szCs w:val="24"/>
        </w:rPr>
        <w:t xml:space="preserve">which removed inorganic salts and multi-component mixtures while explicitly preserving structural stereochemistry</w:t>
      </w:r>
      <w:r>
        <w:rPr>
          <w:sz w:val="24"/>
          <w:szCs w:val="24"/>
          <w:lang w:val="pt-BR"/>
        </w:rPr>
        <w:t xml:space="preserve">, </w:t>
      </w:r>
      <w:r>
        <w:rPr>
          <w:sz w:val="24"/>
          <w:szCs w:val="24"/>
        </w:rPr>
        <w:t xml:space="preserve">isolated a total of 6,848 valid molecular records. Consolidating identical chemical structures across t</w:t>
      </w:r>
      <w:r>
        <w:rPr>
          <w:sz w:val="24"/>
          <w:szCs w:val="24"/>
        </w:rPr>
        <w:t xml:space="preserve">he repositories to aggregate multi-source annotations compressed these records into a final dataset of 3,424 unique molecular entities. This merging process established a multi-label target space encompassing a total of 54,150 label assignments distributed</w:t>
      </w:r>
      <w:r>
        <w:rPr>
          <w:sz w:val="24"/>
          <w:szCs w:val="24"/>
        </w:rPr>
        <w:t xml:space="preserve"> across 538 unique olfactory descriptors. Within this finalized configuration, the compounds exhibited a high density of descriptor overlap, carrying an average of 7.91 distinct odor annotations per unique molecular structure.</w:t>
      </w:r>
      <w:r>
        <w:rPr>
          <w:b/>
          <w:bCs/>
          <w:sz w:val="24"/>
          <w:szCs w:val="24"/>
          <w:highlight w:val="none"/>
          <w:rtl w:val="0"/>
        </w:rPr>
      </w:r>
      <w:r>
        <w:rPr>
          <w:b/>
          <w:bCs/>
          <w:sz w:val="24"/>
          <w:szCs w:val="24"/>
          <w:highlight w:val="none"/>
          <w:rtl w:val="0"/>
        </w:rPr>
      </w:r>
    </w:p>
    <w:p w14:paraId="039EF0B6">
      <w:pPr>
        <w:pBdr/>
        <w:spacing w:after="0" w:afterAutospacing="0" w:before="240" w:line="360" w:lineRule="auto"/>
        <w:ind w:firstLine="0" w:left="0"/>
        <w:rPr>
          <w:b/>
          <w:bCs/>
          <w:sz w:val="24"/>
          <w:szCs w:val="24"/>
        </w:rPr>
      </w:pPr>
      <w:r>
        <w:rPr>
          <w:b/>
          <w:bCs/>
          <w:sz w:val="24"/>
          <w:szCs w:val="24"/>
          <w:highlight w:val="none"/>
          <w:rtl w:val="0"/>
        </w:rPr>
      </w:r>
      <w:r>
        <w:rPr>
          <w:b/>
          <w:bCs/>
          <w:sz w:val="24"/>
          <w:szCs w:val="24"/>
          <w:highlight w:val="none"/>
          <w:rtl w:val="0"/>
        </w:rPr>
      </w:r>
      <w:r>
        <w:rPr>
          <w:b/>
          <w:bCs/>
          <w:sz w:val="24"/>
          <w:szCs w:val="24"/>
          <w:highlight w:val="none"/>
          <w:rtl w:val="0"/>
        </w:rPr>
      </w:r>
    </w:p>
    <w:p w14:paraId="00000026">
      <w:pPr>
        <w:pBdr/>
        <w:spacing w:after="240" w:before="0" w:beforeAutospacing="0" w:line="360" w:lineRule="auto"/>
        <w:ind w:firstLine="0" w:left="0"/>
        <w:rPr>
          <w:b/>
          <w:bCs/>
          <w:sz w:val="24"/>
          <w:szCs w:val="24"/>
          <w:highlight w:val="none"/>
        </w:rPr>
      </w:pPr>
      <w:r>
        <w:rPr>
          <w:b/>
          <w:bCs/>
          <w:sz w:val="24"/>
          <w:szCs w:val="24"/>
          <w:rtl w:val="0"/>
        </w:rPr>
        <w:t xml:space="preserve">Exploratory Data Analysis</w:t>
      </w:r>
      <w:r>
        <w:rPr>
          <w:b/>
          <w:bCs/>
          <w:sz w:val="24"/>
          <w:szCs w:val="24"/>
        </w:rPr>
      </w:r>
      <w:r>
        <w:rPr>
          <w:b/>
          <w:bCs/>
          <w:sz w:val="24"/>
          <w:szCs w:val="24"/>
        </w:rPr>
      </w:r>
    </w:p>
    <w:p w14:paraId="00000027">
      <w:pPr>
        <w:pBdr/>
        <w:spacing w:after="240" w:before="240" w:line="360" w:lineRule="auto"/>
        <w:ind w:firstLine="720"/>
        <w:jc w:val="both"/>
        <w:rPr>
          <w:sz w:val="24"/>
          <w:szCs w:val="24"/>
          <w:highlight w:val="none"/>
        </w:rPr>
      </w:pPr>
      <w:r>
        <w:rPr>
          <w:sz w:val="24"/>
          <w:szCs w:val="24"/>
          <w:rtl w:val="0"/>
        </w:rPr>
        <w:t xml:space="preserve">The curated consensus dataset comprises 4,822 molecules annotated across 145 odor descriptors and exhibits substantial heterogen</w:t>
      </w:r>
      <w:r>
        <w:rPr>
          <w:sz w:val="24"/>
          <w:szCs w:val="24"/>
          <w:rtl w:val="0"/>
        </w:rPr>
        <w:t xml:space="preserve">eity in label distribution. While some odor descriptors are associated with large numbers of molecules, others are represented by only a limited number of examples (Figure 1B). On average, each molecule is associated with approximately five odor descriptor</w:t>
      </w:r>
      <w:r>
        <w:rPr>
          <w:sz w:val="24"/>
          <w:szCs w:val="24"/>
          <w:rtl w:val="0"/>
        </w:rPr>
        <w:t xml:space="preserve">s (Figure 1A), underscoring the intrinsically multilabel and multidimensional nature of olfactory perception. Most molecules were annotated with 3–7 odor descriptors, indicating that individual compounds are rarely linked to a single olfactory quality. As </w:t>
      </w:r>
      <w:r>
        <w:rPr>
          <w:sz w:val="24"/>
          <w:szCs w:val="24"/>
          <w:rtl w:val="0"/>
        </w:rPr>
        <w:t xml:space="preserve">shown in Figure 1B, the descriptor distribution is highly imbalanced, with a small subset of highly prevalent labels dominating the dataset. In particular, descriptors such as “fruity”, “green”, “sweet”, “floral”, and “herbal” were each associated with hun</w:t>
      </w:r>
      <w:r>
        <w:rPr>
          <w:sz w:val="24"/>
          <w:szCs w:val="24"/>
          <w:rtl w:val="0"/>
        </w:rPr>
        <w:t xml:space="preserve">dreds to thousands of molecules, collectively accounting for a substantial fraction of all label assignments. This uneven distribution reflects the broad and overlapping nature of olfactory annotation, where generic descriptors are frequently reused across</w:t>
      </w:r>
      <w:r>
        <w:rPr>
          <w:sz w:val="24"/>
          <w:szCs w:val="24"/>
          <w:rtl w:val="0"/>
        </w:rPr>
        <w:t xml:space="preserve"> chemically diverse compounds. Together, these observations highlight two key characteristics of olfactory datasets: molecules commonly carry multiple odor annotations, and a limited number of generic descriptors dominate the chemical space representation.</w:t>
      </w:r>
      <w:r>
        <w:rPr>
          <w:sz w:val="24"/>
          <w:szCs w:val="24"/>
        </w:rPr>
      </w:r>
      <w:r>
        <w:rPr>
          <w:sz w:val="24"/>
          <w:szCs w:val="24"/>
        </w:rPr>
      </w:r>
      <w:r>
        <w:rPr>
          <w:sz w:val="24"/>
          <w:szCs w:val="24"/>
          <w:highlight w:val="none"/>
        </w:rPr>
      </w:r>
      <w:r>
        <w:rPr>
          <w:sz w:val="24"/>
          <w:szCs w:val="24"/>
          <w:highlight w:val="none"/>
        </w:rPr>
      </w:r>
      <w:r>
        <w:rPr>
          <w:sz w:val="24"/>
          <w:szCs w:val="24"/>
          <w:highlight w:val="none"/>
        </w:rPr>
      </w:r>
      <w:r>
        <w:rPr>
          <w:sz w:val="24"/>
          <w:szCs w:val="24"/>
          <w:highlight w:val="none"/>
        </w:rPr>
      </w:r>
      <w:r>
        <w:rPr>
          <w:sz w:val="24"/>
          <w:szCs w:val="24"/>
          <w:highlight w:val="none"/>
        </w:rPr>
      </w:r>
    </w:p>
    <w:p w14:paraId="00000028">
      <w:pPr>
        <w:pBdr/>
        <w:spacing w:after="240" w:before="240"/>
        <w:ind w:firstLine="0" w:left="0"/>
        <w:rPr>
          <w:sz w:val="24"/>
          <w:szCs w:val="24"/>
          <w:highlight w:val="none"/>
        </w:rPr>
      </w:pPr>
      <w:r>
        <w:rPr>
          <w:b/>
          <w:bCs/>
          <w:sz w:val="24"/>
          <w:szCs w:val="24"/>
        </w:rPr>
      </w:r>
      <w:r>
        <w:rPr>
          <w:b/>
          <w:bCs/>
          <w:sz w:val="24"/>
          <w:szCs w:val="24"/>
        </w:rPr>
        <mc:AlternateContent>
          <mc:Choice Requires="wpg">
            <w:drawing>
              <wp:inline xmlns:wp="http://schemas.openxmlformats.org/drawingml/2006/wordprocessingDrawing" distT="0" distB="0" distL="0" distR="0">
                <wp:extent cx="5733415" cy="322676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6873" name=""/>
                        <pic:cNvPicPr>
                          <a:picLocks noChangeAspect="1"/>
                        </pic:cNvPicPr>
                        <pic:nvPr/>
                      </pic:nvPicPr>
                      <pic:blipFill rotWithShape="1">
                        <a:blip r:embed="rId9"/>
                        <a:stretch/>
                      </pic:blipFill>
                      <pic:spPr bwMode="auto">
                        <a:xfrm>
                          <a:off x="0" y="0"/>
                          <a:ext cx="5733414" cy="3226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45pt;height:254.08pt;mso-wrap-distance-left:0.00pt;mso-wrap-distance-top:0.00pt;mso-wrap-distance-right:0.00pt;mso-wrap-distance-bottom:0.00pt;z-index:1;" stroked="false">
                <v:imagedata r:id="rId9" o:title=""/>
                <o:lock v:ext="edit" rotation="t"/>
              </v:shape>
            </w:pict>
          </mc:Fallback>
        </mc:AlternateContent>
      </w:r>
      <w:r>
        <w:rPr>
          <w:b/>
          <w:bCs/>
          <w:sz w:val="24"/>
          <w:szCs w:val="24"/>
        </w:rPr>
      </w:r>
      <w:r>
        <w:rPr>
          <w:b/>
          <w:bCs/>
          <w:sz w:val="24"/>
          <w:szCs w:val="24"/>
        </w:rPr>
      </w:r>
      <w:r>
        <w:rPr>
          <w:sz w:val="24"/>
          <w:szCs w:val="24"/>
        </w:rPr>
      </w:r>
      <w:r>
        <w:rPr>
          <w:sz w:val="24"/>
          <w:szCs w:val="24"/>
        </w:rPr>
      </w:r>
      <w:r>
        <w:rPr>
          <w:sz w:val="24"/>
          <w:szCs w:val="24"/>
        </w:rPr>
      </w:r>
    </w:p>
    <w:p w14:paraId="10519E64">
      <w:pPr>
        <w:pBdr/>
        <w:spacing w:after="240" w:before="240" w:line="360" w:lineRule="auto"/>
        <w:ind w:firstLine="0"/>
        <w:jc w:val="both"/>
        <w:rPr>
          <w:sz w:val="22"/>
          <w:szCs w:val="22"/>
          <w:highlight w:val="none"/>
        </w:rPr>
      </w:pPr>
      <w:r>
        <w:rPr>
          <w:sz w:val="22"/>
          <w:szCs w:val="22"/>
          <w:highlight w:val="none"/>
        </w:rPr>
      </w:r>
      <w:r>
        <w:rPr>
          <w:sz w:val="22"/>
          <w:szCs w:val="22"/>
          <w:highlight w:val="none"/>
          <w:lang w:val="pt-BR"/>
        </w:rPr>
        <w:t xml:space="preserve">Figure 1. Label assignment in the unified olfactory dataset. </w:t>
      </w:r>
      <w:r>
        <w:rPr>
          <w:sz w:val="22"/>
          <w:szCs w:val="22"/>
        </w:rPr>
        <w:t xml:space="preserve">Profile of odor descriptor annotations across the curated molecular dataset. (A) Distribution of the number of distinct odor descriptors assigned per molecule, demonstrating the multi-label nature of the dataset where most compounds carry multiple simultan</w:t>
      </w:r>
      <w:r>
        <w:rPr>
          <w:sz w:val="22"/>
          <w:szCs w:val="22"/>
        </w:rPr>
        <w:t xml:space="preserve">eous annotations. (B) Frequency distribution of individual odor descriptors, illustrating a highly imbalanced distribution where a small subset of highly prevalent, generic labels dominates the chemical annotation space.</w:t>
      </w:r>
      <w:r>
        <w:rPr>
          <w:sz w:val="22"/>
          <w:szCs w:val="22"/>
          <w:highlight w:val="none"/>
        </w:rPr>
      </w:r>
      <w:r>
        <w:rPr>
          <w:sz w:val="22"/>
          <w:szCs w:val="22"/>
          <w:highlight w:val="none"/>
          <w:lang w:val="pt-BR"/>
        </w:rPr>
      </w:r>
    </w:p>
    <w:p w14:paraId="00000029">
      <w:pPr>
        <w:pBdr/>
        <w:spacing w:after="240" w:before="240" w:line="360" w:lineRule="auto"/>
        <w:ind w:firstLine="720"/>
        <w:jc w:val="both"/>
        <w:rPr>
          <w:sz w:val="24"/>
          <w:szCs w:val="24"/>
          <w:highlight w:val="none"/>
        </w:rPr>
      </w:pPr>
      <w:r>
        <w:rPr>
          <w:sz w:val="24"/>
          <w:szCs w:val="24"/>
          <w:rtl w:val="0"/>
        </w:rPr>
        <w:t xml:space="preserve">Chemical space analysis revealed that most odor descriptors are broadly distributed throughout the chemical space, although certain labels formed more localized clusters, suggesting the presence of shared structural motifs associated w</w:t>
      </w:r>
      <w:r>
        <w:rPr>
          <w:sz w:val="24"/>
          <w:szCs w:val="24"/>
          <w:rtl w:val="0"/>
        </w:rPr>
        <w:t xml:space="preserve">ith specific olfactory perceptions. As illustrated in Figure 2, the five most prevalent descriptors in the dataset (“fruity”, “green”, “sweet”, “floral”, and “herbal”) were widely dispersed across the t-SNE projection, spanning multiple regions of chemical</w:t>
      </w:r>
      <w:r>
        <w:rPr>
          <w:sz w:val="24"/>
          <w:szCs w:val="24"/>
          <w:rtl w:val="0"/>
        </w:rPr>
        <w:t xml:space="preserve"> space. In contrast, descriptors such as “alcoholic”, “odorless”, “coconut”, “coffee”, and “sulfurous” exhibited more localized clustering patterns, indicating the existence of more structurally constrained chemotypes associated with these odor qualities. </w:t>
      </w:r>
      <w:r>
        <w:rPr>
          <w:sz w:val="24"/>
          <w:szCs w:val="24"/>
        </w:rPr>
      </w:r>
      <w:r>
        <w:rPr>
          <w:sz w:val="24"/>
          <w:szCs w:val="24"/>
        </w:rPr>
      </w:r>
    </w:p>
    <w:p w14:paraId="77194070">
      <w:pPr>
        <w:pBdr/>
        <w:spacing w:after="240" w:before="240"/>
        <w:ind w:firstLine="720"/>
        <w:jc w:val="both"/>
        <w:rPr>
          <w:sz w:val="24"/>
          <w:szCs w:val="24"/>
        </w:rPr>
      </w:pPr>
      <w:r>
        <w:rPr>
          <w:sz w:val="24"/>
          <w:szCs w:val="24"/>
        </w:rPr>
      </w:r>
      <w:r>
        <w:rPr>
          <w:sz w:val="24"/>
          <w:szCs w:val="24"/>
        </w:rPr>
      </w:r>
      <w:r>
        <w:rPr>
          <w:sz w:val="24"/>
          <w:szCs w:val="24"/>
        </w:rPr>
      </w:r>
    </w:p>
    <w:p w14:paraId="11674ED3">
      <w:pPr>
        <w:pBdr/>
        <w:spacing w:after="240" w:before="240"/>
        <w:ind w:firstLine="0"/>
        <w:jc w:val="left"/>
        <w:rPr>
          <w:sz w:val="24"/>
          <w:szCs w:val="24"/>
        </w:rPr>
      </w:pPr>
      <w:r>
        <w:rPr>
          <w:sz w:val="24"/>
          <w:szCs w:val="24"/>
        </w:rPr>
      </w:r>
      <w:r>
        <w:rPr>
          <w:sz w:val="24"/>
          <w:szCs w:val="24"/>
        </w:rPr>
      </w:r>
      <w:r>
        <w:rPr>
          <w:sz w:val="24"/>
          <w:szCs w:val="24"/>
        </w:rPr>
      </w:r>
    </w:p>
    <w:p w14:paraId="0000002A">
      <w:pPr>
        <w:pBdr/>
        <w:spacing w:after="240" w:before="240"/>
        <w:ind w:firstLine="0" w:left="0"/>
        <w:jc w:val="both"/>
        <w:rPr>
          <w:sz w:val="24"/>
          <w:szCs w:val="24"/>
          <w:highlight w:val="none"/>
        </w:rPr>
      </w:pPr>
      <w:r>
        <w:rPr>
          <w:sz w:val="24"/>
          <w:szCs w:val="24"/>
        </w:rPr>
        <mc:AlternateContent>
          <mc:Choice Requires="wpg">
            <w:drawing>
              <wp:inline xmlns:wp="http://schemas.openxmlformats.org/drawingml/2006/wordprocessingDrawing" distT="0" distB="0" distL="0" distR="0">
                <wp:extent cx="5731200" cy="265983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0"/>
                        <a:srcRect l="0" t="12735" r="0" b="0"/>
                        <a:stretch/>
                      </pic:blipFill>
                      <pic:spPr bwMode="auto">
                        <a:xfrm flipH="0" flipV="0">
                          <a:off x="0" y="0"/>
                          <a:ext cx="5731200" cy="265983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28pt;height:209.44pt;mso-wrap-distance-left:0.00pt;mso-wrap-distance-top:0.00pt;mso-wrap-distance-right:0.00pt;mso-wrap-distance-bottom:0.00pt;z-index:1;">
                <v:imagedata r:id="rId10" o:title="" croptop="8346f" cropleft="0f" cropbottom="0f" cropright="0f"/>
                <o:lock v:ext="edit" rotation="t"/>
              </v:shape>
            </w:pict>
          </mc:Fallback>
        </mc:AlternateContent>
      </w:r>
      <w:r>
        <w:rPr>
          <w:sz w:val="24"/>
          <w:szCs w:val="24"/>
        </w:rPr>
      </w:r>
      <w:r>
        <w:rPr>
          <w:sz w:val="24"/>
          <w:szCs w:val="24"/>
        </w:rPr>
      </w:r>
    </w:p>
    <w:p w14:paraId="4326701D">
      <w:pPr>
        <w:pBdr/>
        <w:spacing w:after="240" w:before="240"/>
        <w:ind w:firstLine="0"/>
        <w:jc w:val="both"/>
        <w:rPr>
          <w:sz w:val="22"/>
          <w:szCs w:val="22"/>
        </w:rPr>
      </w:pPr>
      <w:r>
        <w:rPr>
          <w:sz w:val="22"/>
          <w:szCs w:val="22"/>
          <w:highlight w:val="none"/>
          <w:lang w:val="pt-BR"/>
        </w:rPr>
        <w:t xml:space="preserve">Figure 2. Chemical space analysis of odor descriptors using Morgan fingerprints and t-SNE. </w:t>
      </w:r>
      <w:r>
        <w:rPr>
          <w:sz w:val="22"/>
          <w:szCs w:val="22"/>
        </w:rPr>
        <w:t xml:space="preserve">Two-dimensional t-SNE visualization of the olfactory chemical space mapped using molecular Morgan fingerprints. The projection illustrates the spatial distribution and clustering behavior of selected odor descriptors across the dataset, highlighting the wi</w:t>
      </w:r>
      <w:r>
        <w:rPr>
          <w:sz w:val="22"/>
          <w:szCs w:val="22"/>
        </w:rPr>
        <w:t xml:space="preserve">despread dispersion of highly prevalent generic labels contrasted with the localized, regional clustering of structurally constrained chemotypes.</w:t>
      </w:r>
      <w:r>
        <w:rPr>
          <w:sz w:val="22"/>
          <w:szCs w:val="22"/>
          <w:highlight w:val="none"/>
        </w:rPr>
      </w:r>
      <w:r>
        <w:rPr>
          <w:sz w:val="22"/>
          <w:szCs w:val="22"/>
        </w:rPr>
      </w:r>
    </w:p>
    <w:p w14:paraId="0000002B">
      <w:pPr>
        <w:pBdr/>
        <w:spacing w:after="240" w:before="240" w:line="360" w:lineRule="auto"/>
        <w:ind w:firstLine="720"/>
        <w:jc w:val="both"/>
        <w:rPr>
          <w:sz w:val="24"/>
          <w:szCs w:val="24"/>
        </w:rPr>
      </w:pPr>
      <w:r>
        <w:rPr>
          <w:sz w:val="24"/>
          <w:szCs w:val="24"/>
          <w:rtl w:val="0"/>
        </w:rPr>
        <w:t xml:space="preserve">Howeve</w:t>
      </w:r>
      <w:r>
        <w:rPr>
          <w:sz w:val="24"/>
          <w:szCs w:val="24"/>
          <w:rtl w:val="0"/>
        </w:rPr>
        <w:t xml:space="preserve">r, the overall overlap between descriptors remained substantial, reflecting the intrinsically multilabel nature of olfactory datasets, in which individual molecules may be associated with multiple odor qualities simultaneously. This complexity is further c</w:t>
      </w:r>
      <w:r>
        <w:rPr>
          <w:sz w:val="24"/>
          <w:szCs w:val="24"/>
          <w:rtl w:val="0"/>
        </w:rPr>
        <w:t xml:space="preserve">ompounded by the many-to-many relationship between molecular structure and odor perception: structurally diverse molecules can evoke similar olfactory impressions, whereas closely related compounds may exhibit markedly different odor profiles. Together, th</w:t>
      </w:r>
      <w:r>
        <w:rPr>
          <w:sz w:val="24"/>
          <w:szCs w:val="24"/>
          <w:rtl w:val="0"/>
        </w:rPr>
        <w:t xml:space="preserve">ese observations highlight that the relationship between molecular structure and odor is complex, overlapping, and not governed by simple structural rules, reinforcing the challenges of defining discrete chemical boundaries for individual odor descriptors.</w:t>
      </w:r>
      <w:r>
        <w:rPr>
          <w:sz w:val="24"/>
          <w:szCs w:val="24"/>
        </w:rPr>
      </w:r>
      <w:r>
        <w:rPr>
          <w:sz w:val="24"/>
          <w:szCs w:val="24"/>
        </w:rPr>
      </w:r>
      <w:r>
        <w:rPr>
          <w:rtl w:val="0"/>
        </w:rPr>
      </w:r>
      <w:r>
        <w:rPr>
          <w:sz w:val="24"/>
          <w:szCs w:val="24"/>
        </w:rPr>
      </w:r>
      <w:r>
        <w:rPr>
          <w:sz w:val="24"/>
          <w:szCs w:val="24"/>
        </w:rPr>
      </w:r>
      <w:r>
        <w:rPr>
          <w:sz w:val="24"/>
          <w:szCs w:val="24"/>
        </w:rPr>
      </w:r>
    </w:p>
    <w:p w14:paraId="0000002D">
      <w:pPr>
        <w:pBdr/>
        <w:spacing w:after="0" w:afterAutospacing="0" w:before="240" w:line="360" w:lineRule="auto"/>
        <w:ind w:firstLine="0" w:left="0"/>
        <w:rPr>
          <w:b/>
          <w:bCs/>
          <w:sz w:val="24"/>
          <w:szCs w:val="24"/>
        </w:rPr>
      </w:pPr>
      <w:r>
        <w:rPr>
          <w:b/>
          <w:bCs/>
          <w:sz w:val="24"/>
          <w:szCs w:val="24"/>
          <w:rtl w:val="0"/>
        </w:rPr>
        <w:t xml:space="preserve">Model building</w:t>
      </w:r>
      <w:r>
        <w:rPr>
          <w:b/>
          <w:bCs/>
          <w:sz w:val="24"/>
          <w:szCs w:val="24"/>
          <w:lang w:val="pt-BR"/>
        </w:rPr>
        <w:t xml:space="preserve"> and evaluation</w:t>
      </w:r>
      <w:r>
        <w:rPr>
          <w:b/>
          <w:bCs/>
          <w:sz w:val="24"/>
          <w:szCs w:val="24"/>
        </w:rPr>
      </w:r>
    </w:p>
    <w:p w14:paraId="0000002E">
      <w:pPr>
        <w:pBdr/>
        <w:spacing w:after="0" w:afterAutospacing="0" w:before="0" w:beforeAutospacing="0" w:line="360" w:lineRule="auto"/>
        <w:ind w:firstLine="720" w:left="0"/>
        <w:rPr>
          <w:b/>
          <w:bCs/>
          <w:sz w:val="24"/>
          <w:szCs w:val="24"/>
          <w:highlight w:val="none"/>
        </w:rPr>
      </w:pPr>
      <w:r>
        <w:rPr>
          <w:b/>
          <w:bCs/>
          <w:sz w:val="24"/>
          <w:szCs w:val="24"/>
          <w:rtl w:val="0"/>
        </w:rPr>
        <w:t xml:space="preserve">QLoRA fine tuning of ChemDFM</w:t>
      </w:r>
      <w:r>
        <w:rPr>
          <w:b/>
          <w:bCs/>
          <w:sz w:val="24"/>
          <w:szCs w:val="24"/>
        </w:rPr>
      </w:r>
      <w:r>
        <w:rPr>
          <w:b/>
          <w:bCs/>
          <w:sz w:val="24"/>
          <w:szCs w:val="24"/>
          <w:highlight w:val="none"/>
        </w:rPr>
      </w:r>
    </w:p>
    <w:p w14:paraId="6FD805A2">
      <w:pPr>
        <w:pBdr/>
        <w:spacing w:after="0" w:afterAutospacing="0" w:before="0" w:beforeAutospacing="0" w:line="360" w:lineRule="auto"/>
        <w:ind w:firstLine="720" w:left="0"/>
        <w:jc w:val="both"/>
        <w:rPr>
          <w:sz w:val="24"/>
          <w:szCs w:val="24"/>
          <w:highlight w:val="none"/>
          <w:lang w:val="pt-BR"/>
        </w:rPr>
      </w:pPr>
      <w:r>
        <w:rPr>
          <w:b/>
          <w:bCs/>
          <w:sz w:val="24"/>
          <w:szCs w:val="24"/>
          <w:highlight w:val="none"/>
        </w:rPr>
      </w:r>
      <w:r>
        <w:rPr>
          <w:sz w:val="24"/>
          <w:szCs w:val="24"/>
        </w:rPr>
        <w:t xml:space="preserve">Implementation of the parameter-efficient fine-tuning framework successfully optimized the ChemDFM model within strict hardware memory constraints, demonstrating highly stable convergence and robust learning. Guided by a cosine learning rate schedule (Figu</w:t>
      </w:r>
      <w:r>
        <w:rPr>
          <w:sz w:val="24"/>
          <w:szCs w:val="24"/>
        </w:rPr>
        <w:t xml:space="preserve">re </w:t>
      </w:r>
      <w:r>
        <w:rPr>
          <w:sz w:val="24"/>
          <w:szCs w:val="24"/>
          <w:lang w:val="pt-BR"/>
        </w:rPr>
        <w:t xml:space="preserve">3</w:t>
      </w:r>
      <w:r>
        <w:rPr>
          <w:sz w:val="24"/>
          <w:szCs w:val="24"/>
        </w:rPr>
        <w:t xml:space="preserve">B), both training and validation cross-entropy losses exhibited a rapid initial descent during the first 100 steps before stabilizing in tight alignment (Figure </w:t>
      </w:r>
      <w:r>
        <w:rPr>
          <w:sz w:val="24"/>
          <w:szCs w:val="24"/>
          <w:lang w:val="pt-BR"/>
        </w:rPr>
        <w:t xml:space="preserve">3</w:t>
      </w:r>
      <w:r>
        <w:rPr>
          <w:sz w:val="24"/>
          <w:szCs w:val="24"/>
        </w:rPr>
        <w:t xml:space="preserve">A)</w:t>
      </w:r>
      <w:r>
        <w:rPr>
          <w:sz w:val="24"/>
          <w:szCs w:val="24"/>
          <w:lang w:val="pt-BR"/>
        </w:rPr>
        <w:t xml:space="preserve">.</w:t>
      </w:r>
      <w:r>
        <w:rPr>
          <w:sz w:val="24"/>
          <w:szCs w:val="24"/>
          <w:highlight w:val="none"/>
        </w:rPr>
      </w:r>
    </w:p>
    <w:p w14:paraId="082A09FD">
      <w:pPr>
        <w:pBdr/>
        <w:spacing w:after="0" w:afterAutospacing="0" w:before="0" w:beforeAutospacing="0" w:line="360" w:lineRule="auto"/>
        <w:ind w:firstLine="720" w:left="0"/>
        <w:jc w:val="both"/>
        <w:rPr>
          <w:sz w:val="24"/>
          <w:szCs w:val="24"/>
          <w:highlight w:val="none"/>
        </w:rPr>
      </w:pPr>
      <w:r>
        <w:rPr>
          <w:sz w:val="24"/>
          <w:szCs w:val="24"/>
          <w:highlight w:val="none"/>
          <w:lang w:val="pt-BR"/>
        </w:rPr>
      </w:r>
      <w:r>
        <w:rPr>
          <w:sz w:val="24"/>
          <w:szCs w:val="24"/>
          <w:highlight w:val="none"/>
          <w:lang w:val="pt-BR"/>
        </w:rPr>
      </w:r>
      <w:r>
        <w:rPr>
          <w:sz w:val="24"/>
          <w:szCs w:val="24"/>
          <w:highlight w:val="none"/>
          <w:lang w:val="pt-BR"/>
        </w:rPr>
      </w:r>
    </w:p>
    <w:p w14:paraId="64395BF1">
      <w:pPr>
        <w:pBdr/>
        <w:spacing w:after="0" w:afterAutospacing="0" w:before="0" w:beforeAutospacing="0" w:line="360" w:lineRule="auto"/>
        <w:ind w:firstLine="0" w:left="0"/>
        <w:jc w:val="center"/>
        <w:rPr>
          <w:sz w:val="24"/>
          <w:szCs w:val="24"/>
          <w:highlight w:val="none"/>
        </w:rPr>
      </w:pPr>
      <w:r>
        <w:rPr>
          <w:sz w:val="24"/>
          <w:szCs w:val="24"/>
          <w:highlight w:val="none"/>
        </w:rPr>
      </w:r>
      <w:r>
        <w:rPr>
          <w:sz w:val="24"/>
          <w:szCs w:val="24"/>
          <w:highlight w:val="none"/>
        </w:rPr>
        <mc:AlternateContent>
          <mc:Choice Requires="wpg">
            <w:drawing>
              <wp:inline xmlns:wp="http://schemas.openxmlformats.org/drawingml/2006/wordprocessingDrawing" distT="0" distB="0" distL="0" distR="0">
                <wp:extent cx="4881248" cy="482023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7142" name=""/>
                        <pic:cNvPicPr>
                          <a:picLocks noChangeAspect="1"/>
                        </pic:cNvPicPr>
                        <pic:nvPr/>
                      </pic:nvPicPr>
                      <pic:blipFill rotWithShape="1">
                        <a:blip r:embed="rId11"/>
                        <a:stretch/>
                      </pic:blipFill>
                      <pic:spPr bwMode="auto">
                        <a:xfrm flipH="0" flipV="0">
                          <a:off x="0" y="0"/>
                          <a:ext cx="4881247" cy="4820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4.35pt;height:379.55pt;mso-wrap-distance-left:0.00pt;mso-wrap-distance-top:0.00pt;mso-wrap-distance-right:0.00pt;mso-wrap-distance-bottom:0.00pt;z-index:1;" stroked="false">
                <v:imagedata r:id="rId11" o:title=""/>
                <o:lock v:ext="edit" rotation="t"/>
              </v:shape>
            </w:pict>
          </mc:Fallback>
        </mc:AlternateContent>
      </w:r>
      <w:r>
        <w:rPr>
          <w:sz w:val="24"/>
          <w:szCs w:val="24"/>
          <w:highlight w:val="none"/>
        </w:rPr>
      </w:r>
    </w:p>
    <w:p w14:paraId="01C5E900">
      <w:pPr>
        <w:pBdr/>
        <w:spacing w:after="0" w:afterAutospacing="0" w:before="0" w:beforeAutospacing="0" w:line="360" w:lineRule="auto"/>
        <w:ind w:firstLine="0" w:left="0"/>
        <w:jc w:val="both"/>
        <w:rPr>
          <w:rFonts w:ascii="Arial" w:hAnsi="Arial" w:cs="Arial"/>
          <w:b w:val="0"/>
          <w:bCs w:val="0"/>
          <w:sz w:val="22"/>
          <w:szCs w:val="22"/>
          <w:highlight w:val="none"/>
        </w:rPr>
      </w:pPr>
      <w:r>
        <w:rPr>
          <w:rFonts w:ascii="Arial" w:hAnsi="Arial" w:eastAsia="Arial" w:cs="Arial"/>
          <w:b w:val="0"/>
          <w:bCs w:val="0"/>
          <w:sz w:val="22"/>
          <w:szCs w:val="22"/>
          <w:highlight w:val="none"/>
        </w:rPr>
      </w:r>
      <w:r>
        <w:rPr>
          <w:rFonts w:ascii="Arial" w:hAnsi="Arial" w:eastAsia="Arial" w:cs="Arial"/>
          <w:b w:val="0"/>
          <w:bCs w:val="0"/>
          <w:color w:val="000000"/>
          <w:sz w:val="22"/>
          <w:szCs w:val="22"/>
        </w:rPr>
        <w:t xml:space="preserve">Figure </w:t>
      </w:r>
      <w:r>
        <w:rPr>
          <w:rFonts w:ascii="Arial" w:hAnsi="Arial" w:eastAsia="Arial" w:cs="Arial"/>
          <w:b w:val="0"/>
          <w:bCs w:val="0"/>
          <w:color w:val="000000"/>
          <w:sz w:val="22"/>
          <w:szCs w:val="22"/>
          <w:lang w:val="pt-BR"/>
        </w:rPr>
        <w:t xml:space="preserve">3</w:t>
      </w:r>
      <w:r>
        <w:rPr>
          <w:rFonts w:ascii="Arial" w:hAnsi="Arial" w:eastAsia="Arial" w:cs="Arial"/>
          <w:b w:val="0"/>
          <w:bCs w:val="0"/>
          <w:color w:val="000000"/>
          <w:sz w:val="22"/>
          <w:szCs w:val="22"/>
        </w:rPr>
        <w:t xml:space="preserve">. Optimization dynamics for the ChemDFM fine-tuning process.</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(A)</w:t>
      </w:r>
      <w:r>
        <w:rPr>
          <w:rFonts w:ascii="Arial" w:hAnsi="Arial" w:eastAsia="Arial" w:cs="Arial"/>
          <w:b w:val="0"/>
          <w:bCs w:val="0"/>
          <w:color w:val="000000"/>
          <w:sz w:val="22"/>
          <w:szCs w:val="22"/>
        </w:rPr>
        <w:t xml:space="preserve"> Cross-entropy loss trajectories for both the training and validation sets over successive global steps, demonstrating stable convergence and the absence of overfitting. </w:t>
      </w:r>
      <w:r>
        <w:rPr>
          <w:rFonts w:ascii="Arial" w:hAnsi="Arial" w:eastAsia="Arial" w:cs="Arial"/>
          <w:b w:val="0"/>
          <w:bCs w:val="0"/>
          <w:color w:val="000000"/>
          <w:sz w:val="22"/>
          <w:szCs w:val="22"/>
        </w:rPr>
        <w:t xml:space="preserve">(B)</w:t>
      </w:r>
      <w:r>
        <w:rPr>
          <w:rFonts w:ascii="Arial" w:hAnsi="Arial" w:eastAsia="Arial" w:cs="Arial"/>
          <w:b w:val="0"/>
          <w:bCs w:val="0"/>
          <w:color w:val="000000"/>
          <w:sz w:val="22"/>
          <w:szCs w:val="22"/>
        </w:rPr>
        <w:t xml:space="preserve"> The corresponding cosine learning rate schedule utilized during training, featuring a brief initial warmup phase peaking at 0.0002 before monotonically decaying to zero.</w:t>
      </w:r>
      <w:r>
        <w:rPr>
          <w:rFonts w:ascii="Arial" w:hAnsi="Arial" w:eastAsia="Arial" w:cs="Arial"/>
          <w:b w:val="0"/>
          <w:bCs w:val="0"/>
          <w:sz w:val="22"/>
          <w:szCs w:val="22"/>
          <w:highlight w:val="none"/>
        </w:rPr>
      </w:r>
      <w:r>
        <w:rPr>
          <w:rFonts w:ascii="Arial" w:hAnsi="Arial" w:eastAsia="Arial" w:cs="Arial"/>
          <w:b w:val="0"/>
          <w:bCs w:val="0"/>
          <w:sz w:val="22"/>
          <w:szCs w:val="22"/>
          <w:highlight w:val="none"/>
        </w:rPr>
      </w:r>
    </w:p>
    <w:p w14:paraId="64DDAAA4">
      <w:pPr>
        <w:pBdr/>
        <w:spacing w:after="0" w:afterAutospacing="0" w:before="0" w:beforeAutospacing="0" w:line="360" w:lineRule="auto"/>
        <w:ind w:firstLine="0" w:left="0"/>
        <w:jc w:val="both"/>
        <w:rPr>
          <w:sz w:val="24"/>
          <w:szCs w:val="24"/>
          <w:highlight w:val="none"/>
        </w:rPr>
      </w:pPr>
      <w:r>
        <w:rPr>
          <w:sz w:val="24"/>
          <w:szCs w:val="24"/>
          <w:highlight w:val="none"/>
        </w:rPr>
      </w:r>
      <w:r>
        <w:rPr>
          <w:sz w:val="24"/>
          <w:szCs w:val="24"/>
          <w:highlight w:val="none"/>
        </w:rPr>
      </w:r>
      <w:r>
        <w:rPr>
          <w:sz w:val="24"/>
          <w:szCs w:val="24"/>
          <w:highlight w:val="none"/>
        </w:rPr>
      </w:r>
    </w:p>
    <w:p w14:paraId="7D560C5A">
      <w:pPr>
        <w:pBdr/>
        <w:spacing w:after="0" w:afterAutospacing="0" w:before="0" w:beforeAutospacing="0" w:line="360" w:lineRule="auto"/>
        <w:ind w:firstLine="720" w:left="0"/>
        <w:jc w:val="both"/>
        <w:rPr>
          <w:sz w:val="24"/>
          <w:szCs w:val="24"/>
          <w:highlight w:val="none"/>
        </w:rPr>
      </w:pPr>
      <w:r>
        <w:rPr>
          <w:sz w:val="24"/>
          <w:szCs w:val="24"/>
        </w:rPr>
      </w:r>
      <w:r>
        <w:rPr>
          <w:sz w:val="24"/>
          <w:szCs w:val="24"/>
          <w:lang w:val="pt-BR"/>
        </w:rPr>
        <w:t xml:space="preserve">The model</w:t>
      </w:r>
      <w:r>
        <w:rPr>
          <w:sz w:val="24"/>
          <w:szCs w:val="24"/>
        </w:rPr>
        <w:t xml:space="preserve"> achiev</w:t>
      </w:r>
      <w:r>
        <w:rPr>
          <w:sz w:val="24"/>
          <w:szCs w:val="24"/>
          <w:lang w:val="pt-BR"/>
        </w:rPr>
        <w:t xml:space="preserve">ed</w:t>
      </w:r>
      <w:r>
        <w:rPr>
          <w:sz w:val="24"/>
          <w:szCs w:val="24"/>
        </w:rPr>
        <w:t xml:space="preserve"> a final training loss of 0.6647 and a validation loss of 0.6293 as demonstra</w:t>
      </w:r>
      <w:r>
        <w:rPr>
          <w:sz w:val="24"/>
          <w:szCs w:val="24"/>
        </w:rPr>
        <w:t xml:space="preserve">ted in Figure </w:t>
      </w:r>
      <w:r>
        <w:rPr>
          <w:sz w:val="24"/>
          <w:szCs w:val="24"/>
          <w:lang w:val="pt-BR"/>
        </w:rPr>
        <w:t xml:space="preserve">4</w:t>
      </w:r>
      <w:r>
        <w:rPr>
          <w:sz w:val="24"/>
          <w:szCs w:val="24"/>
        </w:rPr>
        <w:t xml:space="preserve">. </w:t>
      </w:r>
      <w:r/>
      <w:r>
        <w:rPr>
          <w:sz w:val="24"/>
          <w:szCs w:val="24"/>
        </w:rPr>
        <w:t xml:space="preserve">This tandem stabilization shows that the quantized low-rank adaptation and gradient accumulation strategies effectively prevented overfitting. Crucially, the model's ability to generalize to novel molecular structures was confirmed by an i</w:t>
      </w:r>
      <w:r>
        <w:rPr>
          <w:sz w:val="24"/>
          <w:szCs w:val="24"/>
        </w:rPr>
        <w:t xml:space="preserve">ndependent test split loss of 0.6665. In the context of autoregressive generation, this test loss translates to a predictive perplexity of approximately 1.94 (e^0.66), indicating that the model is consistently confident enough to narrow its next-token choi</w:t>
      </w:r>
      <w:r>
        <w:rPr>
          <w:sz w:val="24"/>
          <w:szCs w:val="24"/>
        </w:rPr>
        <w:t xml:space="preserve">ces to fewer than two highly probable options. This mastery of the domain's chemical syntax is further reflected in the next-token prediction accuracy, which rapidly climbed to a peak validation score of 0.8564. Concurrently, the model's prediction entropy</w:t>
      </w:r>
      <w:r>
        <w:rPr>
          <w:sz w:val="24"/>
          <w:szCs w:val="24"/>
        </w:rPr>
        <w:t xml:space="preserve"> decreased steadily from an initial high-variance state to below 1.0. This sharp decline signifies that the model's internal probability distributions transitioned from flat, random guessing to precise, single-peak distributions. Collectively, these metric</w:t>
      </w:r>
      <w:r>
        <w:rPr>
          <w:sz w:val="24"/>
          <w:szCs w:val="24"/>
        </w:rPr>
        <w:t xml:space="preserve">s establish that the low-memory autoregressive approach did not memorize the dataset and successfully calibrated the foundation model to map chemical representations to specific olfactory profiles with deep structural comprehension and minimal predictive u</w:t>
      </w:r>
      <w:r>
        <w:rPr>
          <w:sz w:val="24"/>
          <w:szCs w:val="24"/>
        </w:rPr>
        <w:t xml:space="preserve">ncertainty.</w:t>
      </w:r>
      <w:r>
        <w:rPr>
          <w:sz w:val="24"/>
          <w:szCs w:val="24"/>
          <w:highlight w:val="none"/>
        </w:rPr>
      </w:r>
      <w:r/>
    </w:p>
    <w:p w14:paraId="2EAB87EF">
      <w:pPr>
        <w:pBdr/>
        <w:spacing w:after="0" w:afterAutospacing="0" w:before="0" w:beforeAutospacing="0" w:line="360" w:lineRule="auto"/>
        <w:ind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497B6985">
      <w:pPr>
        <w:pBdr/>
        <w:spacing w:after="0" w:afterAutospacing="0" w:before="0" w:beforeAutospacing="0" w:line="360" w:lineRule="auto"/>
        <w:ind w:firstLine="0" w:left="0"/>
        <w:jc w:val="both"/>
        <w:rPr>
          <w:sz w:val="24"/>
          <w:szCs w:val="24"/>
        </w:rPr>
      </w:pPr>
      <w:r>
        <w:rPr>
          <w:sz w:val="24"/>
          <w:szCs w:val="24"/>
          <w:highlight w:val="none"/>
        </w:rPr>
        <mc:AlternateContent>
          <mc:Choice Requires="wpg">
            <w:drawing>
              <wp:inline xmlns:wp="http://schemas.openxmlformats.org/drawingml/2006/wordprocessingDrawing" distT="0" distB="0" distL="0" distR="0">
                <wp:extent cx="5733415" cy="330384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2931" name=""/>
                        <pic:cNvPicPr>
                          <a:picLocks noChangeAspect="1"/>
                        </pic:cNvPicPr>
                        <pic:nvPr/>
                      </pic:nvPicPr>
                      <pic:blipFill rotWithShape="1">
                        <a:blip r:embed="rId12"/>
                        <a:srcRect l="0" t="7800" r="0" b="0"/>
                        <a:stretch/>
                      </pic:blipFill>
                      <pic:spPr bwMode="auto">
                        <a:xfrm flipH="0" flipV="0">
                          <a:off x="0" y="0"/>
                          <a:ext cx="5733414" cy="3303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45pt;height:260.15pt;mso-wrap-distance-left:0.00pt;mso-wrap-distance-top:0.00pt;mso-wrap-distance-right:0.00pt;mso-wrap-distance-bottom:0.00pt;z-index:1;" stroked="false">
                <v:imagedata r:id="rId12" o:title="" croptop="5112f" cropleft="0f" cropbottom="0f" cropright="0f"/>
                <o:lock v:ext="edit" rotation="t"/>
              </v:shape>
            </w:pict>
          </mc:Fallback>
        </mc:AlternateContent>
      </w:r>
      <w:r>
        <w:rPr>
          <w:sz w:val="24"/>
          <w:szCs w:val="24"/>
          <w:highlight w:val="none"/>
        </w:rPr>
      </w:r>
      <w:r>
        <w:rPr>
          <w:sz w:val="24"/>
          <w:szCs w:val="24"/>
          <w:highlight w:val="none"/>
        </w:rPr>
      </w:r>
    </w:p>
    <w:p w14:paraId="42592762">
      <w:pPr>
        <w:pBdr/>
        <w:spacing w:after="0" w:afterAutospacing="0" w:before="0" w:beforeAutospacing="0" w:line="360" w:lineRule="auto"/>
        <w:ind w:firstLine="0" w:left="0"/>
        <w:jc w:val="both"/>
        <w:rPr>
          <w:rFonts w:ascii="Arial" w:hAnsi="Arial" w:eastAsia="Arial" w:cs="Arial"/>
          <w:sz w:val="24"/>
          <w:szCs w:val="24"/>
          <w:highlight w:val="none"/>
        </w:rPr>
      </w:pPr>
      <w:r>
        <w:rPr>
          <w:rFonts w:ascii="Arial" w:hAnsi="Arial" w:eastAsia="Arial" w:cs="Arial"/>
          <w:sz w:val="24"/>
          <w:szCs w:val="24"/>
          <w:highlight w:val="none"/>
        </w:rPr>
      </w:r>
      <w:r>
        <w:t xml:space="preserve">Figure </w:t>
      </w:r>
      <w:r>
        <w:rPr>
          <w:lang w:val="pt-BR"/>
        </w:rPr>
        <w:t xml:space="preserve">4</w:t>
      </w:r>
      <w:r>
        <w:t xml:space="preserve">. Comprehensive performance dashboard for the ChemDFM fine-tuning process. The top left panel illustrates the cross-entropy loss trajectories for both the training and validation sets over successive global steps, referencing the final test loss be</w:t>
      </w:r>
      <w:r>
        <w:t xml:space="preserve">nchmark. The top right panel tracks the progressive improvement in next-token prediction accuracy, achieving a peak validation score of 0.8564. The bottom left panel depicts the concurrent decline in prediction entropy, reflecting a significant reduction i</w:t>
      </w:r>
      <w:r>
        <w:t xml:space="preserve">n model uncertainty throughout the training cycle. The bottom right panel presents a comparative summary of the final cross-entropy losses across the training, validation, and independent test splits, confirming robust generalization and the absence of ove</w:t>
      </w:r>
      <w:r>
        <w:t xml:space="preserve">rfitting.</w:t>
      </w:r>
      <w:r>
        <w:rPr>
          <w:rFonts w:ascii="Arial" w:hAnsi="Arial" w:eastAsia="Arial" w:cs="Arial"/>
          <w:sz w:val="24"/>
          <w:szCs w:val="24"/>
          <w:highlight w:val="none"/>
        </w:rPr>
      </w:r>
      <w:r>
        <w:rPr>
          <w:rFonts w:ascii="Arial" w:hAnsi="Arial" w:eastAsia="Arial" w:cs="Arial"/>
          <w:sz w:val="24"/>
          <w:szCs w:val="24"/>
          <w:highlight w:val="none"/>
        </w:rPr>
      </w:r>
    </w:p>
    <w:p w14:paraId="66CE1B5B">
      <w:pPr>
        <w:pBdr/>
        <w:spacing w:after="0" w:afterAutospacing="0" w:before="0" w:beforeAutospacing="0" w:line="360" w:lineRule="auto"/>
        <w:ind w:firstLine="720" w:left="0"/>
        <w:jc w:val="both"/>
        <w:rPr>
          <w:sz w:val="24"/>
          <w:szCs w:val="24"/>
        </w:rPr>
      </w:pPr>
      <w:r>
        <w:rPr>
          <w:rFonts w:ascii="Arial" w:hAnsi="Arial" w:eastAsia="Arial" w:cs="Arial"/>
          <w:b/>
          <w:bCs/>
          <w:sz w:val="24"/>
          <w:szCs w:val="24"/>
          <w:highlight w:val="none"/>
        </w:rPr>
      </w:r>
      <w:r>
        <w:rPr>
          <w:sz w:val="24"/>
          <w:szCs w:val="24"/>
        </w:rPr>
        <w:t xml:space="preserve">To complement the intrinsic training metrics, the model's practical predictive capability was rigorously validated through an extrinsic multi-label classification evaluation on the independent test dataset. Utilizing the optimal checkpoint determined by th</w:t>
      </w:r>
      <w:r>
        <w:rPr>
          <w:sz w:val="24"/>
          <w:szCs w:val="24"/>
        </w:rPr>
        <w:t xml:space="preserve">e validation loss minimum, inference was executed via autoregressive generation with a constrained decoding temperature of 0.3 and a repetition penalty of 1.15 to encourage focused and deterministic outputs. The generated olfactory descriptors were systema</w:t>
      </w:r>
      <w:r>
        <w:rPr>
          <w:sz w:val="24"/>
          <w:szCs w:val="24"/>
        </w:rPr>
        <w:t xml:space="preserve">tically extracted utilizing regular expression parsing and transformed via a multi-label binarizer to compute aggregate performance metrics.</w:t>
      </w:r>
      <w:r>
        <w:rPr>
          <w:rFonts w:ascii="Arial" w:hAnsi="Arial" w:eastAsia="Arial" w:cs="Arial"/>
          <w:color w:val="000000"/>
          <w:sz w:val="24"/>
          <w:szCs w:val="24"/>
          <w:highlight w:val="none"/>
        </w:rPr>
      </w:r>
    </w:p>
    <w:p w14:paraId="2AE2E37B">
      <w:pPr>
        <w:pBdr/>
        <w:spacing w:after="0" w:afterAutospacing="0" w:before="0" w:beforeAutospacing="0" w:line="360" w:lineRule="auto"/>
        <w:ind w:firstLine="0" w:left="0"/>
        <w:jc w:val="center"/>
        <w:rPr>
          <w:rFonts w:ascii="Arial" w:hAnsi="Arial" w:eastAsia="Arial" w:cs="Arial"/>
          <w:color w:val="000000"/>
          <w:sz w:val="24"/>
          <w:szCs w:val="24"/>
          <w:highlight w:val="none"/>
        </w:rPr>
      </w:pPr>
      <w:r>
        <w:rPr>
          <w:rFonts w:ascii="Arial" w:hAnsi="Arial" w:eastAsia="Arial" w:cs="Arial"/>
          <w:color w:val="000000"/>
          <w:sz w:val="24"/>
          <w:highlight w:val="none"/>
        </w:rPr>
      </w:r>
      <w:r>
        <mc:AlternateContent>
          <mc:Choice Requires="wpg">
            <w:drawing>
              <wp:inline xmlns:wp="http://schemas.openxmlformats.org/drawingml/2006/wordprocessingDrawing" distT="0" distB="0" distL="0" distR="0">
                <wp:extent cx="5733415" cy="356067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3440" name=""/>
                        <pic:cNvPicPr>
                          <a:picLocks noChangeAspect="1"/>
                        </pic:cNvPicPr>
                        <pic:nvPr/>
                      </pic:nvPicPr>
                      <pic:blipFill rotWithShape="1">
                        <a:blip r:embed="rId13"/>
                        <a:stretch/>
                      </pic:blipFill>
                      <pic:spPr bwMode="auto">
                        <a:xfrm>
                          <a:off x="0" y="0"/>
                          <a:ext cx="5733414" cy="3560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45pt;height:280.37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0F8F1CC">
      <w:pPr>
        <w:pBdr/>
        <w:spacing w:after="0" w:afterAutospacing="0" w:before="0" w:beforeAutospacing="0" w:line="360" w:lineRule="auto"/>
        <w:ind w:firstLine="0" w:left="0"/>
        <w:jc w:val="both"/>
        <w:rPr>
          <w:rFonts w:ascii="Arial" w:hAnsi="Arial" w:cs="Arial"/>
          <w:b w:val="0"/>
          <w:bCs w:val="0"/>
          <w:color w:val="000000"/>
          <w:sz w:val="22"/>
          <w:szCs w:val="22"/>
          <w:highlight w:val="none"/>
        </w:rPr>
      </w:pPr>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rPr>
        <w:t xml:space="preserve">Figure </w:t>
      </w:r>
      <w:r>
        <w:rPr>
          <w:rFonts w:ascii="Arial" w:hAnsi="Arial" w:eastAsia="Arial" w:cs="Arial"/>
          <w:b w:val="0"/>
          <w:bCs w:val="0"/>
          <w:color w:val="000000"/>
          <w:sz w:val="22"/>
          <w:szCs w:val="22"/>
          <w:lang w:val="pt-BR"/>
        </w:rPr>
        <w:t xml:space="preserve">5</w:t>
      </w:r>
      <w:r>
        <w:rPr>
          <w:rFonts w:ascii="Arial" w:hAnsi="Arial" w:eastAsia="Arial" w:cs="Arial"/>
          <w:b w:val="0"/>
          <w:bCs w:val="0"/>
          <w:color w:val="000000"/>
          <w:sz w:val="22"/>
          <w:szCs w:val="22"/>
        </w:rPr>
        <w:t xml:space="preserve">. Comparative performance of Micro and Macro averaging methods.</w:t>
      </w:r>
      <w:r>
        <w:rPr>
          <w:rFonts w:ascii="Arial" w:hAnsi="Arial" w:eastAsia="Arial" w:cs="Arial"/>
          <w:b w:val="0"/>
          <w:bCs w:val="0"/>
          <w:color w:val="000000"/>
          <w:sz w:val="22"/>
          <w:szCs w:val="22"/>
        </w:rPr>
        <w:t xml:space="preserve"> The grouped bar chart displays the evaluation scores for Precision, Recall, and F1-Score. Micro-averaged metrics consistently outperform their macro-averaged counterparts across all three categories. The highest overall performance is observed in Micro Pr</w:t>
      </w:r>
      <w:r>
        <w:rPr>
          <w:rFonts w:ascii="Arial" w:hAnsi="Arial" w:eastAsia="Arial" w:cs="Arial"/>
          <w:b w:val="0"/>
          <w:bCs w:val="0"/>
          <w:color w:val="000000"/>
          <w:sz w:val="22"/>
          <w:szCs w:val="22"/>
        </w:rPr>
        <w:t xml:space="preserve">ecision at 0.86, whereas Macro Recall records the lowest score at 0.74. The F1-Score follows an identical trend, with the Micro evaluation (0.84) exceeding the Macro evaluation (0.76), suggesting that the underlying model's performance is likely driven by </w:t>
      </w:r>
      <w:r>
        <w:rPr>
          <w:rFonts w:ascii="Arial" w:hAnsi="Arial" w:eastAsia="Arial" w:cs="Arial"/>
          <w:b w:val="0"/>
          <w:bCs w:val="0"/>
          <w:color w:val="000000"/>
          <w:sz w:val="22"/>
          <w:szCs w:val="22"/>
        </w:rPr>
        <w:t xml:space="preserve">its high accuracy on the most prevalent classes within the dataset.</w:t>
      </w:r>
      <w:r>
        <w:rPr>
          <w:rFonts w:ascii="Arial" w:hAnsi="Arial" w:cs="Arial"/>
          <w:b w:val="0"/>
          <w:bCs w:val="0"/>
          <w:color w:val="000000"/>
          <w:sz w:val="22"/>
          <w:szCs w:val="22"/>
          <w:highlight w:val="none"/>
        </w:rPr>
      </w:r>
      <w:r>
        <w:rPr>
          <w:rFonts w:ascii="Arial" w:hAnsi="Arial" w:cs="Arial"/>
          <w:b w:val="0"/>
          <w:bCs w:val="0"/>
          <w:color w:val="000000"/>
          <w:sz w:val="22"/>
          <w:szCs w:val="22"/>
          <w:highlight w:val="none"/>
        </w:rPr>
      </w:r>
    </w:p>
    <w:p w14:paraId="671167E7">
      <w:pPr>
        <w:pBdr/>
        <w:spacing w:after="0" w:afterAutospacing="0" w:before="0" w:beforeAutospacing="0" w:line="360" w:lineRule="auto"/>
        <w:ind w:firstLine="720" w:left="0"/>
        <w:jc w:val="both"/>
        <w:rPr>
          <w:rFonts w:ascii="Arial" w:hAnsi="Arial" w:eastAsia="Arial" w:cs="Arial"/>
          <w:color w:val="000000"/>
          <w:sz w:val="24"/>
          <w:szCs w:val="24"/>
          <w:highlight w:val="none"/>
        </w:rPr>
      </w:pPr>
      <w:r>
        <w:rPr>
          <w:highlight w:val="none"/>
        </w:rPr>
      </w:r>
      <w:r>
        <w:rPr>
          <w:highlight w:val="none"/>
        </w:rPr>
      </w:r>
      <w:r>
        <w:rPr>
          <w:highlight w:val="none"/>
        </w:rPr>
      </w:r>
    </w:p>
    <w:p w14:paraId="704D1482">
      <w:pPr>
        <w:pBdr/>
        <w:spacing w:after="0" w:afterAutospacing="0" w:before="0" w:beforeAutospacing="0" w:line="360" w:lineRule="auto"/>
        <w:ind w:firstLine="720" w:left="0"/>
        <w:jc w:val="both"/>
        <w:rPr>
          <w:sz w:val="24"/>
          <w:szCs w:val="24"/>
          <w:highlight w:val="none"/>
        </w:rPr>
      </w:pPr>
      <w:r>
        <w:rPr>
          <w:sz w:val="24"/>
          <w:szCs w:val="24"/>
        </w:rPr>
        <w:t xml:space="preserve"> This evaluation revealed highly robust predictive accuracy, highlighted by a micro-averaged precision of 0.86 and a</w:t>
      </w:r>
      <w:r>
        <w:rPr>
          <w:sz w:val="24"/>
          <w:szCs w:val="24"/>
        </w:rPr>
        <w:t xml:space="preserve"> corresponding micro-averaged recall (sensitivity) of 0.82. This high micro precision demonstrates the model's stringent specificity, indicating a very low rate of false-positive descriptor assignments for the most prevalent classes when characterizing nov</w:t>
      </w:r>
      <w:r>
        <w:rPr>
          <w:sz w:val="24"/>
          <w:szCs w:val="24"/>
        </w:rPr>
        <w:t xml:space="preserve">el molecules. Concurrently, evaluating performance across all classes equally, the model achieved a macro-averaged precision of 0.79 and a macro-averaged recall of 0.74. The integration of these capabilities is reflected in a micro-averaged F1-score of 0.8</w:t>
      </w:r>
      <w:r>
        <w:rPr>
          <w:sz w:val="24"/>
          <w:szCs w:val="24"/>
        </w:rPr>
        <w:t xml:space="preserve">4 and a macro-averaged F1-score of 0.76. The variance between the micro and macro scores underscores that the model's exceptional overall reliability is largely driven by its high accuracy on frequent labels, while still maintaining a strong baseline capac</w:t>
      </w:r>
      <w:r>
        <w:rPr>
          <w:sz w:val="24"/>
          <w:szCs w:val="24"/>
        </w:rPr>
        <w:t xml:space="preserve">ity to translate complex molecular representations into precise, multi-label olfactory profiles across the broader descriptor vocabulary.</w:t>
      </w:r>
      <w:r>
        <w:rPr>
          <w:rFonts w:ascii="Arial" w:hAnsi="Arial" w:eastAsia="Arial" w:cs="Arial"/>
          <w:color w:val="000000"/>
          <w:sz w:val="24"/>
          <w:szCs w:val="24"/>
          <w:highlight w:val="none"/>
        </w:rPr>
      </w:r>
      <w:r>
        <w:rPr>
          <w:sz w:val="24"/>
          <w:szCs w:val="24"/>
        </w:rPr>
      </w:r>
    </w:p>
    <w:p w14:paraId="7A835715">
      <w:pPr>
        <w:pBdr/>
        <w:spacing w:after="0" w:afterAutospacing="0" w:before="0" w:beforeAutospacing="0" w:line="360" w:lineRule="auto"/>
        <w:ind w:firstLine="0" w:left="0"/>
        <w:rPr>
          <w:b/>
          <w:bCs/>
          <w:sz w:val="24"/>
          <w:szCs w:val="24"/>
        </w:rPr>
      </w:pPr>
      <w:r>
        <w:rPr>
          <w:b/>
          <w:bCs/>
          <w:sz w:val="24"/>
          <w:szCs w:val="24"/>
          <w:highlight w:val="none"/>
        </w:rPr>
      </w:r>
      <w:r>
        <w:rPr>
          <w:b/>
          <w:bCs/>
          <w:sz w:val="24"/>
          <w:szCs w:val="24"/>
          <w:highlight w:val="none"/>
        </w:rPr>
      </w:r>
      <w:r>
        <w:rPr>
          <w:b/>
          <w:bCs/>
          <w:sz w:val="24"/>
          <w:szCs w:val="24"/>
          <w:highlight w:val="none"/>
        </w:rPr>
      </w:r>
    </w:p>
    <w:p w14:paraId="31059806">
      <w:pPr>
        <w:pBdr/>
        <w:spacing w:after="240" w:before="0" w:beforeAutospacing="0" w:line="360" w:lineRule="auto"/>
        <w:ind w:firstLine="720" w:left="0"/>
        <w:rPr>
          <w:b/>
          <w:bCs/>
          <w:sz w:val="24"/>
          <w:szCs w:val="24"/>
          <w:highlight w:val="none"/>
        </w:rPr>
      </w:pPr>
      <w:r>
        <w:rPr>
          <w:b/>
          <w:bCs/>
          <w:sz w:val="24"/>
          <w:szCs w:val="24"/>
          <w:highlight w:val="none"/>
        </w:rPr>
        <w:t xml:space="preserve">Model interpretability</w:t>
      </w:r>
      <w:r>
        <w:rPr>
          <w:b/>
          <w:bCs/>
          <w:sz w:val="24"/>
          <w:szCs w:val="24"/>
          <w:highlight w:val="none"/>
        </w:rPr>
      </w:r>
    </w:p>
    <w:p w14:paraId="4EEC32DC">
      <w:pPr>
        <w:pBdr/>
        <w:spacing w:after="240" w:before="0" w:beforeAutospacing="0" w:line="360" w:lineRule="auto"/>
        <w:ind w:firstLine="720" w:left="0"/>
        <w:jc w:val="both"/>
        <w:rPr>
          <w:b/>
          <w:bCs/>
          <w:sz w:val="24"/>
          <w:szCs w:val="24"/>
          <w:highlight w:val="none"/>
        </w:rPr>
      </w:pPr>
      <w:r>
        <w:rPr>
          <w:b/>
          <w:bCs/>
          <w:sz w:val="24"/>
          <w:szCs w:val="24"/>
          <w:highlight w:val="none"/>
        </w:rPr>
      </w:r>
      <w:r>
        <w:rPr>
          <w:sz w:val="24"/>
          <w:szCs w:val="24"/>
        </w:rPr>
        <w:t xml:space="preserve">Global interpretability analysis via the Random Forest surrogate model demonstrated that the fine-tuned LLM primarily utilizes the presence of an ester group to drive its predictions, yielding a dominant Gini importance score of 0.32. Molecular weight and </w:t>
      </w:r>
      <w:r>
        <w:rPr>
          <w:sz w:val="24"/>
          <w:szCs w:val="24"/>
        </w:rPr>
        <w:t xml:space="preserve">aromatic ring count functioned as substantial secondary discriminators with importance scores of 0.19 and 0.15, respectively. In contrast, bulk physicochemical descriptors such as lipophilicity (LogP, 0.12) and topological polar surface area (0.04), alongs</w:t>
      </w:r>
      <w:r>
        <w:rPr>
          <w:sz w:val="24"/>
          <w:szCs w:val="24"/>
        </w:rPr>
        <w:t xml:space="preserve">ide elemental features like oxygen atom count (0.10) and carbon chain length (0.08), contributed marginally to the global decision surface. These findings indicate the primary model implicitly prioritizes specific functional moieties over broader topologic</w:t>
      </w:r>
      <w:r>
        <w:rPr>
          <w:sz w:val="24"/>
          <w:szCs w:val="24"/>
        </w:rPr>
        <w:t xml:space="preserve">al or physicochemical metrics when mapping structural representations to target olfactory profiles.</w:t>
      </w:r>
      <w:r>
        <w:rPr>
          <w:b/>
          <w:bCs/>
          <w:sz w:val="24"/>
          <w:szCs w:val="24"/>
          <w:highlight w:val="none"/>
        </w:rPr>
      </w:r>
      <w:r>
        <w:rPr>
          <w:b/>
          <w:bCs/>
          <w:sz w:val="24"/>
          <w:szCs w:val="24"/>
          <w:highlight w:val="none"/>
        </w:rPr>
      </w:r>
    </w:p>
    <w:p w14:paraId="01DDDFD0">
      <w:pPr>
        <w:pBdr/>
        <w:spacing w:after="240" w:before="0" w:beforeAutospacing="0"/>
        <w:ind w:firstLine="0" w:left="0"/>
        <w:rPr>
          <w:highlight w:val="none"/>
        </w:rPr>
      </w:pPr>
      <w:r>
        <w:rPr>
          <w:b/>
          <w:bCs/>
          <w:sz w:val="24"/>
          <w:szCs w:val="24"/>
          <w:highlight w:val="none"/>
        </w:rPr>
      </w:r>
      <w:r>
        <mc:AlternateContent>
          <mc:Choice Requires="wpg">
            <w:drawing>
              <wp:inline xmlns:wp="http://schemas.openxmlformats.org/drawingml/2006/wordprocessingDrawing" distT="0" distB="0" distL="0" distR="0">
                <wp:extent cx="5733415" cy="339460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68791" name="Imagem 8"/>
                        <pic:cNvPicPr>
                          <a:picLocks noChangeAspect="1"/>
                        </pic:cNvPicPr>
                        <pic:nvPr/>
                      </pic:nvPicPr>
                      <pic:blipFill rotWithShape="1">
                        <a:blip r:embed="rId14"/>
                        <a:stretch/>
                      </pic:blipFill>
                      <pic:spPr bwMode="auto">
                        <a:xfrm>
                          <a:off x="0" y="0"/>
                          <a:ext cx="5733414" cy="3394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45pt;height:267.29pt;mso-wrap-distance-left:0.00pt;mso-wrap-distance-top:0.00pt;mso-wrap-distance-right:0.00pt;mso-wrap-distance-bottom:0.00pt;z-index:1;" stroked="false">
                <v:imagedata r:id="rId14" o:title=""/>
                <o:lock v:ext="edit" rotation="t"/>
              </v:shape>
            </w:pict>
          </mc:Fallback>
        </mc:AlternateContent>
      </w:r>
      <w:r>
        <w:rPr>
          <w:b/>
          <w:bCs/>
          <w:sz w:val="24"/>
          <w:szCs w:val="24"/>
          <w:highlight w:val="none"/>
        </w:rPr>
      </w:r>
    </w:p>
    <w:p w14:paraId="744AEA1F">
      <w:pPr>
        <w:pBdr/>
        <w:spacing w:after="240" w:before="0" w:beforeAutospacing="0"/>
        <w:ind w:firstLine="0" w:left="0"/>
        <w:jc w:val="both"/>
        <w:rPr>
          <w:rFonts w:ascii="Arial" w:hAnsi="Arial" w:eastAsia="Arial" w:cs="Arial"/>
          <w:b w:val="0"/>
          <w:bCs w:val="0"/>
          <w:sz w:val="22"/>
          <w:szCs w:val="22"/>
          <w:highlight w:val="none"/>
        </w:rPr>
      </w:pPr>
      <w:r>
        <w:rPr>
          <w:rFonts w:ascii="Arial" w:hAnsi="Arial" w:eastAsia="Arial" w:cs="Arial"/>
          <w:b w:val="0"/>
          <w:bCs w:val="0"/>
          <w:sz w:val="22"/>
          <w:szCs w:val="22"/>
          <w:highlight w:val="none"/>
        </w:rPr>
      </w:r>
      <w:r>
        <w:rPr>
          <w:rFonts w:ascii="Arial" w:hAnsi="Arial" w:eastAsia="Arial" w:cs="Arial"/>
          <w:b w:val="0"/>
          <w:bCs w:val="0"/>
          <w:color w:val="000000"/>
          <w:sz w:val="22"/>
          <w:szCs w:val="22"/>
        </w:rPr>
        <w:t xml:space="preserve">Figure </w:t>
      </w:r>
      <w:r>
        <w:rPr>
          <w:rFonts w:ascii="Arial" w:hAnsi="Arial" w:eastAsia="Arial" w:cs="Arial"/>
          <w:b w:val="0"/>
          <w:bCs w:val="0"/>
          <w:color w:val="000000"/>
          <w:sz w:val="22"/>
          <w:szCs w:val="22"/>
          <w:lang w:val="pt-BR"/>
        </w:rPr>
        <w:t xml:space="preserve">6</w:t>
      </w:r>
      <w:r>
        <w:rPr>
          <w:rFonts w:ascii="Arial" w:hAnsi="Arial" w:eastAsia="Arial" w:cs="Arial"/>
          <w:b w:val="0"/>
          <w:bCs w:val="0"/>
          <w:color w:val="000000"/>
          <w:sz w:val="22"/>
          <w:szCs w:val="22"/>
        </w:rPr>
        <w:t xml:space="preserve">. Feature importance derived from a Random Forest surrogate model to decode the LLM's implicit chemical rules.</w:t>
      </w:r>
      <w:r>
        <w:rPr>
          <w:rFonts w:ascii="Arial" w:hAnsi="Arial" w:eastAsia="Arial" w:cs="Arial"/>
          <w:b w:val="0"/>
          <w:bCs w:val="0"/>
          <w:color w:val="000000"/>
          <w:sz w:val="22"/>
          <w:szCs w:val="22"/>
        </w:rPr>
        <w:t xml:space="preserve"> The horizontal bar chart displays the Gini importance scores for seven interpretable chemical descriptors used to approximate the large language model's decision-making process. The "Presence of Ester Group" emerges as the dominant feature driving the mod</w:t>
      </w:r>
      <w:r>
        <w:rPr>
          <w:rFonts w:ascii="Arial" w:hAnsi="Arial" w:eastAsia="Arial" w:cs="Arial"/>
          <w:b w:val="0"/>
          <w:bCs w:val="0"/>
          <w:color w:val="000000"/>
          <w:sz w:val="22"/>
          <w:szCs w:val="22"/>
        </w:rPr>
        <w:t xml:space="preserve">el's predictions with a score of 0.32, followed by "Molecular Weight" (0.19) and "Aromatic Ring Count" (0.15). Other structural and physicochemical properties—including LogP (Lipophilicity), the number of oxygen atoms, carbon chain length, and Topological </w:t>
      </w:r>
      <w:r>
        <w:rPr>
          <w:rFonts w:ascii="Arial" w:hAnsi="Arial" w:eastAsia="Arial" w:cs="Arial"/>
          <w:b w:val="0"/>
          <w:bCs w:val="0"/>
          <w:color w:val="000000"/>
          <w:sz w:val="22"/>
          <w:szCs w:val="22"/>
        </w:rPr>
        <w:t xml:space="preserve">Polar Surface Area (TPSA)—exert progressively lesser influence on the surrogate model's output.</w:t>
      </w:r>
      <w:r>
        <w:rPr>
          <w:rFonts w:ascii="Arial" w:hAnsi="Arial" w:eastAsia="Arial" w:cs="Arial"/>
          <w:b w:val="0"/>
          <w:bCs w:val="0"/>
          <w:sz w:val="22"/>
          <w:szCs w:val="22"/>
          <w:highlight w:val="none"/>
        </w:rPr>
      </w:r>
      <w:r>
        <w:rPr>
          <w:rFonts w:ascii="Arial" w:hAnsi="Arial" w:cs="Arial"/>
          <w:b w:val="0"/>
          <w:bCs w:val="0"/>
          <w:sz w:val="22"/>
          <w:szCs w:val="22"/>
          <w:highlight w:val="none"/>
        </w:rPr>
      </w:r>
    </w:p>
    <w:p w14:paraId="1CB114A1">
      <w:pPr>
        <w:pBdr/>
        <w:spacing w:after="240" w:before="0" w:beforeAutospacing="0"/>
        <w:ind w:firstLine="0" w:left="0"/>
        <w:jc w:val="both"/>
        <w:rPr>
          <w:rFonts w:ascii="Arial" w:hAnsi="Arial" w:cs="Arial"/>
          <w:b/>
          <w:bCs/>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D8209B6">
      <w:pPr>
        <w:pBdr/>
        <w:spacing w:after="240" w:before="0" w:beforeAutospacing="0" w:line="360" w:lineRule="auto"/>
        <w:ind w:firstLine="720" w:left="0"/>
        <w:rPr>
          <w:b/>
          <w:bCs/>
          <w:sz w:val="24"/>
          <w:szCs w:val="24"/>
          <w:highlight w:val="none"/>
        </w:rPr>
      </w:pPr>
      <w:r>
        <w:rPr>
          <w:b/>
          <w:bCs/>
          <w:sz w:val="24"/>
          <w:szCs w:val="24"/>
          <w:highlight w:val="none"/>
        </w:rPr>
        <w:t xml:space="preserve">Uncertainty calculation</w:t>
      </w:r>
      <w:r/>
      <w:r>
        <w:rPr>
          <w:b/>
          <w:bCs/>
          <w:sz w:val="24"/>
          <w:szCs w:val="24"/>
          <w:highlight w:val="none"/>
        </w:rPr>
      </w:r>
      <w:r>
        <w:rPr>
          <w:b/>
          <w:bCs/>
          <w:sz w:val="24"/>
          <w:szCs w:val="24"/>
          <w:highlight w:val="none"/>
        </w:rPr>
      </w:r>
      <w:r>
        <w:rPr>
          <w:b/>
          <w:bCs/>
          <w:sz w:val="24"/>
          <w:szCs w:val="24"/>
          <w:highlight w:val="none"/>
        </w:rPr>
      </w:r>
    </w:p>
    <w:p w14:paraId="5DD7DA82">
      <w:pPr>
        <w:pBdr/>
        <w:spacing w:after="240" w:before="0" w:beforeAutospacing="0" w:line="360" w:lineRule="auto"/>
        <w:ind w:firstLine="720" w:left="0"/>
        <w:jc w:val="both"/>
        <w:rPr>
          <w:b w:val="0"/>
          <w:bCs w:val="0"/>
          <w:sz w:val="24"/>
          <w:szCs w:val="24"/>
          <w:highlight w:val="none"/>
        </w:rPr>
      </w:pPr>
      <w:r>
        <w:rPr>
          <w:b w:val="0"/>
          <w:bCs w:val="0"/>
          <w:sz w:val="24"/>
          <w:szCs w:val="24"/>
          <w:highlight w:val="none"/>
        </w:rPr>
      </w:r>
      <w:r>
        <w:rPr>
          <w:b w:val="0"/>
          <w:bCs w:val="0"/>
          <w:sz w:val="24"/>
          <w:szCs w:val="24"/>
          <w:highlight w:val="none"/>
        </w:rPr>
        <w:t xml:space="preserve">Evaluation of predictive uncertainty via Monte Carlo dropout across 100 stochastic forward passes revealed distinct stability profiles among performance metrics. The model demonstrated high confidence and accuracy in its positive predictions, yielding a mea</w:t>
      </w:r>
      <w:r>
        <w:rPr>
          <w:b w:val="0"/>
          <w:bCs w:val="0"/>
          <w:sz w:val="24"/>
          <w:szCs w:val="24"/>
          <w:highlight w:val="none"/>
        </w:rPr>
        <w:t xml:space="preserve">n precision of 0.81±0.032 with a narrow 95% confidence interval of [0.74,0.86]. Conversely, recall exhibited greater epistemic uncertainty and lower overall performance, characterized by a mean of 0.72±0.043 and a wider confidence interval of [0.65,0.81]. T</w:t>
      </w:r>
      <w:r>
        <w:rPr>
          <w:b w:val="0"/>
          <w:bCs w:val="0"/>
          <w:sz w:val="24"/>
          <w:szCs w:val="24"/>
          <w:highlight w:val="none"/>
        </w:rPr>
        <w:t xml:space="preserve">his disparity indicates that while the model generates reliable positive classifications, its ability to comprehensively identify all relevant instances is subject to higher variance and structural uncertainty. The aggregated F1-score reflects this structur</w:t>
      </w:r>
      <w:r>
        <w:rPr>
          <w:b w:val="0"/>
          <w:bCs w:val="0"/>
          <w:sz w:val="24"/>
          <w:szCs w:val="24"/>
          <w:highlight w:val="none"/>
        </w:rPr>
        <w:t xml:space="preserve">al trade-off, stabilizing at a mean of 0.76±0.041 with a 95% confidence interval of [0.69,0.84], ultimately suggesting that future fine-tuning should focus on mitigating false negatives to narrow the predictive variance observed in the recall distribution.</w:t>
      </w:r>
      <w:r>
        <w:rPr>
          <w:b w:val="0"/>
          <w:bCs w:val="0"/>
          <w:sz w:val="24"/>
          <w:szCs w:val="24"/>
          <w:highlight w:val="none"/>
        </w:rPr>
      </w:r>
      <w:r>
        <w:rPr>
          <w:b w:val="0"/>
          <w:bCs w:val="0"/>
          <w:sz w:val="24"/>
          <w:szCs w:val="24"/>
          <w:highlight w:val="none"/>
        </w:rPr>
      </w:r>
    </w:p>
    <w:p w14:paraId="01BB770D">
      <w:pPr>
        <w:pBdr/>
        <w:spacing w:after="240" w:before="0" w:beforeAutospacing="0"/>
        <w:ind w:firstLine="0" w:left="0"/>
        <w:jc w:val="left"/>
        <w:rPr>
          <w:b/>
          <w:bCs/>
          <w:sz w:val="24"/>
          <w:szCs w:val="24"/>
          <w:highlight w:val="none"/>
        </w:rPr>
      </w:pPr>
      <w:r>
        <w:rPr>
          <w:b/>
          <w:bCs/>
          <w:sz w:val="24"/>
          <w:szCs w:val="24"/>
          <w:highlight w:val="none"/>
        </w:rPr>
      </w:r>
      <w:r/>
      <w:r/>
      <w:r>
        <mc:AlternateContent>
          <mc:Choice Requires="wpg">
            <w:drawing>
              <wp:inline xmlns:wp="http://schemas.openxmlformats.org/drawingml/2006/wordprocessingDrawing" distT="0" distB="0" distL="0" distR="0">
                <wp:extent cx="5733415" cy="332027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9729" name="Imagem 6"/>
                        <pic:cNvPicPr>
                          <a:picLocks noChangeAspect="1"/>
                        </pic:cNvPicPr>
                        <pic:nvPr/>
                      </pic:nvPicPr>
                      <pic:blipFill rotWithShape="1">
                        <a:blip r:embed="rId15"/>
                        <a:stretch/>
                      </pic:blipFill>
                      <pic:spPr bwMode="auto">
                        <a:xfrm>
                          <a:off x="0" y="0"/>
                          <a:ext cx="5733414" cy="33202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45pt;height:261.44pt;mso-wrap-distance-left:0.00pt;mso-wrap-distance-top:0.00pt;mso-wrap-distance-right:0.00pt;mso-wrap-distance-bottom:0.00pt;z-index:1;" stroked="false">
                <v:imagedata r:id="rId15" o:title=""/>
                <o:lock v:ext="edit" rotation="t"/>
              </v:shape>
            </w:pict>
          </mc:Fallback>
        </mc:AlternateContent>
      </w:r>
      <w:r/>
      <w:r/>
      <w:r>
        <w:rPr>
          <w:b/>
          <w:bCs/>
          <w:sz w:val="24"/>
          <w:szCs w:val="24"/>
          <w:highlight w:val="none"/>
        </w:rPr>
      </w:r>
      <w:r>
        <w:rPr>
          <w:b/>
          <w:bCs/>
          <w:sz w:val="24"/>
          <w:szCs w:val="24"/>
          <w:highlight w:val="none"/>
        </w:rPr>
      </w:r>
      <w:r>
        <w:rPr>
          <w:b/>
          <w:bCs/>
          <w:sz w:val="24"/>
          <w:szCs w:val="24"/>
        </w:rPr>
      </w:r>
    </w:p>
    <w:p w14:paraId="0225410B">
      <w:pPr>
        <w:pBdr/>
        <w:spacing w:after="240" w:before="0" w:beforeAutospacing="0"/>
        <w:ind w:firstLine="0" w:left="0"/>
        <w:jc w:val="both"/>
        <w:rPr>
          <w:rFonts w:ascii="Arial" w:hAnsi="Arial" w:eastAsia="Arial" w:cs="Arial"/>
          <w:b w:val="0"/>
          <w:bCs w:val="0"/>
          <w:color w:val="000000"/>
          <w:sz w:val="22"/>
          <w:szCs w:val="22"/>
          <w:highlight w:val="none"/>
        </w:rPr>
      </w:pPr>
      <w:r>
        <w:rPr>
          <w:rFonts w:ascii="Arial" w:hAnsi="Arial" w:eastAsia="Arial" w:cs="Arial"/>
          <w:b w:val="0"/>
          <w:bCs w:val="0"/>
          <w:sz w:val="22"/>
          <w:szCs w:val="22"/>
          <w:highlight w:val="none"/>
        </w:rPr>
      </w:r>
      <w:r>
        <w:rPr>
          <w:rFonts w:ascii="Arial" w:hAnsi="Arial" w:eastAsia="Arial" w:cs="Arial"/>
          <w:b w:val="0"/>
          <w:bCs w:val="0"/>
          <w:color w:val="000000"/>
          <w:sz w:val="22"/>
          <w:szCs w:val="22"/>
        </w:rPr>
        <w:t xml:space="preserve">Figure </w:t>
      </w:r>
      <w:r>
        <w:rPr>
          <w:rFonts w:ascii="Arial" w:hAnsi="Arial" w:eastAsia="Arial" w:cs="Arial"/>
          <w:b w:val="0"/>
          <w:bCs w:val="0"/>
          <w:color w:val="000000"/>
          <w:sz w:val="22"/>
          <w:szCs w:val="22"/>
          <w:lang w:val="pt-BR"/>
        </w:rPr>
        <w:t xml:space="preserve">7</w:t>
      </w:r>
      <w:r>
        <w:rPr>
          <w:rFonts w:ascii="Arial" w:hAnsi="Arial" w:eastAsia="Arial" w:cs="Arial"/>
          <w:b w:val="0"/>
          <w:bCs w:val="0"/>
          <w:color w:val="000000"/>
          <w:sz w:val="22"/>
          <w:szCs w:val="22"/>
        </w:rPr>
        <w:t xml:space="preserve">. Predictive model uncertainty estimated via Monte Carlo Dropout over 100 inference runs.</w:t>
      </w:r>
      <w:r>
        <w:rPr>
          <w:rFonts w:ascii="Arial" w:hAnsi="Arial" w:eastAsia="Arial" w:cs="Arial"/>
          <w:b w:val="0"/>
          <w:bCs w:val="0"/>
          <w:color w:val="000000"/>
          <w:sz w:val="22"/>
          <w:szCs w:val="22"/>
        </w:rPr>
        <w:t xml:space="preserve"> The violin plots display the distribution of macro-averaged Precision, Recall, and F1-Score, with overlaid scatter points representing the outcomes of individual stochastic forward passes. Precision exhibits the highest stability and overall performance, </w:t>
      </w:r>
      <w:r>
        <w:rPr>
          <w:rFonts w:ascii="Arial" w:hAnsi="Arial" w:eastAsia="Arial" w:cs="Arial"/>
          <w:b w:val="0"/>
          <w:bCs w:val="0"/>
          <w:color w:val="000000"/>
          <w:sz w:val="22"/>
          <w:szCs w:val="22"/>
        </w:rPr>
        <w:t xml:space="preserve">achieving a mean score of 0.81 (±0.032) and a 95% confidence interval (CI) of [0.74, 0.86]. Recall shows slightly greater variance and a lower average performance with a mean of 0.72 (±0.043) and a 95% CI of [0.65, 0.81]. The resulting F1-Score distributio</w:t>
      </w:r>
      <w:r>
        <w:rPr>
          <w:rFonts w:ascii="Arial" w:hAnsi="Arial" w:eastAsia="Arial" w:cs="Arial"/>
          <w:b w:val="0"/>
          <w:bCs w:val="0"/>
          <w:color w:val="000000"/>
          <w:sz w:val="22"/>
          <w:szCs w:val="22"/>
        </w:rPr>
        <w:t xml:space="preserve">n centers at a mean of 0.76 (±0.041) with a 95% CI of [0.69, 0.84]. The relatively compact distributions and stable confidence intervals across all metrics indicate that the model maintains robust and consistent predictive capabilities despite the stochast</w:t>
      </w:r>
      <w:r>
        <w:rPr>
          <w:rFonts w:ascii="Arial" w:hAnsi="Arial" w:eastAsia="Arial" w:cs="Arial"/>
          <w:b w:val="0"/>
          <w:bCs w:val="0"/>
          <w:color w:val="000000"/>
          <w:sz w:val="22"/>
          <w:szCs w:val="22"/>
        </w:rPr>
        <w:t xml:space="preserve">icity introduced during inference.</w:t>
      </w:r>
      <w:r>
        <w:rPr>
          <w:rFonts w:ascii="Arial" w:hAnsi="Arial" w:eastAsia="Arial" w:cs="Arial"/>
          <w:b w:val="0"/>
          <w:bCs w:val="0"/>
          <w:sz w:val="22"/>
          <w:szCs w:val="22"/>
          <w:highlight w:val="none"/>
        </w:rPr>
      </w:r>
    </w:p>
    <w:p w14:paraId="04C0D8AB">
      <w:pPr>
        <w:pBdr/>
        <w:spacing w:after="240" w:before="0" w:beforeAutospacing="0"/>
        <w:ind w:firstLine="0" w:left="0"/>
        <w:jc w:val="both"/>
        <w:rPr>
          <w:rFonts w:ascii="Arial" w:hAnsi="Arial" w:eastAsia="Arial" w:cs="Arial"/>
          <w:b w:val="0"/>
          <w:bCs w:val="0"/>
          <w:sz w:val="22"/>
          <w:szCs w:val="22"/>
          <w:highlight w:val="none"/>
        </w:rPr>
      </w:pPr>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highlight w:val="none"/>
        </w:rPr>
      </w:r>
    </w:p>
    <w:p w14:paraId="00000031">
      <w:pPr>
        <w:pBdr/>
        <w:spacing w:after="240" w:before="240"/>
        <w:ind w:firstLine="0" w:left="0"/>
        <w:rPr>
          <w:b/>
          <w:bCs/>
          <w:sz w:val="24"/>
          <w:szCs w:val="24"/>
          <w:highlight w:val="none"/>
        </w:rPr>
      </w:pPr>
      <w:r>
        <w:rPr>
          <w:b/>
          <w:bCs/>
          <w:sz w:val="24"/>
          <w:szCs w:val="24"/>
          <w:rtl w:val="0"/>
        </w:rPr>
        <w:t xml:space="preserve">CONCLUSION</w:t>
      </w:r>
      <w:r>
        <w:rPr>
          <w:b/>
          <w:bCs/>
          <w:sz w:val="24"/>
          <w:szCs w:val="24"/>
        </w:rPr>
      </w:r>
      <w:r>
        <w:rPr>
          <w:b/>
          <w:bCs/>
          <w:sz w:val="24"/>
          <w:szCs w:val="24"/>
        </w:rPr>
      </w:r>
    </w:p>
    <w:p w14:paraId="3563B34C">
      <w:pPr>
        <w:pBdr/>
        <w:spacing w:after="240" w:before="240" w:line="360" w:lineRule="auto"/>
        <w:ind w:firstLine="720" w:left="0"/>
        <w:jc w:val="both"/>
        <w:rPr>
          <w:sz w:val="24"/>
          <w:szCs w:val="24"/>
          <w:highlight w:val="none"/>
        </w:rPr>
      </w:pPr>
      <w:r>
        <w:rPr>
          <w:b/>
          <w:bCs/>
          <w:sz w:val="24"/>
          <w:szCs w:val="24"/>
          <w:highlight w:val="none"/>
        </w:rPr>
      </w:r>
      <w:r>
        <w:rPr>
          <w:sz w:val="24"/>
          <w:szCs w:val="24"/>
        </w:rPr>
        <w:t xml:space="preserve">In this study, we introduced AromaLLM, a generative predictive framework that successfully leverages a chemistry-domain large language model to map complex molecular structures to multidimensional olfactory profiles. By implementing a parameter-efficient f</w:t>
      </w:r>
      <w:r>
        <w:rPr>
          <w:sz w:val="24"/>
          <w:szCs w:val="24"/>
        </w:rPr>
        <w:t xml:space="preserve">ine-tuning strategy, we demonstrated that advanced autoregressive models can be optimized under strict consumer-grade hardware constraints without compromising learning stability or predictive accuracy. Systematic evaluation highlighted robust generalizati</w:t>
      </w:r>
      <w:r>
        <w:rPr>
          <w:sz w:val="24"/>
          <w:szCs w:val="24"/>
        </w:rPr>
        <w:t xml:space="preserve">on, as the model achieved tightly aligned cross-entropy losses across training, validation, and independent test splits with a final test loss of 0.6665, effectively eliminating overfitting. Extrinsic multi-label classification further confirmed its practi</w:t>
      </w:r>
      <w:r>
        <w:rPr>
          <w:sz w:val="24"/>
          <w:szCs w:val="24"/>
        </w:rPr>
        <w:t xml:space="preserve">cal utility, yielding a high micro-averaged precision of 0.86, a recall of 0.82, and an overall F1-score of 0.84. Global interpretability analysis via a global surrogate model revealed that AromaLLM successfully bypasses the need for handcrafted features, </w:t>
      </w:r>
      <w:r>
        <w:rPr>
          <w:sz w:val="24"/>
          <w:szCs w:val="24"/>
        </w:rPr>
        <w:t xml:space="preserve">implicitly learning to prioritize specific functional moieties such as ester groups and aromatic rings over bulk physicochemical properties to drive its perceptual classifications. Furthermore, intrinsic metrics including a rapid decline in prediction entr</w:t>
      </w:r>
      <w:r>
        <w:rPr>
          <w:sz w:val="24"/>
          <w:szCs w:val="24"/>
        </w:rPr>
        <w:t xml:space="preserve">opy and a peak next-token accuracy of over 85 percent demonstrated the model's high confidence, while Monte Carlo dropout uncertainty evaluations confirmed its reliability in positive classifications despite indicating a need to narrow epistemic variance i</w:t>
      </w:r>
      <w:r>
        <w:rPr>
          <w:sz w:val="24"/>
          <w:szCs w:val="24"/>
        </w:rPr>
        <w:t xml:space="preserve">n recall. By overcoming the limitations of traditional quantitative structure-odor relationship models, AromaLLM provides a flexible and scalable tool for the digitization of smell. Crucially, the high precision and stringent specificity of this framework </w:t>
      </w:r>
      <w:r>
        <w:rPr>
          <w:sz w:val="24"/>
          <w:szCs w:val="24"/>
        </w:rPr>
        <w:t xml:space="preserve">ensure a low rate of false-positive descriptor assignments, establishing a reliable foundation for downstream translational applications such as personalized flavor design, neurodegenerative disease diagnostics, and targeted cognitive rehabilitation therap</w:t>
      </w:r>
      <w:r>
        <w:rPr>
          <w:sz w:val="24"/>
          <w:szCs w:val="24"/>
        </w:rPr>
        <w:t xml:space="preserve">ies where precise sensory stimulation is paramount.</w:t>
      </w:r>
      <w:r>
        <w:rPr>
          <w:sz w:val="24"/>
          <w:szCs w:val="24"/>
          <w:highlight w:val="none"/>
        </w:rPr>
      </w:r>
    </w:p>
    <w:p w14:paraId="64B13936">
      <w:pPr>
        <w:pBdr/>
        <w:spacing w:after="240" w:before="240" w:line="360" w:lineRule="auto"/>
        <w:ind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11919693">
      <w:pPr>
        <w:pBdr/>
        <w:spacing w:after="240" w:before="240"/>
        <w:ind w:firstLine="0" w:left="0"/>
        <w:jc w:val="both"/>
        <w:rPr>
          <w:b/>
          <w:bCs/>
          <w:sz w:val="24"/>
          <w:szCs w:val="24"/>
          <w:highlight w:val="none"/>
          <w:lang w:val="pt-BR"/>
        </w:rPr>
      </w:pPr>
      <w:r>
        <w:rPr>
          <w:b/>
          <w:bCs/>
          <w:sz w:val="24"/>
          <w:szCs w:val="24"/>
          <w:highlight w:val="none"/>
          <w:lang w:val="pt-BR"/>
        </w:rPr>
        <w:t xml:space="preserve">REFERENCES</w:t>
      </w:r>
      <w:r>
        <w:rPr>
          <w:b/>
          <w:bCs/>
          <w:sz w:val="24"/>
          <w:szCs w:val="24"/>
        </w:rPr>
      </w:r>
    </w:p>
    <w:p w14:paraId="274A8264">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b/>
          <w:bCs/>
          <w:sz w:val="24"/>
          <w:szCs w:val="24"/>
          <w:highlight w:val="none"/>
          <w:lang w:val="pt-BR"/>
        </w:rPr>
      </w:r>
      <w:r>
        <w:rPr>
          <w:rFonts w:ascii="Arial" w:hAnsi="Arial" w:eastAsia="Arial" w:cs="Arial"/>
          <w:b w:val="0"/>
          <w:bCs w:val="0"/>
          <w:sz w:val="24"/>
          <w:szCs w:val="24"/>
          <w:highlight w:val="none"/>
          <w:lang w:val="pt-BR"/>
        </w:rPr>
        <w:fldChar w:fldCharType="begin"/>
      </w:r>
      <w:r>
        <w:rPr>
          <w:rFonts w:ascii="Arial" w:hAnsi="Arial" w:eastAsia="Arial" w:cs="Arial"/>
          <w:b w:val="0"/>
          <w:bCs w:val="0"/>
          <w:sz w:val="24"/>
          <w:szCs w:val="24"/>
          <w:highlight w:val="none"/>
          <w:lang w:val="pt-BR"/>
        </w:rPr>
        <w:instrText xml:space="preserve"> ADDIN ZOTERO_BIBL CSL_BIBLIOGRAPHY </w:instrText>
      </w:r>
      <w:r>
        <w:rPr>
          <w:rFonts w:ascii="Arial" w:hAnsi="Arial" w:eastAsia="Arial" w:cs="Arial"/>
          <w:b w:val="0"/>
          <w:bCs w:val="0"/>
          <w:sz w:val="24"/>
          <w:szCs w:val="24"/>
          <w:highlight w:val="none"/>
          <w:lang w:val="pt-BR"/>
        </w:rPr>
        <w:fldChar w:fldCharType="separate"/>
      </w:r>
      <w:r>
        <w:rPr>
          <w:rFonts w:ascii="Arial" w:hAnsi="Arial" w:eastAsia="Arial" w:cs="Arial"/>
          <w:b w:val="0"/>
          <w:bCs w:val="0"/>
          <w:i w:val="0"/>
          <w:color w:val="000000"/>
          <w:sz w:val="24"/>
        </w:rPr>
        <w:t xml:space="preserve">[1]</w:t>
        <w:tab/>
      </w:r>
      <w:r>
        <w:rPr>
          <w:rFonts w:ascii="Arial" w:hAnsi="Arial" w:eastAsia="Arial" w:cs="Arial"/>
          <w:b w:val="0"/>
          <w:bCs w:val="0"/>
          <w:color w:val="000000"/>
          <w:sz w:val="24"/>
        </w:rPr>
        <w:t xml:space="preserve">M. Zarzo, “The sense of smell: molecular basis of odorant recognition,” </w:t>
      </w:r>
      <w:r>
        <w:rPr>
          <w:rFonts w:ascii="Arial" w:hAnsi="Arial" w:eastAsia="Arial" w:cs="Arial"/>
          <w:b w:val="0"/>
          <w:bCs w:val="0"/>
          <w:i/>
          <w:color w:val="000000"/>
          <w:sz w:val="24"/>
        </w:rPr>
        <w:t xml:space="preserve">Biological Reviews</w:t>
      </w:r>
      <w:r>
        <w:rPr>
          <w:rFonts w:ascii="Arial" w:hAnsi="Arial" w:eastAsia="Arial" w:cs="Arial"/>
          <w:b w:val="0"/>
          <w:bCs w:val="0"/>
          <w:color w:val="000000"/>
          <w:sz w:val="24"/>
        </w:rPr>
        <w:t xml:space="preserve">, vol. 82, no. 3, pp. 455–479, Aug. 2007, doi: 10.1111/j.1469-185X.2007.00019.x.</w:t>
      </w:r>
      <w:r>
        <w:rPr>
          <w:rFonts w:ascii="Arial" w:hAnsi="Arial" w:eastAsia="Arial" w:cs="Arial"/>
          <w:b w:val="0"/>
          <w:bCs w:val="0"/>
        </w:rPr>
      </w:r>
    </w:p>
    <w:p w14:paraId="5F97E420">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w:t>
        <w:tab/>
      </w:r>
      <w:r>
        <w:rPr>
          <w:rFonts w:ascii="Arial" w:hAnsi="Arial" w:eastAsia="Arial" w:cs="Arial"/>
          <w:b w:val="0"/>
          <w:bCs w:val="0"/>
          <w:color w:val="000000"/>
          <w:sz w:val="24"/>
        </w:rPr>
        <w:t xml:space="preserve">K. J. Rossiter, “Structure−Odor Relationships,” </w:t>
      </w:r>
      <w:r>
        <w:rPr>
          <w:rFonts w:ascii="Arial" w:hAnsi="Arial" w:eastAsia="Arial" w:cs="Arial"/>
          <w:b w:val="0"/>
          <w:bCs w:val="0"/>
          <w:i/>
          <w:color w:val="000000"/>
          <w:sz w:val="24"/>
        </w:rPr>
        <w:t xml:space="preserve">Chem. Rev.</w:t>
      </w:r>
      <w:r>
        <w:rPr>
          <w:rFonts w:ascii="Arial" w:hAnsi="Arial" w:eastAsia="Arial" w:cs="Arial"/>
          <w:b w:val="0"/>
          <w:bCs w:val="0"/>
          <w:color w:val="000000"/>
          <w:sz w:val="24"/>
        </w:rPr>
        <w:t xml:space="preserve">, vol. 96, no. 8, pp. 3201–3240, Jan. 1996, doi: 10.1021/cr950068a.</w:t>
      </w:r>
      <w:r>
        <w:rPr>
          <w:rFonts w:ascii="Arial" w:hAnsi="Arial" w:eastAsia="Arial" w:cs="Arial"/>
          <w:b w:val="0"/>
          <w:bCs w:val="0"/>
        </w:rPr>
      </w:r>
    </w:p>
    <w:p w14:paraId="26838BBC">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[3]</w:t>
        <w:tab/>
      </w:r>
      <w:r>
        <w:rPr>
          <w:rFonts w:ascii="Arial" w:hAnsi="Arial" w:eastAsia="Arial" w:cs="Arial"/>
          <w:b w:val="0"/>
          <w:bCs w:val="0"/>
          <w:color w:val="000000"/>
          <w:sz w:val="24"/>
        </w:rPr>
        <w:t xml:space="preserve">H. Breer, “Olfactory receptors: molecular basis for recognition and discrimination of odors,” </w:t>
      </w:r>
      <w:r>
        <w:rPr>
          <w:rFonts w:ascii="Arial" w:hAnsi="Arial" w:eastAsia="Arial" w:cs="Arial"/>
          <w:b w:val="0"/>
          <w:bCs w:val="0"/>
          <w:i/>
          <w:color w:val="000000"/>
          <w:sz w:val="24"/>
        </w:rPr>
        <w:t xml:space="preserve">Analytical and Bioanalytical Chemistry</w:t>
      </w:r>
      <w:r>
        <w:rPr>
          <w:rFonts w:ascii="Arial" w:hAnsi="Arial" w:eastAsia="Arial" w:cs="Arial"/>
          <w:b w:val="0"/>
          <w:bCs w:val="0"/>
          <w:color w:val="000000"/>
          <w:sz w:val="24"/>
        </w:rPr>
        <w:t xml:space="preserve">, vol. 377, no. 3, pp. 427–433, Oct. 2003, doi: 10.1007/s00216-003-2113-9.</w:t>
      </w:r>
      <w:r>
        <w:rPr>
          <w:rFonts w:ascii="Arial" w:hAnsi="Arial" w:eastAsia="Arial" w:cs="Arial"/>
          <w:b w:val="0"/>
          <w:bCs w:val="0"/>
        </w:rPr>
      </w:r>
    </w:p>
    <w:p w14:paraId="3889E583">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[4]</w:t>
        <w:tab/>
      </w:r>
      <w:r>
        <w:rPr>
          <w:rFonts w:ascii="Arial" w:hAnsi="Arial" w:eastAsia="Arial" w:cs="Arial"/>
          <w:b w:val="0"/>
          <w:bCs w:val="0"/>
          <w:color w:val="000000"/>
          <w:sz w:val="24"/>
        </w:rPr>
        <w:t xml:space="preserve">A. Tromelin, “Odour perception: A review of an intricate signalling pathway,” </w:t>
      </w:r>
      <w:r>
        <w:rPr>
          <w:rFonts w:ascii="Arial" w:hAnsi="Arial" w:eastAsia="Arial" w:cs="Arial"/>
          <w:b w:val="0"/>
          <w:bCs w:val="0"/>
          <w:i/>
          <w:color w:val="000000"/>
          <w:sz w:val="24"/>
        </w:rPr>
        <w:t xml:space="preserve">Flavour &amp; Fragrance J</w:t>
      </w:r>
      <w:r>
        <w:rPr>
          <w:rFonts w:ascii="Arial" w:hAnsi="Arial" w:eastAsia="Arial" w:cs="Arial"/>
          <w:b w:val="0"/>
          <w:bCs w:val="0"/>
          <w:color w:val="000000"/>
          <w:sz w:val="24"/>
        </w:rPr>
        <w:t xml:space="preserve">, vol. 31, no. 2, pp. 107–119, Mar. 2016, doi: 10.1002/ffj.3295.</w:t>
      </w:r>
      <w:r>
        <w:rPr>
          <w:rFonts w:ascii="Arial" w:hAnsi="Arial" w:eastAsia="Arial" w:cs="Arial"/>
          <w:b w:val="0"/>
          <w:bCs w:val="0"/>
        </w:rPr>
      </w:r>
    </w:p>
    <w:p w14:paraId="506CF79C">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[5]</w:t>
        <w:tab/>
      </w:r>
      <w:r>
        <w:rPr>
          <w:rFonts w:ascii="Arial" w:hAnsi="Arial" w:eastAsia="Arial" w:cs="Arial"/>
          <w:b w:val="0"/>
          <w:bCs w:val="0"/>
          <w:color w:val="000000"/>
          <w:sz w:val="24"/>
        </w:rPr>
        <w:t xml:space="preserve">E. H. Polak, “Multiple profile-multiple receptor site model for vertebrate olfaction,” </w:t>
      </w:r>
      <w:r>
        <w:rPr>
          <w:rFonts w:ascii="Arial" w:hAnsi="Arial" w:eastAsia="Arial" w:cs="Arial"/>
          <w:b w:val="0"/>
          <w:bCs w:val="0"/>
          <w:i/>
          <w:color w:val="000000"/>
          <w:sz w:val="24"/>
        </w:rPr>
        <w:t xml:space="preserve">Journal of Theoretical Biology</w:t>
      </w:r>
      <w:r>
        <w:rPr>
          <w:rFonts w:ascii="Arial" w:hAnsi="Arial" w:eastAsia="Arial" w:cs="Arial"/>
          <w:b w:val="0"/>
          <w:bCs w:val="0"/>
          <w:color w:val="000000"/>
          <w:sz w:val="24"/>
        </w:rPr>
        <w:t xml:space="preserve">, vol. 40, no. 3, pp. 469–484, Aug. 1973, doi: 10.1016/0022-5193(73)90005-2.</w:t>
      </w:r>
      <w:r>
        <w:rPr>
          <w:rFonts w:ascii="Arial" w:hAnsi="Arial" w:eastAsia="Arial" w:cs="Arial"/>
          <w:b w:val="0"/>
          <w:bCs w:val="0"/>
        </w:rPr>
      </w:r>
    </w:p>
    <w:p w14:paraId="0C740EC9">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[6]</w:t>
        <w:tab/>
      </w:r>
      <w:r>
        <w:rPr>
          <w:rFonts w:ascii="Arial" w:hAnsi="Arial" w:eastAsia="Arial" w:cs="Arial"/>
          <w:b w:val="0"/>
          <w:bCs w:val="0"/>
          <w:color w:val="000000"/>
          <w:sz w:val="24"/>
        </w:rPr>
        <w:t xml:space="preserve">K. F.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“Molecular complexity determines the number of olfactory notes and the pleasantness of smells,” </w:t>
      </w:r>
      <w:r>
        <w:rPr>
          <w:rFonts w:ascii="Arial" w:hAnsi="Arial" w:eastAsia="Arial" w:cs="Arial"/>
          <w:b w:val="0"/>
          <w:bCs w:val="0"/>
          <w:i/>
          <w:color w:val="000000"/>
          <w:sz w:val="24"/>
        </w:rPr>
        <w:t xml:space="preserve">Sci Rep</w:t>
      </w:r>
      <w:r>
        <w:rPr>
          <w:rFonts w:ascii="Arial" w:hAnsi="Arial" w:eastAsia="Arial" w:cs="Arial"/>
          <w:b w:val="0"/>
          <w:bCs w:val="0"/>
          <w:color w:val="000000"/>
          <w:sz w:val="24"/>
        </w:rPr>
        <w:t xml:space="preserve">, vol. 1, no. 1, p. 206, Dec. 2011, doi: 10.1038/srep00206.</w:t>
      </w:r>
      <w:r>
        <w:rPr>
          <w:rFonts w:ascii="Arial" w:hAnsi="Arial" w:eastAsia="Arial" w:cs="Arial"/>
          <w:b w:val="0"/>
          <w:bCs w:val="0"/>
        </w:rPr>
      </w:r>
    </w:p>
    <w:p w14:paraId="42FCB63D">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[7]</w:t>
        <w:tab/>
      </w:r>
      <w:r>
        <w:rPr>
          <w:rFonts w:ascii="Arial" w:hAnsi="Arial" w:eastAsia="Arial" w:cs="Arial"/>
          <w:b w:val="0"/>
          <w:bCs w:val="0"/>
          <w:color w:val="000000"/>
          <w:sz w:val="24"/>
        </w:rPr>
        <w:t xml:space="preserve">J. G. Gameiro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“Quiescent horizontal basal stem cells act as a niche for olfactory neurogenesis in a mouse 3D organoid model,” </w:t>
      </w:r>
      <w:r>
        <w:rPr>
          <w:rFonts w:ascii="Arial" w:hAnsi="Arial" w:eastAsia="Arial" w:cs="Arial"/>
          <w:b w:val="0"/>
          <w:bCs w:val="0"/>
          <w:i/>
          <w:color w:val="000000"/>
          <w:sz w:val="24"/>
        </w:rPr>
        <w:t xml:space="preserve">Cell Reports Methods</w:t>
      </w:r>
      <w:r>
        <w:rPr>
          <w:rFonts w:ascii="Arial" w:hAnsi="Arial" w:eastAsia="Arial" w:cs="Arial"/>
          <w:b w:val="0"/>
          <w:bCs w:val="0"/>
          <w:color w:val="000000"/>
          <w:sz w:val="24"/>
        </w:rPr>
        <w:t xml:space="preserve">, vol. 5, no. 6, p. 101055, Jun. 2025, doi: 10.1016/j.crmeth.2025.101055.</w:t>
      </w:r>
      <w:r>
        <w:rPr>
          <w:rFonts w:ascii="Arial" w:hAnsi="Arial" w:eastAsia="Arial" w:cs="Arial"/>
          <w:b w:val="0"/>
          <w:bCs w:val="0"/>
        </w:rPr>
      </w:r>
    </w:p>
    <w:p w14:paraId="118228BE">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[8]</w:t>
        <w:tab/>
      </w:r>
      <w:r>
        <w:rPr>
          <w:rFonts w:ascii="Arial" w:hAnsi="Arial" w:eastAsia="Arial" w:cs="Arial"/>
          <w:b w:val="0"/>
          <w:bCs w:val="0"/>
          <w:color w:val="000000"/>
          <w:sz w:val="24"/>
        </w:rPr>
        <w:t xml:space="preserve">M. G. J. Beets, “Olfactory Response and Molecular Structure,” in </w:t>
      </w:r>
      <w:r>
        <w:rPr>
          <w:rFonts w:ascii="Arial" w:hAnsi="Arial" w:eastAsia="Arial" w:cs="Arial"/>
          <w:b w:val="0"/>
          <w:bCs w:val="0"/>
          <w:i/>
          <w:color w:val="000000"/>
          <w:sz w:val="24"/>
        </w:rPr>
        <w:t xml:space="preserve">Olfaction</w:t>
      </w:r>
      <w:r>
        <w:rPr>
          <w:rFonts w:ascii="Arial" w:hAnsi="Arial" w:eastAsia="Arial" w:cs="Arial"/>
          <w:b w:val="0"/>
          <w:bCs w:val="0"/>
          <w:color w:val="000000"/>
          <w:sz w:val="24"/>
        </w:rPr>
        <w:t xml:space="preserve">, vol. 4 / 1, L. M. Beidler, Ed., in Handbook of Sensory Physiology, vol. 4 / 1. , Berlin, Heidelberg: Springer Berlin Heidelberg, 1971, pp. 257–321. doi: 10.1007/978-3-642-65126-7_12.</w:t>
      </w:r>
      <w:r>
        <w:rPr>
          <w:rFonts w:ascii="Arial" w:hAnsi="Arial" w:eastAsia="Arial" w:cs="Arial"/>
          <w:b w:val="0"/>
          <w:bCs w:val="0"/>
        </w:rPr>
      </w:r>
    </w:p>
    <w:p w14:paraId="6086A267">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[9]</w:t>
        <w:tab/>
      </w:r>
      <w:r>
        <w:rPr>
          <w:rFonts w:ascii="Arial" w:hAnsi="Arial" w:eastAsia="Arial" w:cs="Arial"/>
          <w:b w:val="0"/>
          <w:bCs w:val="0"/>
          <w:color w:val="000000"/>
          <w:sz w:val="24"/>
        </w:rPr>
        <w:t xml:space="preserve">R. D. De Mello Castanho Amboni, B. Da Silva Junkes, R. A. Yunes, and V. E. F. Heinzen, “Quantitative Structure−Odor Relationships of Aliphatic Esters Using Topological Indices,” </w:t>
      </w:r>
      <w:r>
        <w:rPr>
          <w:rFonts w:ascii="Arial" w:hAnsi="Arial" w:eastAsia="Arial" w:cs="Arial"/>
          <w:b w:val="0"/>
          <w:bCs w:val="0"/>
          <w:i/>
          <w:color w:val="000000"/>
          <w:sz w:val="24"/>
        </w:rPr>
        <w:t xml:space="preserve">J. Agric. Food Chem.</w:t>
      </w:r>
      <w:r>
        <w:rPr>
          <w:rFonts w:ascii="Arial" w:hAnsi="Arial" w:eastAsia="Arial" w:cs="Arial"/>
          <w:b w:val="0"/>
          <w:bCs w:val="0"/>
          <w:color w:val="000000"/>
          <w:sz w:val="24"/>
        </w:rPr>
        <w:t xml:space="preserve">, vol. 48, no. 8, pp. 3517–3521, Aug. 2000, doi: 10.1021/jf991039u.</w:t>
      </w:r>
      <w:r>
        <w:rPr>
          <w:rFonts w:ascii="Arial" w:hAnsi="Arial" w:eastAsia="Arial" w:cs="Arial"/>
          <w:b w:val="0"/>
          <w:bCs w:val="0"/>
        </w:rPr>
      </w:r>
    </w:p>
    <w:p w14:paraId="25821CA9">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[10]</w:t>
        <w:tab/>
      </w:r>
      <w:r>
        <w:rPr>
          <w:rFonts w:ascii="Arial" w:hAnsi="Arial" w:eastAsia="Arial" w:cs="Arial"/>
          <w:b w:val="0"/>
          <w:bCs w:val="0"/>
          <w:color w:val="000000"/>
          <w:sz w:val="24"/>
        </w:rPr>
        <w:t xml:space="preserve">B. K. Lee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“A principal odor map unifies diverse tasks in olfactory perception,” </w:t>
      </w:r>
      <w:r>
        <w:rPr>
          <w:rFonts w:ascii="Arial" w:hAnsi="Arial" w:eastAsia="Arial" w:cs="Arial"/>
          <w:b w:val="0"/>
          <w:bCs w:val="0"/>
          <w:i/>
          <w:color w:val="000000"/>
          <w:sz w:val="24"/>
        </w:rPr>
        <w:t xml:space="preserve">Science</w:t>
      </w:r>
      <w:r>
        <w:rPr>
          <w:rFonts w:ascii="Arial" w:hAnsi="Arial" w:eastAsia="Arial" w:cs="Arial"/>
          <w:b w:val="0"/>
          <w:bCs w:val="0"/>
          <w:color w:val="000000"/>
          <w:sz w:val="24"/>
        </w:rPr>
        <w:t xml:space="preserve">, vol. 381, no. 6661, pp. 999–1006, Sep. 2023, doi: 10.1126/science.ade4401.</w:t>
      </w:r>
      <w:r>
        <w:rPr>
          <w:rFonts w:ascii="Arial" w:hAnsi="Arial" w:eastAsia="Arial" w:cs="Arial"/>
          <w:b w:val="0"/>
          <w:bCs w:val="0"/>
        </w:rPr>
      </w:r>
    </w:p>
    <w:p w14:paraId="49D4F519">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[11]</w:t>
        <w:tab/>
      </w:r>
      <w:r>
        <w:rPr>
          <w:rFonts w:ascii="Arial" w:hAnsi="Arial" w:eastAsia="Arial" w:cs="Arial"/>
          <w:b w:val="0"/>
          <w:bCs w:val="0"/>
          <w:color w:val="000000"/>
          <w:sz w:val="24"/>
        </w:rPr>
        <w:t xml:space="preserve">A. Sharma, R. Kumar, S. Ranjta, and P. K. Varadwaj, “SMILES to Smell: Decoding the Structure–Odor Relationship of Chemical Compounds Using the Deep Neural Network Approach,” </w:t>
      </w:r>
      <w:r>
        <w:rPr>
          <w:rFonts w:ascii="Arial" w:hAnsi="Arial" w:eastAsia="Arial" w:cs="Arial"/>
          <w:b w:val="0"/>
          <w:bCs w:val="0"/>
          <w:i/>
          <w:color w:val="000000"/>
          <w:sz w:val="24"/>
        </w:rPr>
        <w:t xml:space="preserve">J. Chem. Inf. Model.</w:t>
      </w:r>
      <w:r>
        <w:rPr>
          <w:rFonts w:ascii="Arial" w:hAnsi="Arial" w:eastAsia="Arial" w:cs="Arial"/>
          <w:b w:val="0"/>
          <w:bCs w:val="0"/>
          <w:color w:val="000000"/>
          <w:sz w:val="24"/>
        </w:rPr>
        <w:t xml:space="preserve">, vol. 61, no. 2, pp. 676–688, Feb. 2021, doi: 10.1021/acs.jcim.0c01288.</w:t>
      </w:r>
      <w:r>
        <w:rPr>
          <w:rFonts w:ascii="Arial" w:hAnsi="Arial" w:eastAsia="Arial" w:cs="Arial"/>
          <w:b w:val="0"/>
          <w:bCs w:val="0"/>
        </w:rPr>
      </w:r>
    </w:p>
    <w:p w14:paraId="048824D1">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[12]</w:t>
        <w:tab/>
      </w:r>
      <w:r>
        <w:rPr>
          <w:rFonts w:ascii="Arial" w:hAnsi="Arial" w:eastAsia="Arial" w:cs="Arial"/>
          <w:b w:val="0"/>
          <w:bCs w:val="0"/>
          <w:color w:val="000000"/>
          <w:sz w:val="24"/>
        </w:rPr>
        <w:t xml:space="preserve">A. Keller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“Predicting human olfactory perception from chemical features of odor molecules,” </w:t>
      </w:r>
      <w:r>
        <w:rPr>
          <w:rFonts w:ascii="Arial" w:hAnsi="Arial" w:eastAsia="Arial" w:cs="Arial"/>
          <w:b w:val="0"/>
          <w:bCs w:val="0"/>
          <w:i/>
          <w:color w:val="000000"/>
          <w:sz w:val="24"/>
        </w:rPr>
        <w:t xml:space="preserve">Science</w:t>
      </w:r>
      <w:r>
        <w:rPr>
          <w:rFonts w:ascii="Arial" w:hAnsi="Arial" w:eastAsia="Arial" w:cs="Arial"/>
          <w:b w:val="0"/>
          <w:bCs w:val="0"/>
          <w:color w:val="000000"/>
          <w:sz w:val="24"/>
        </w:rPr>
        <w:t xml:space="preserve">, vol. 355, no. 6327, pp. 820–826, Feb. 2017, doi: 10.1126/science.aal2014.</w:t>
      </w:r>
      <w:r>
        <w:rPr>
          <w:rFonts w:ascii="Arial" w:hAnsi="Arial" w:eastAsia="Arial" w:cs="Arial"/>
          <w:b w:val="0"/>
          <w:bCs w:val="0"/>
        </w:rPr>
      </w:r>
    </w:p>
    <w:p w14:paraId="594A7828">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[13]</w:t>
        <w:tab/>
      </w:r>
      <w:r>
        <w:rPr>
          <w:rFonts w:ascii="Arial" w:hAnsi="Arial" w:eastAsia="Arial" w:cs="Arial"/>
          <w:b w:val="0"/>
          <w:bCs w:val="0"/>
          <w:color w:val="000000"/>
          <w:sz w:val="24"/>
        </w:rPr>
        <w:t xml:space="preserve">J. Abramson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“Accurate structure prediction of biomolecular interactions with AlphaFold 3,” </w:t>
      </w:r>
      <w:r>
        <w:rPr>
          <w:rFonts w:ascii="Arial" w:hAnsi="Arial" w:eastAsia="Arial" w:cs="Arial"/>
          <w:b w:val="0"/>
          <w:bCs w:val="0"/>
          <w:i/>
          <w:color w:val="000000"/>
          <w:sz w:val="24"/>
        </w:rPr>
        <w:t xml:space="preserve">Nature</w:t>
      </w:r>
      <w:r>
        <w:rPr>
          <w:rFonts w:ascii="Arial" w:hAnsi="Arial" w:eastAsia="Arial" w:cs="Arial"/>
          <w:b w:val="0"/>
          <w:bCs w:val="0"/>
          <w:color w:val="000000"/>
          <w:sz w:val="24"/>
        </w:rPr>
        <w:t xml:space="preserve">, vol. 630, no. 8016, pp. 493–500, Jun. 2024, doi: 10.1038/s41586-024-07487-w.</w:t>
      </w:r>
      <w:r>
        <w:rPr>
          <w:rFonts w:ascii="Arial" w:hAnsi="Arial" w:eastAsia="Arial" w:cs="Arial"/>
          <w:b w:val="0"/>
          <w:bCs w:val="0"/>
        </w:rPr>
      </w:r>
    </w:p>
    <w:p w14:paraId="0CE28AA2">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[14]</w:t>
        <w:tab/>
      </w:r>
      <w:r>
        <w:rPr>
          <w:rFonts w:ascii="Arial" w:hAnsi="Arial" w:eastAsia="Arial" w:cs="Arial"/>
          <w:b w:val="0"/>
          <w:bCs w:val="0"/>
          <w:color w:val="000000"/>
          <w:sz w:val="24"/>
        </w:rPr>
        <w:t xml:space="preserve">J. Kowalewski, B. Huynh, and A. Ray, “A System-Wide Understanding of the Human Olfactory Percept Chemical Space,” </w:t>
      </w:r>
      <w:r>
        <w:rPr>
          <w:rFonts w:ascii="Arial" w:hAnsi="Arial" w:eastAsia="Arial" w:cs="Arial"/>
          <w:b w:val="0"/>
          <w:bCs w:val="0"/>
          <w:i/>
          <w:color w:val="000000"/>
          <w:sz w:val="24"/>
        </w:rPr>
        <w:t xml:space="preserve">Chemical Senses</w:t>
      </w:r>
      <w:r>
        <w:rPr>
          <w:rFonts w:ascii="Arial" w:hAnsi="Arial" w:eastAsia="Arial" w:cs="Arial"/>
          <w:b w:val="0"/>
          <w:bCs w:val="0"/>
          <w:color w:val="000000"/>
          <w:sz w:val="24"/>
        </w:rPr>
        <w:t xml:space="preserve">, vol. 46, p. bjab007, Jan. 2021, doi: 10.1093/chemse/bjab007.</w:t>
      </w:r>
      <w:r>
        <w:rPr>
          <w:rFonts w:ascii="Arial" w:hAnsi="Arial" w:eastAsia="Arial" w:cs="Arial"/>
          <w:b w:val="0"/>
          <w:bCs w:val="0"/>
        </w:rPr>
      </w:r>
    </w:p>
    <w:p w14:paraId="07F569A4">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[15]</w:t>
        <w:tab/>
      </w:r>
      <w:r>
        <w:rPr>
          <w:rFonts w:ascii="Arial" w:hAnsi="Arial" w:eastAsia="Arial" w:cs="Arial"/>
          <w:b w:val="0"/>
          <w:bCs w:val="0"/>
          <w:color w:val="000000"/>
          <w:sz w:val="24"/>
        </w:rPr>
        <w:t xml:space="preserve">K. Saini and V. Ramanathan, “Predicting odor from molecular structure: a multi-label classification approach,” </w:t>
      </w:r>
      <w:r>
        <w:rPr>
          <w:rFonts w:ascii="Arial" w:hAnsi="Arial" w:eastAsia="Arial" w:cs="Arial"/>
          <w:b w:val="0"/>
          <w:bCs w:val="0"/>
          <w:i/>
          <w:color w:val="000000"/>
          <w:sz w:val="24"/>
        </w:rPr>
        <w:t xml:space="preserve">Sci Rep</w:t>
      </w:r>
      <w:r>
        <w:rPr>
          <w:rFonts w:ascii="Arial" w:hAnsi="Arial" w:eastAsia="Arial" w:cs="Arial"/>
          <w:b w:val="0"/>
          <w:bCs w:val="0"/>
          <w:color w:val="000000"/>
          <w:sz w:val="24"/>
        </w:rPr>
        <w:t xml:space="preserve">, vol. 12, no. 1, p. 13863, Aug. 2022, doi: 10.1038/s41598-022-18086-y.</w:t>
      </w:r>
      <w:r>
        <w:rPr>
          <w:rFonts w:ascii="Arial" w:hAnsi="Arial" w:eastAsia="Arial" w:cs="Arial"/>
          <w:b w:val="0"/>
          <w:bCs w:val="0"/>
        </w:rPr>
      </w:r>
    </w:p>
    <w:p w14:paraId="773969F8">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[16]</w:t>
        <w:tab/>
      </w:r>
      <w:r>
        <w:rPr>
          <w:rFonts w:ascii="Arial" w:hAnsi="Arial" w:eastAsia="Arial" w:cs="Arial"/>
          <w:b w:val="0"/>
          <w:bCs w:val="0"/>
          <w:color w:val="000000"/>
          <w:sz w:val="24"/>
        </w:rPr>
        <w:t xml:space="preserve">D. Schicker, S. Singh, J. Freiherr, and A. T. Grasskamp, “OWSum: algorithmic odor prediction and insight into structure-odor relationships,” </w:t>
      </w:r>
      <w:r>
        <w:rPr>
          <w:rFonts w:ascii="Arial" w:hAnsi="Arial" w:eastAsia="Arial" w:cs="Arial"/>
          <w:b w:val="0"/>
          <w:bCs w:val="0"/>
          <w:i/>
          <w:color w:val="000000"/>
          <w:sz w:val="24"/>
        </w:rPr>
        <w:t xml:space="preserve">J Cheminform</w:t>
      </w:r>
      <w:r>
        <w:rPr>
          <w:rFonts w:ascii="Arial" w:hAnsi="Arial" w:eastAsia="Arial" w:cs="Arial"/>
          <w:b w:val="0"/>
          <w:bCs w:val="0"/>
          <w:color w:val="000000"/>
          <w:sz w:val="24"/>
        </w:rPr>
        <w:t xml:space="preserve">, vol. 15, no. 1, p. 51, May 2023, doi: 10.1186/s13321-023-00722-y.</w:t>
      </w:r>
      <w:r>
        <w:rPr>
          <w:rFonts w:ascii="Arial" w:hAnsi="Arial" w:eastAsia="Arial" w:cs="Arial"/>
          <w:b w:val="0"/>
          <w:bCs w:val="0"/>
        </w:rPr>
      </w:r>
    </w:p>
    <w:p w14:paraId="48D06270">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[17]</w:t>
        <w:tab/>
      </w:r>
      <w:r>
        <w:rPr>
          <w:rFonts w:ascii="Arial" w:hAnsi="Arial" w:eastAsia="Arial" w:cs="Arial"/>
          <w:b w:val="0"/>
          <w:bCs w:val="0"/>
          <w:color w:val="000000"/>
          <w:sz w:val="24"/>
        </w:rPr>
        <w:t xml:space="preserve">J. L. Medina-Franco, K. Martínez-Mayorga, T. L. Peppard, and A. Del Rio, “Chemoinformatic Analysis of GRAS (Generally Recognized as Safe) Flavor Chemicals and Natural Products,” </w:t>
      </w:r>
      <w:r>
        <w:rPr>
          <w:rFonts w:ascii="Arial" w:hAnsi="Arial" w:eastAsia="Arial" w:cs="Arial"/>
          <w:b w:val="0"/>
          <w:bCs w:val="0"/>
          <w:i/>
          <w:color w:val="000000"/>
          <w:sz w:val="24"/>
        </w:rPr>
        <w:t xml:space="preserve">PLoS ONE</w:t>
      </w:r>
      <w:r>
        <w:rPr>
          <w:rFonts w:ascii="Arial" w:hAnsi="Arial" w:eastAsia="Arial" w:cs="Arial"/>
          <w:b w:val="0"/>
          <w:bCs w:val="0"/>
          <w:color w:val="000000"/>
          <w:sz w:val="24"/>
        </w:rPr>
        <w:t xml:space="preserve">, vol. 7, no. 11, p. e50798, Nov. 2012, doi: 10.1371/journal.pone.0050798.</w:t>
      </w:r>
      <w:r>
        <w:rPr>
          <w:rFonts w:ascii="Arial" w:hAnsi="Arial" w:eastAsia="Arial" w:cs="Arial"/>
          <w:b w:val="0"/>
          <w:bCs w:val="0"/>
        </w:rPr>
      </w:r>
    </w:p>
    <w:p w14:paraId="61375EBD">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[18]</w:t>
        <w:tab/>
      </w:r>
      <w:r>
        <w:rPr>
          <w:rFonts w:ascii="Arial" w:hAnsi="Arial" w:eastAsia="Arial" w:cs="Arial"/>
          <w:b w:val="0"/>
          <w:bCs w:val="0"/>
          <w:color w:val="000000"/>
          <w:sz w:val="24"/>
        </w:rPr>
        <w:t xml:space="preserve">M. Dunkel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“SuperScent--a database of flavors and scents,” </w:t>
      </w:r>
      <w:r>
        <w:rPr>
          <w:rFonts w:ascii="Arial" w:hAnsi="Arial" w:eastAsia="Arial" w:cs="Arial"/>
          <w:b w:val="0"/>
          <w:bCs w:val="0"/>
          <w:i/>
          <w:color w:val="000000"/>
          <w:sz w:val="24"/>
        </w:rPr>
        <w:t xml:space="preserve">Nucleic Acids Research</w:t>
      </w:r>
      <w:r>
        <w:rPr>
          <w:rFonts w:ascii="Arial" w:hAnsi="Arial" w:eastAsia="Arial" w:cs="Arial"/>
          <w:b w:val="0"/>
          <w:bCs w:val="0"/>
          <w:color w:val="000000"/>
          <w:sz w:val="24"/>
        </w:rPr>
        <w:t xml:space="preserve">, vol. 37, no. Database, pp. D291–D294, Jan. 2009, doi: 10.1093/nar/gkn695.</w:t>
      </w:r>
      <w:r>
        <w:rPr>
          <w:rFonts w:ascii="Arial" w:hAnsi="Arial" w:eastAsia="Arial" w:cs="Arial"/>
          <w:b w:val="0"/>
          <w:bCs w:val="0"/>
        </w:rPr>
      </w:r>
    </w:p>
    <w:p w14:paraId="589912E2">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[19]</w:t>
        <w:tab/>
      </w:r>
      <w:r>
        <w:rPr>
          <w:rFonts w:ascii="Arial" w:hAnsi="Arial" w:eastAsia="Arial" w:cs="Arial"/>
          <w:b w:val="0"/>
          <w:bCs w:val="0"/>
          <w:color w:val="000000"/>
          <w:sz w:val="24"/>
        </w:rPr>
        <w:t xml:space="preserve">Y. Harada, S. Maeda, J. Shen, T. Misonou, H. Hori, and S. Nakamura, “Regression Study of Odorant Chemical Space, Molecular Structural Diversity, and Natural Language Description,” </w:t>
      </w:r>
      <w:r>
        <w:rPr>
          <w:rFonts w:ascii="Arial" w:hAnsi="Arial" w:eastAsia="Arial" w:cs="Arial"/>
          <w:b w:val="0"/>
          <w:bCs w:val="0"/>
          <w:i/>
          <w:color w:val="000000"/>
          <w:sz w:val="24"/>
        </w:rPr>
        <w:t xml:space="preserve">ACS Omega</w:t>
      </w:r>
      <w:r>
        <w:rPr>
          <w:rFonts w:ascii="Arial" w:hAnsi="Arial" w:eastAsia="Arial" w:cs="Arial"/>
          <w:b w:val="0"/>
          <w:bCs w:val="0"/>
          <w:color w:val="000000"/>
          <w:sz w:val="24"/>
        </w:rPr>
        <w:t xml:space="preserve">, vol. 9, no. 23, pp. 25054–25062, Jun. 2024, doi: 10.1021/acsomega.4c02268.</w:t>
      </w:r>
      <w:r>
        <w:rPr>
          <w:rFonts w:ascii="Arial" w:hAnsi="Arial" w:eastAsia="Arial" w:cs="Arial"/>
          <w:b w:val="0"/>
          <w:bCs w:val="0"/>
        </w:rPr>
      </w:r>
    </w:p>
    <w:p w14:paraId="1E88A54E">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[20]</w:t>
        <w:tab/>
      </w:r>
      <w:r>
        <w:rPr>
          <w:rFonts w:ascii="Arial" w:hAnsi="Arial" w:eastAsia="Arial" w:cs="Arial"/>
          <w:b w:val="0"/>
          <w:bCs w:val="0"/>
          <w:color w:val="000000"/>
          <w:sz w:val="24"/>
        </w:rPr>
        <w:t xml:space="preserve">A. Sharma, B. K. Saha, R. Kumar, and P. K. Varadwaj, “OlfactionBase: a repository to explore odors, odorants, olfactory receptors and odorant–receptor interactions,” </w:t>
      </w:r>
      <w:r>
        <w:rPr>
          <w:rFonts w:ascii="Arial" w:hAnsi="Arial" w:eastAsia="Arial" w:cs="Arial"/>
          <w:b w:val="0"/>
          <w:bCs w:val="0"/>
          <w:i/>
          <w:color w:val="000000"/>
          <w:sz w:val="24"/>
        </w:rPr>
        <w:t xml:space="preserve">Nucleic Acids Research</w:t>
      </w:r>
      <w:r>
        <w:rPr>
          <w:rFonts w:ascii="Arial" w:hAnsi="Arial" w:eastAsia="Arial" w:cs="Arial"/>
          <w:b w:val="0"/>
          <w:bCs w:val="0"/>
          <w:color w:val="000000"/>
          <w:sz w:val="24"/>
        </w:rPr>
        <w:t xml:space="preserve">, vol. 50, no. D1, pp. D678–D686, Jan. 2022, doi: 10.1093/nar/gkab763.</w:t>
      </w:r>
      <w:r>
        <w:rPr>
          <w:rFonts w:ascii="Arial" w:hAnsi="Arial" w:eastAsia="Arial" w:cs="Arial"/>
          <w:b w:val="0"/>
          <w:bCs w:val="0"/>
        </w:rPr>
      </w:r>
    </w:p>
    <w:p w14:paraId="227467C8">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[21]</w:t>
        <w:tab/>
      </w:r>
      <w:r>
        <w:rPr>
          <w:rFonts w:ascii="Arial" w:hAnsi="Arial" w:eastAsia="Arial" w:cs="Arial"/>
          <w:b w:val="0"/>
          <w:bCs w:val="0"/>
          <w:color w:val="000000"/>
          <w:sz w:val="24"/>
        </w:rPr>
        <w:t xml:space="preserve">M. Lalis, M. Hladiš, S. A. Khalil, L. Briand, S. Fiorucci, and J. Topin, “M2OR: a database of olfactory receptor–odorant pairs for understanding the molecular mechanisms of olfaction,” </w:t>
      </w:r>
      <w:r>
        <w:rPr>
          <w:rFonts w:ascii="Arial" w:hAnsi="Arial" w:eastAsia="Arial" w:cs="Arial"/>
          <w:b w:val="0"/>
          <w:bCs w:val="0"/>
          <w:i/>
          <w:color w:val="000000"/>
          <w:sz w:val="24"/>
        </w:rPr>
        <w:t xml:space="preserve">Nucleic Acids Research</w:t>
      </w:r>
      <w:r>
        <w:rPr>
          <w:rFonts w:ascii="Arial" w:hAnsi="Arial" w:eastAsia="Arial" w:cs="Arial"/>
          <w:b w:val="0"/>
          <w:bCs w:val="0"/>
          <w:color w:val="000000"/>
          <w:sz w:val="24"/>
        </w:rPr>
        <w:t xml:space="preserve">, vol. 52, no. D1, pp. D1370–D1379, Jan. 2024, doi: 10.1093/nar/gkad886.</w:t>
      </w:r>
      <w:r>
        <w:rPr>
          <w:rFonts w:ascii="Arial" w:hAnsi="Arial" w:eastAsia="Arial" w:cs="Arial"/>
          <w:b w:val="0"/>
          <w:bCs w:val="0"/>
        </w:rPr>
      </w:r>
    </w:p>
    <w:p w14:paraId="7F7DA287">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[22]</w:t>
        <w:tab/>
      </w:r>
      <w:r>
        <w:rPr>
          <w:rFonts w:ascii="Arial" w:hAnsi="Arial" w:eastAsia="Arial" w:cs="Arial"/>
          <w:b w:val="0"/>
          <w:bCs w:val="0"/>
          <w:color w:val="000000"/>
          <w:sz w:val="24"/>
        </w:rPr>
        <w:t xml:space="preserve">N. Garg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“FlavorDB: a database of flavor molecules,” </w:t>
      </w:r>
      <w:r>
        <w:rPr>
          <w:rFonts w:ascii="Arial" w:hAnsi="Arial" w:eastAsia="Arial" w:cs="Arial"/>
          <w:b w:val="0"/>
          <w:bCs w:val="0"/>
          <w:i/>
          <w:color w:val="000000"/>
          <w:sz w:val="24"/>
        </w:rPr>
        <w:t xml:space="preserve">Nucleic Acids Research</w:t>
      </w:r>
      <w:r>
        <w:rPr>
          <w:rFonts w:ascii="Arial" w:hAnsi="Arial" w:eastAsia="Arial" w:cs="Arial"/>
          <w:b w:val="0"/>
          <w:bCs w:val="0"/>
          <w:color w:val="000000"/>
          <w:sz w:val="24"/>
        </w:rPr>
        <w:t xml:space="preserve">, vol. 46, no. D1, pp. D1210–D1216, Jan. 2018, doi: 10.1093/nar/gkx957.</w:t>
      </w:r>
      <w:r>
        <w:rPr>
          <w:rFonts w:ascii="Arial" w:hAnsi="Arial" w:eastAsia="Arial" w:cs="Arial"/>
          <w:b w:val="0"/>
          <w:bCs w:val="0"/>
        </w:rPr>
      </w:r>
    </w:p>
    <w:p w14:paraId="0D4BEFA0">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[23]</w:t>
        <w:tab/>
      </w:r>
      <w:r>
        <w:rPr>
          <w:rFonts w:ascii="Arial" w:hAnsi="Arial" w:eastAsia="Arial" w:cs="Arial"/>
          <w:b w:val="0"/>
          <w:bCs w:val="0"/>
          <w:color w:val="000000"/>
          <w:sz w:val="24"/>
        </w:rPr>
        <w:t xml:space="preserve">T. Olender, N. Nativ, and D. Lancet, “HORDE: Comprehensive Resource for Olfactory Receptor Genomics,” in </w:t>
      </w:r>
      <w:r>
        <w:rPr>
          <w:rFonts w:ascii="Arial" w:hAnsi="Arial" w:eastAsia="Arial" w:cs="Arial"/>
          <w:b w:val="0"/>
          <w:bCs w:val="0"/>
          <w:i/>
          <w:color w:val="000000"/>
          <w:sz w:val="24"/>
        </w:rPr>
        <w:t xml:space="preserve">Olfactory Receptors</w:t>
      </w:r>
      <w:r>
        <w:rPr>
          <w:rFonts w:ascii="Arial" w:hAnsi="Arial" w:eastAsia="Arial" w:cs="Arial"/>
          <w:b w:val="0"/>
          <w:bCs w:val="0"/>
          <w:color w:val="000000"/>
          <w:sz w:val="24"/>
        </w:rPr>
        <w:t xml:space="preserve">, vol. 1003, C. J. Crasto, Ed., in Methods in Molecular Biology, vol. 1003. , Totowa, NJ: Humana Press, 2013, pp. 23–38. doi: 10.1007/978-1-62703-377-0_2.</w:t>
      </w:r>
      <w:r>
        <w:rPr>
          <w:rFonts w:ascii="Arial" w:hAnsi="Arial" w:eastAsia="Arial" w:cs="Arial"/>
          <w:b w:val="0"/>
          <w:bCs w:val="0"/>
        </w:rPr>
      </w:r>
    </w:p>
    <w:p w14:paraId="7B813413">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[24]</w:t>
        <w:tab/>
      </w:r>
      <w:r>
        <w:rPr>
          <w:rFonts w:ascii="Arial" w:hAnsi="Arial" w:eastAsia="Arial" w:cs="Arial"/>
          <w:b w:val="0"/>
          <w:bCs w:val="0"/>
          <w:color w:val="000000"/>
          <w:sz w:val="24"/>
        </w:rPr>
        <w:t xml:space="preserve">J. B. Castro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“Pyrfume: A Window to the World’s Olfactory Data,” Sep. 12, 2022, </w:t>
      </w:r>
      <w:r>
        <w:rPr>
          <w:rFonts w:ascii="Arial" w:hAnsi="Arial" w:eastAsia="Arial" w:cs="Arial"/>
          <w:b w:val="0"/>
          <w:bCs w:val="0"/>
          <w:i/>
          <w:color w:val="000000"/>
          <w:sz w:val="24"/>
        </w:rPr>
        <w:t xml:space="preserve">Neuroscience</w:t>
      </w:r>
      <w:r>
        <w:rPr>
          <w:rFonts w:ascii="Arial" w:hAnsi="Arial" w:eastAsia="Arial" w:cs="Arial"/>
          <w:b w:val="0"/>
          <w:bCs w:val="0"/>
          <w:color w:val="000000"/>
          <w:sz w:val="24"/>
        </w:rPr>
        <w:t xml:space="preserve">. doi: 10.1101/2022.09.08.507170.</w:t>
      </w:r>
      <w:r>
        <w:rPr>
          <w:rFonts w:ascii="Arial" w:hAnsi="Arial" w:eastAsia="Arial" w:cs="Arial"/>
          <w:b w:val="0"/>
          <w:bCs w:val="0"/>
        </w:rPr>
      </w:r>
    </w:p>
    <w:p w14:paraId="74F6B004">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[25]</w:t>
        <w:tab/>
      </w:r>
      <w:r>
        <w:rPr>
          <w:rFonts w:ascii="Arial" w:hAnsi="Arial" w:eastAsia="Arial" w:cs="Arial"/>
          <w:b w:val="0"/>
          <w:bCs w:val="0"/>
          <w:color w:val="000000"/>
          <w:sz w:val="24"/>
        </w:rPr>
        <w:t xml:space="preserve">Z. Zhao </w:t>
      </w:r>
      <w:r>
        <w:rPr>
          <w:rFonts w:ascii="Arial" w:hAnsi="Arial" w:eastAsia="Arial" w:cs="Arial"/>
          <w:b w:val="0"/>
          <w:bCs w:val="0"/>
          <w:i/>
          <w:color w:val="000000"/>
          <w:sz w:val="24"/>
        </w:rPr>
        <w:t xml:space="preserve">et al.</w:t>
      </w:r>
      <w:r>
        <w:rPr>
          <w:rFonts w:ascii="Arial" w:hAnsi="Arial" w:eastAsia="Arial" w:cs="Arial"/>
          <w:b w:val="0"/>
          <w:bCs w:val="0"/>
          <w:color w:val="000000"/>
          <w:sz w:val="24"/>
        </w:rPr>
        <w:t xml:space="preserve">, “Developing ChemDFM as a large language foundation model for chemistry,” </w:t>
      </w:r>
      <w:r>
        <w:rPr>
          <w:rFonts w:ascii="Arial" w:hAnsi="Arial" w:eastAsia="Arial" w:cs="Arial"/>
          <w:b w:val="0"/>
          <w:bCs w:val="0"/>
          <w:i/>
          <w:color w:val="000000"/>
          <w:sz w:val="24"/>
        </w:rPr>
        <w:t xml:space="preserve">Cell Reports Physical Science</w:t>
      </w:r>
      <w:r>
        <w:rPr>
          <w:rFonts w:ascii="Arial" w:hAnsi="Arial" w:eastAsia="Arial" w:cs="Arial"/>
          <w:b w:val="0"/>
          <w:bCs w:val="0"/>
          <w:color w:val="000000"/>
          <w:sz w:val="24"/>
        </w:rPr>
        <w:t xml:space="preserve">, vol. 6, no. 4, p. 102523, Apr. 2025, doi: 10.1016/j.xcrp.2025.102523.</w:t>
      </w:r>
      <w:r>
        <w:rPr>
          <w:rFonts w:ascii="Arial" w:hAnsi="Arial" w:eastAsia="Arial" w:cs="Arial"/>
          <w:b w:val="0"/>
          <w:bCs w:val="0"/>
        </w:rPr>
      </w:r>
    </w:p>
    <w:p w14:paraId="1EDCE123">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[26]</w:t>
        <w:tab/>
      </w:r>
      <w:r>
        <w:rPr>
          <w:rFonts w:ascii="Arial" w:hAnsi="Arial" w:eastAsia="Arial" w:cs="Arial"/>
          <w:b w:val="0"/>
          <w:bCs w:val="0"/>
          <w:color w:val="000000"/>
          <w:sz w:val="24"/>
        </w:rPr>
        <w:t xml:space="preserve">D. Fourches, E. Muratov, and A. Tropsha, “Trust, but Verify II: A Practical Guide to Chemogenomics Data Curation,” </w:t>
      </w:r>
      <w:r>
        <w:rPr>
          <w:rFonts w:ascii="Arial" w:hAnsi="Arial" w:eastAsia="Arial" w:cs="Arial"/>
          <w:b w:val="0"/>
          <w:bCs w:val="0"/>
          <w:i/>
          <w:color w:val="000000"/>
          <w:sz w:val="24"/>
        </w:rPr>
        <w:t xml:space="preserve">J. Chem. Inf. Model.</w:t>
      </w:r>
      <w:r>
        <w:rPr>
          <w:rFonts w:ascii="Arial" w:hAnsi="Arial" w:eastAsia="Arial" w:cs="Arial"/>
          <w:b w:val="0"/>
          <w:bCs w:val="0"/>
          <w:color w:val="000000"/>
          <w:sz w:val="24"/>
        </w:rPr>
        <w:t xml:space="preserve">, vol. 56, no. 7, pp. 1243–1252, Jul. 2016, doi: 10.1021/acs.jcim.6b00129.</w:t>
      </w:r>
      <w:r>
        <w:rPr>
          <w:rFonts w:ascii="Arial" w:hAnsi="Arial" w:eastAsia="Arial" w:cs="Arial"/>
          <w:b w:val="0"/>
          <w:bCs w:val="0"/>
        </w:rPr>
      </w:r>
    </w:p>
    <w:p w14:paraId="6CED070D">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[27]</w:t>
        <w:tab/>
      </w:r>
      <w:r>
        <w:rPr>
          <w:rFonts w:ascii="Arial" w:hAnsi="Arial" w:eastAsia="Arial" w:cs="Arial"/>
          <w:b w:val="0"/>
          <w:bCs w:val="0"/>
          <w:color w:val="000000"/>
          <w:sz w:val="24"/>
        </w:rPr>
        <w:t xml:space="preserve">D. Fourches, E. Muratov, and A. Tropsha, “Trust, But Verify: On the Importance of Chemical Structure Curation in Cheminformatics and QSAR Modeling Research,” </w:t>
      </w:r>
      <w:r>
        <w:rPr>
          <w:rFonts w:ascii="Arial" w:hAnsi="Arial" w:eastAsia="Arial" w:cs="Arial"/>
          <w:b w:val="0"/>
          <w:bCs w:val="0"/>
          <w:i/>
          <w:color w:val="000000"/>
          <w:sz w:val="24"/>
        </w:rPr>
        <w:t xml:space="preserve">J. Chem. Inf. Model.</w:t>
      </w:r>
      <w:r>
        <w:rPr>
          <w:rFonts w:ascii="Arial" w:hAnsi="Arial" w:eastAsia="Arial" w:cs="Arial"/>
          <w:b w:val="0"/>
          <w:bCs w:val="0"/>
          <w:color w:val="000000"/>
          <w:sz w:val="24"/>
        </w:rPr>
        <w:t xml:space="preserve">, vol. 50, no. 7, pp. 1189–1204, Jul. 2010, doi: 10.1021/ci100176x.</w:t>
      </w:r>
      <w:r>
        <w:rPr>
          <w:rFonts w:ascii="Arial" w:hAnsi="Arial" w:eastAsia="Arial" w:cs="Arial"/>
          <w:b w:val="0"/>
          <w:bCs w:val="0"/>
        </w:rPr>
      </w:r>
    </w:p>
    <w:p w14:paraId="70B93505">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[28]</w:t>
        <w:tab/>
      </w:r>
      <w:r>
        <w:rPr>
          <w:rFonts w:ascii="Arial" w:hAnsi="Arial" w:eastAsia="Arial" w:cs="Arial"/>
          <w:b w:val="0"/>
          <w:bCs w:val="0"/>
          <w:color w:val="000000"/>
          <w:sz w:val="24"/>
        </w:rPr>
        <w:t xml:space="preserve">R. Bentley, “The Nose as a Stereochemist. Enantiomers and Odor,” </w:t>
      </w:r>
      <w:r>
        <w:rPr>
          <w:rFonts w:ascii="Arial" w:hAnsi="Arial" w:eastAsia="Arial" w:cs="Arial"/>
          <w:b w:val="0"/>
          <w:bCs w:val="0"/>
          <w:i/>
          <w:color w:val="000000"/>
          <w:sz w:val="24"/>
        </w:rPr>
        <w:t xml:space="preserve">Chem. Rev.</w:t>
      </w:r>
      <w:r>
        <w:rPr>
          <w:rFonts w:ascii="Arial" w:hAnsi="Arial" w:eastAsia="Arial" w:cs="Arial"/>
          <w:b w:val="0"/>
          <w:bCs w:val="0"/>
          <w:color w:val="000000"/>
          <w:sz w:val="24"/>
        </w:rPr>
        <w:t xml:space="preserve">, vol. 106, no. 9, pp. 4099–4112, Sep. 2006, doi: 10.1021/cr050049t.</w:t>
      </w:r>
      <w:r>
        <w:rPr>
          <w:rFonts w:ascii="Arial" w:hAnsi="Arial" w:eastAsia="Arial" w:cs="Arial"/>
          <w:b w:val="0"/>
          <w:bCs w:val="0"/>
        </w:rPr>
      </w:r>
    </w:p>
    <w:p w14:paraId="1AB4940D">
      <w:pPr>
        <w:pBdr>
          <w:top w:val="none" w:color="000000" w:sz="4" w:space="0"/>
          <w:left w:val="none" w:color="000000" w:sz="4" w:space="0"/>
          <w:bottom w:val="none" w:color="000000" w:sz="4" w:space="0"/>
          <w:right w:val="none" w:color="000000" w:sz="4" w:space="0"/>
        </w:pBdr>
        <w:spacing w:after="0" w:line="240" w:lineRule="exact"/>
        <w:ind w:right="0" w:hanging="480" w:left="480"/>
        <w:jc w:val="both"/>
        <w:rPr>
          <w:rFonts w:ascii="Arial" w:hAnsi="Arial" w:cs="Arial"/>
          <w:b w:val="0"/>
          <w:bCs w:val="0"/>
        </w:rPr>
      </w:pPr>
      <w:r>
        <w:rPr>
          <w:rFonts w:ascii="Arial" w:hAnsi="Arial" w:eastAsia="Arial" w:cs="Arial"/>
          <w:b w:val="0"/>
          <w:bCs w:val="0"/>
          <w:i w:val="0"/>
          <w:color w:val="000000"/>
          <w:sz w:val="24"/>
        </w:rPr>
        <w:t xml:space="preserve">[29]</w:t>
        <w:tab/>
      </w:r>
      <w:r>
        <w:rPr>
          <w:rFonts w:ascii="Arial" w:hAnsi="Arial" w:eastAsia="Arial" w:cs="Arial"/>
          <w:b w:val="0"/>
          <w:bCs w:val="0"/>
          <w:color w:val="000000"/>
          <w:sz w:val="24"/>
        </w:rPr>
        <w:t xml:space="preserve">A. Sharma, B. K. Saha, R. Kumar, and P. K. Varadwaj, “OlfactionBase: a repository to explore odors, odorants, olfactory receptors and odorant–receptor interactions,” </w:t>
      </w:r>
      <w:r>
        <w:rPr>
          <w:rFonts w:ascii="Arial" w:hAnsi="Arial" w:eastAsia="Arial" w:cs="Arial"/>
          <w:b w:val="0"/>
          <w:bCs w:val="0"/>
          <w:i/>
          <w:color w:val="000000"/>
          <w:sz w:val="24"/>
        </w:rPr>
        <w:t xml:space="preserve">Nucleic Acids Research</w:t>
      </w:r>
      <w:r>
        <w:rPr>
          <w:rFonts w:ascii="Arial" w:hAnsi="Arial" w:eastAsia="Arial" w:cs="Arial"/>
          <w:b w:val="0"/>
          <w:bCs w:val="0"/>
          <w:color w:val="000000"/>
          <w:sz w:val="24"/>
        </w:rPr>
        <w:t xml:space="preserve">, vol. 50, no. D1, pp. D678–D686, Jan. 2022, doi: 10.1093/nar/gkab763.</w:t>
      </w:r>
      <w:r>
        <w:rPr>
          <w:rFonts w:ascii="Arial" w:hAnsi="Arial" w:eastAsia="Arial" w:cs="Arial"/>
          <w:b w:val="0"/>
          <w:bCs w:val="0"/>
        </w:rPr>
      </w:r>
    </w:p>
    <w:p w14:paraId="35C50EBF">
      <w:pPr>
        <w:pBdr/>
        <w:spacing w:after="240" w:before="240"/>
        <w:ind w:firstLine="0" w:left="0"/>
        <w:jc w:val="both"/>
        <w:rPr>
          <w:rFonts w:ascii="Arial" w:hAnsi="Arial" w:cs="Arial"/>
          <w:b w:val="0"/>
          <w:bCs w:val="0"/>
          <w:sz w:val="24"/>
          <w:szCs w:val="24"/>
        </w:rPr>
      </w:pPr>
      <w:r>
        <w:rPr>
          <w:rFonts w:ascii="Arial" w:hAnsi="Arial" w:eastAsia="Arial" w:cs="Arial"/>
          <w:b w:val="0"/>
          <w:bCs w:val="0"/>
          <w:sz w:val="24"/>
          <w:szCs w:val="24"/>
          <w:highlight w:val="none"/>
          <w:lang w:val="pt-BR"/>
        </w:rPr>
      </w:r>
      <w:r>
        <w:rPr>
          <w:rFonts w:ascii="Arial" w:hAnsi="Arial" w:eastAsia="Arial" w:cs="Arial"/>
          <w:b w:val="0"/>
          <w:bCs w:val="0"/>
          <w:sz w:val="24"/>
          <w:szCs w:val="24"/>
          <w:highlight w:val="none"/>
          <w:lang w:val="pt-BR"/>
        </w:rPr>
        <w:fldChar w:fldCharType="end"/>
      </w:r>
      <w:r>
        <w:rPr>
          <w:rFonts w:ascii="Arial" w:hAnsi="Arial" w:eastAsia="Arial" w:cs="Arial"/>
          <w:b w:val="0"/>
          <w:bCs w:val="0"/>
          <w:sz w:val="24"/>
          <w:szCs w:val="24"/>
          <w:highlight w:val="none"/>
          <w:lang w:val="pt-BR"/>
        </w:rPr>
      </w:r>
      <w:r>
        <w:rPr>
          <w:rFonts w:ascii="Arial" w:hAnsi="Arial" w:eastAsia="Arial" w:cs="Arial"/>
          <w:b w:val="0"/>
          <w:bCs w:val="0"/>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0">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1">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2">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3">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4">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5">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Heading 7"/>
    <w:basedOn w:val="891"/>
    <w:next w:val="891"/>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9" w:default="1">
    <w:name w:val="Default Paragraph Font"/>
    <w:uiPriority w:val="1"/>
    <w:semiHidden/>
    <w:unhideWhenUsed/>
    <w:pPr>
      <w:pBdr/>
      <w:spacing/>
      <w:ind/>
    </w:pPr>
  </w:style>
  <w:style w:type="numbering" w:styleId="840" w:default="1">
    <w:name w:val="No List"/>
    <w:uiPriority w:val="99"/>
    <w:semiHidden/>
    <w:unhideWhenUsed/>
    <w:pPr>
      <w:pBdr/>
      <w:spacing/>
      <w:ind/>
    </w:pPr>
  </w:style>
  <w:style w:type="character" w:styleId="841">
    <w:name w:val="Heading 1 Char"/>
    <w:basedOn w:val="839"/>
    <w:link w:val="892"/>
    <w:uiPriority w:val="9"/>
    <w:pPr>
      <w:pBdr/>
      <w:spacing/>
      <w:ind/>
    </w:pPr>
    <w:rPr>
      <w:rFonts w:ascii="Arial" w:hAnsi="Arial" w:eastAsia="Arial" w:cs="Arial"/>
      <w:color w:val="0f4761" w:themeColor="accent1" w:themeShade="BF"/>
      <w:sz w:val="40"/>
      <w:szCs w:val="40"/>
    </w:rPr>
  </w:style>
  <w:style w:type="character" w:styleId="842">
    <w:name w:val="Heading 2 Char"/>
    <w:basedOn w:val="839"/>
    <w:link w:val="893"/>
    <w:uiPriority w:val="9"/>
    <w:pPr>
      <w:pBdr/>
      <w:spacing/>
      <w:ind/>
    </w:pPr>
    <w:rPr>
      <w:rFonts w:ascii="Arial" w:hAnsi="Arial" w:eastAsia="Arial" w:cs="Arial"/>
      <w:color w:val="0f4761" w:themeColor="accent1" w:themeShade="BF"/>
      <w:sz w:val="32"/>
      <w:szCs w:val="32"/>
    </w:rPr>
  </w:style>
  <w:style w:type="character" w:styleId="843">
    <w:name w:val="Heading 3 Char"/>
    <w:basedOn w:val="839"/>
    <w:link w:val="894"/>
    <w:uiPriority w:val="9"/>
    <w:pPr>
      <w:pBdr/>
      <w:spacing/>
      <w:ind/>
    </w:pPr>
    <w:rPr>
      <w:rFonts w:ascii="Arial" w:hAnsi="Arial" w:eastAsia="Arial" w:cs="Arial"/>
      <w:color w:val="0f4761" w:themeColor="accent1" w:themeShade="BF"/>
      <w:sz w:val="28"/>
      <w:szCs w:val="28"/>
    </w:rPr>
  </w:style>
  <w:style w:type="character" w:styleId="844">
    <w:name w:val="Heading 4 Char"/>
    <w:basedOn w:val="839"/>
    <w:link w:val="895"/>
    <w:uiPriority w:val="9"/>
    <w:pPr>
      <w:pBdr/>
      <w:spacing/>
      <w:ind/>
    </w:pPr>
    <w:rPr>
      <w:rFonts w:ascii="Arial" w:hAnsi="Arial" w:eastAsia="Arial" w:cs="Arial"/>
      <w:i/>
      <w:iCs/>
      <w:color w:val="0f4761" w:themeColor="accent1" w:themeShade="BF"/>
    </w:rPr>
  </w:style>
  <w:style w:type="character" w:styleId="845">
    <w:name w:val="Heading 5 Char"/>
    <w:basedOn w:val="839"/>
    <w:link w:val="896"/>
    <w:uiPriority w:val="9"/>
    <w:pPr>
      <w:pBdr/>
      <w:spacing/>
      <w:ind/>
    </w:pPr>
    <w:rPr>
      <w:rFonts w:ascii="Arial" w:hAnsi="Arial" w:eastAsia="Arial" w:cs="Arial"/>
      <w:color w:val="0f4761" w:themeColor="accent1" w:themeShade="BF"/>
    </w:rPr>
  </w:style>
  <w:style w:type="character" w:styleId="846">
    <w:name w:val="Heading 6 Char"/>
    <w:basedOn w:val="839"/>
    <w:link w:val="897"/>
    <w:uiPriority w:val="9"/>
    <w:pPr>
      <w:pBdr/>
      <w:spacing/>
      <w:ind/>
    </w:pPr>
    <w:rPr>
      <w:rFonts w:ascii="Arial" w:hAnsi="Arial" w:eastAsia="Arial" w:cs="Arial"/>
      <w:i/>
      <w:iCs/>
      <w:color w:val="595959" w:themeColor="text1" w:themeTint="A6"/>
    </w:rPr>
  </w:style>
  <w:style w:type="character" w:styleId="847">
    <w:name w:val="Heading 7 Char"/>
    <w:basedOn w:val="839"/>
    <w:link w:val="836"/>
    <w:uiPriority w:val="9"/>
    <w:pPr>
      <w:pBdr/>
      <w:spacing/>
      <w:ind/>
    </w:pPr>
    <w:rPr>
      <w:rFonts w:ascii="Arial" w:hAnsi="Arial" w:eastAsia="Arial" w:cs="Arial"/>
      <w:color w:val="595959" w:themeColor="text1" w:themeTint="A6"/>
    </w:rPr>
  </w:style>
  <w:style w:type="character" w:styleId="848">
    <w:name w:val="Heading 8 Char"/>
    <w:basedOn w:val="839"/>
    <w:link w:val="837"/>
    <w:uiPriority w:val="9"/>
    <w:pPr>
      <w:pBdr/>
      <w:spacing/>
      <w:ind/>
    </w:pPr>
    <w:rPr>
      <w:rFonts w:ascii="Arial" w:hAnsi="Arial" w:eastAsia="Arial" w:cs="Arial"/>
      <w:i/>
      <w:iCs/>
      <w:color w:val="272727" w:themeColor="text1" w:themeTint="D8"/>
    </w:rPr>
  </w:style>
  <w:style w:type="character" w:styleId="849">
    <w:name w:val="Heading 9 Char"/>
    <w:basedOn w:val="839"/>
    <w:link w:val="838"/>
    <w:uiPriority w:val="9"/>
    <w:pPr>
      <w:pBdr/>
      <w:spacing/>
      <w:ind/>
    </w:pPr>
    <w:rPr>
      <w:rFonts w:ascii="Arial" w:hAnsi="Arial" w:eastAsia="Arial" w:cs="Arial"/>
      <w:i/>
      <w:iCs/>
      <w:color w:val="272727" w:themeColor="text1" w:themeTint="D8"/>
    </w:rPr>
  </w:style>
  <w:style w:type="character" w:styleId="850">
    <w:name w:val="Title Char"/>
    <w:basedOn w:val="839"/>
    <w:link w:val="898"/>
    <w:uiPriority w:val="10"/>
    <w:pPr>
      <w:pBdr/>
      <w:spacing/>
      <w:ind/>
    </w:pPr>
    <w:rPr>
      <w:rFonts w:ascii="Arial" w:hAnsi="Arial" w:eastAsia="Arial" w:cs="Arial"/>
      <w:spacing w:val="-10"/>
      <w:sz w:val="56"/>
      <w:szCs w:val="56"/>
    </w:rPr>
  </w:style>
  <w:style w:type="character" w:styleId="851">
    <w:name w:val="Subtitle Char"/>
    <w:basedOn w:val="839"/>
    <w:link w:val="899"/>
    <w:uiPriority w:val="11"/>
    <w:pPr>
      <w:pBdr/>
      <w:spacing/>
      <w:ind/>
    </w:pPr>
    <w:rPr>
      <w:color w:val="595959" w:themeColor="text1" w:themeTint="A6"/>
      <w:spacing w:val="15"/>
      <w:sz w:val="28"/>
      <w:szCs w:val="28"/>
    </w:rPr>
  </w:style>
  <w:style w:type="paragraph" w:styleId="852">
    <w:name w:val="Quote"/>
    <w:basedOn w:val="891"/>
    <w:next w:val="891"/>
    <w:link w:val="853"/>
    <w:uiPriority w:val="29"/>
    <w:qFormat/>
    <w:pPr>
      <w:pBdr/>
      <w:spacing w:before="160"/>
      <w:ind/>
      <w:jc w:val="center"/>
    </w:pPr>
    <w:rPr>
      <w:i/>
      <w:iCs/>
      <w:color w:val="404040" w:themeColor="text1" w:themeTint="BF"/>
    </w:rPr>
  </w:style>
  <w:style w:type="character" w:styleId="853">
    <w:name w:val="Quote Char"/>
    <w:basedOn w:val="839"/>
    <w:link w:val="852"/>
    <w:uiPriority w:val="29"/>
    <w:pPr>
      <w:pBdr/>
      <w:spacing/>
      <w:ind/>
    </w:pPr>
    <w:rPr>
      <w:i/>
      <w:iCs/>
      <w:color w:val="404040" w:themeColor="text1" w:themeTint="BF"/>
    </w:rPr>
  </w:style>
  <w:style w:type="paragraph" w:styleId="854">
    <w:name w:val="List Paragraph"/>
    <w:basedOn w:val="891"/>
    <w:uiPriority w:val="34"/>
    <w:qFormat/>
    <w:pPr>
      <w:pBdr/>
      <w:spacing/>
      <w:ind w:left="720"/>
      <w:contextualSpacing w:val="true"/>
    </w:pPr>
  </w:style>
  <w:style w:type="character" w:styleId="855">
    <w:name w:val="Intense Emphasis"/>
    <w:basedOn w:val="839"/>
    <w:uiPriority w:val="21"/>
    <w:qFormat/>
    <w:pPr>
      <w:pBdr/>
      <w:spacing/>
      <w:ind/>
    </w:pPr>
    <w:rPr>
      <w:i/>
      <w:iCs/>
      <w:color w:val="0f4761" w:themeColor="accent1" w:themeShade="BF"/>
    </w:rPr>
  </w:style>
  <w:style w:type="paragraph" w:styleId="856">
    <w:name w:val="Intense Quote"/>
    <w:basedOn w:val="891"/>
    <w:next w:val="891"/>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39"/>
    <w:link w:val="856"/>
    <w:uiPriority w:val="30"/>
    <w:pPr>
      <w:pBdr/>
      <w:spacing/>
      <w:ind/>
    </w:pPr>
    <w:rPr>
      <w:i/>
      <w:iCs/>
      <w:color w:val="0f4761" w:themeColor="accent1" w:themeShade="BF"/>
    </w:rPr>
  </w:style>
  <w:style w:type="character" w:styleId="858">
    <w:name w:val="Intense Reference"/>
    <w:basedOn w:val="839"/>
    <w:uiPriority w:val="32"/>
    <w:qFormat/>
    <w:pPr>
      <w:pBdr/>
      <w:spacing/>
      <w:ind/>
    </w:pPr>
    <w:rPr>
      <w:b/>
      <w:bCs/>
      <w:smallCaps/>
      <w:color w:val="0f4761" w:themeColor="accent1" w:themeShade="BF"/>
      <w:spacing w:val="5"/>
    </w:rPr>
  </w:style>
  <w:style w:type="paragraph" w:styleId="859">
    <w:name w:val="No Spacing"/>
    <w:basedOn w:val="891"/>
    <w:uiPriority w:val="1"/>
    <w:qFormat/>
    <w:pPr>
      <w:pBdr/>
      <w:spacing w:after="0" w:line="240" w:lineRule="auto"/>
      <w:ind/>
    </w:pPr>
  </w:style>
  <w:style w:type="character" w:styleId="860">
    <w:name w:val="Subtle Emphasis"/>
    <w:basedOn w:val="839"/>
    <w:uiPriority w:val="19"/>
    <w:qFormat/>
    <w:pPr>
      <w:pBdr/>
      <w:spacing/>
      <w:ind/>
    </w:pPr>
    <w:rPr>
      <w:i/>
      <w:iCs/>
      <w:color w:val="404040" w:themeColor="text1" w:themeTint="BF"/>
    </w:rPr>
  </w:style>
  <w:style w:type="character" w:styleId="861">
    <w:name w:val="Emphasis"/>
    <w:basedOn w:val="839"/>
    <w:uiPriority w:val="20"/>
    <w:qFormat/>
    <w:pPr>
      <w:pBdr/>
      <w:spacing/>
      <w:ind/>
    </w:pPr>
    <w:rPr>
      <w:i/>
      <w:iCs/>
    </w:rPr>
  </w:style>
  <w:style w:type="character" w:styleId="862">
    <w:name w:val="Strong"/>
    <w:basedOn w:val="839"/>
    <w:uiPriority w:val="22"/>
    <w:qFormat/>
    <w:pPr>
      <w:pBdr/>
      <w:spacing/>
      <w:ind/>
    </w:pPr>
    <w:rPr>
      <w:b/>
      <w:bCs/>
    </w:rPr>
  </w:style>
  <w:style w:type="character" w:styleId="863">
    <w:name w:val="Subtle Reference"/>
    <w:basedOn w:val="839"/>
    <w:uiPriority w:val="31"/>
    <w:qFormat/>
    <w:pPr>
      <w:pBdr/>
      <w:spacing/>
      <w:ind/>
    </w:pPr>
    <w:rPr>
      <w:smallCaps/>
      <w:color w:val="5a5a5a" w:themeColor="text1" w:themeTint="A5"/>
    </w:rPr>
  </w:style>
  <w:style w:type="character" w:styleId="864">
    <w:name w:val="Book Title"/>
    <w:basedOn w:val="839"/>
    <w:uiPriority w:val="33"/>
    <w:qFormat/>
    <w:pPr>
      <w:pBdr/>
      <w:spacing/>
      <w:ind/>
    </w:pPr>
    <w:rPr>
      <w:b/>
      <w:bCs/>
      <w:i/>
      <w:iCs/>
      <w:spacing w:val="5"/>
    </w:rPr>
  </w:style>
  <w:style w:type="paragraph" w:styleId="865">
    <w:name w:val="Header"/>
    <w:basedOn w:val="891"/>
    <w:link w:val="866"/>
    <w:uiPriority w:val="99"/>
    <w:unhideWhenUsed/>
    <w:pPr>
      <w:pBdr/>
      <w:tabs>
        <w:tab w:val="center" w:leader="none" w:pos="4844"/>
        <w:tab w:val="right" w:leader="none" w:pos="9689"/>
      </w:tabs>
      <w:spacing w:after="0" w:line="240" w:lineRule="auto"/>
      <w:ind/>
    </w:pPr>
  </w:style>
  <w:style w:type="character" w:styleId="866">
    <w:name w:val="Header Char"/>
    <w:basedOn w:val="839"/>
    <w:link w:val="865"/>
    <w:uiPriority w:val="99"/>
    <w:pPr>
      <w:pBdr/>
      <w:spacing/>
      <w:ind/>
    </w:pPr>
  </w:style>
  <w:style w:type="paragraph" w:styleId="867">
    <w:name w:val="Footer"/>
    <w:basedOn w:val="891"/>
    <w:link w:val="868"/>
    <w:uiPriority w:val="99"/>
    <w:unhideWhenUsed/>
    <w:pPr>
      <w:pBdr/>
      <w:tabs>
        <w:tab w:val="center" w:leader="none" w:pos="4844"/>
        <w:tab w:val="right" w:leader="none" w:pos="9689"/>
      </w:tabs>
      <w:spacing w:after="0" w:line="240" w:lineRule="auto"/>
      <w:ind/>
    </w:pPr>
  </w:style>
  <w:style w:type="character" w:styleId="868">
    <w:name w:val="Footer Char"/>
    <w:basedOn w:val="839"/>
    <w:link w:val="867"/>
    <w:uiPriority w:val="99"/>
    <w:pPr>
      <w:pBdr/>
      <w:spacing/>
      <w:ind/>
    </w:pPr>
  </w:style>
  <w:style w:type="paragraph" w:styleId="869">
    <w:name w:val="Caption"/>
    <w:basedOn w:val="891"/>
    <w:next w:val="891"/>
    <w:uiPriority w:val="35"/>
    <w:unhideWhenUsed/>
    <w:qFormat/>
    <w:pPr>
      <w:pBdr/>
      <w:spacing w:after="200" w:line="240" w:lineRule="auto"/>
      <w:ind/>
    </w:pPr>
    <w:rPr>
      <w:i/>
      <w:iCs/>
      <w:color w:val="0e2841" w:themeColor="text2"/>
      <w:sz w:val="18"/>
      <w:szCs w:val="18"/>
    </w:rPr>
  </w:style>
  <w:style w:type="paragraph" w:styleId="870">
    <w:name w:val="footnote text"/>
    <w:basedOn w:val="891"/>
    <w:link w:val="871"/>
    <w:uiPriority w:val="99"/>
    <w:semiHidden/>
    <w:unhideWhenUsed/>
    <w:pPr>
      <w:pBdr/>
      <w:spacing w:after="0" w:line="240" w:lineRule="auto"/>
      <w:ind/>
    </w:pPr>
    <w:rPr>
      <w:sz w:val="20"/>
      <w:szCs w:val="20"/>
    </w:rPr>
  </w:style>
  <w:style w:type="character" w:styleId="871">
    <w:name w:val="Footnote Text Char"/>
    <w:basedOn w:val="839"/>
    <w:link w:val="870"/>
    <w:uiPriority w:val="99"/>
    <w:semiHidden/>
    <w:pPr>
      <w:pBdr/>
      <w:spacing/>
      <w:ind/>
    </w:pPr>
    <w:rPr>
      <w:sz w:val="20"/>
      <w:szCs w:val="20"/>
    </w:rPr>
  </w:style>
  <w:style w:type="character" w:styleId="872">
    <w:name w:val="footnote reference"/>
    <w:basedOn w:val="839"/>
    <w:uiPriority w:val="99"/>
    <w:semiHidden/>
    <w:unhideWhenUsed/>
    <w:pPr>
      <w:pBdr/>
      <w:spacing/>
      <w:ind/>
    </w:pPr>
    <w:rPr>
      <w:vertAlign w:val="superscript"/>
    </w:rPr>
  </w:style>
  <w:style w:type="paragraph" w:styleId="873">
    <w:name w:val="endnote text"/>
    <w:basedOn w:val="891"/>
    <w:link w:val="874"/>
    <w:uiPriority w:val="99"/>
    <w:semiHidden/>
    <w:unhideWhenUsed/>
    <w:pPr>
      <w:pBdr/>
      <w:spacing w:after="0" w:line="240" w:lineRule="auto"/>
      <w:ind/>
    </w:pPr>
    <w:rPr>
      <w:sz w:val="20"/>
      <w:szCs w:val="20"/>
    </w:rPr>
  </w:style>
  <w:style w:type="character" w:styleId="874">
    <w:name w:val="Endnote Text Char"/>
    <w:basedOn w:val="839"/>
    <w:link w:val="873"/>
    <w:uiPriority w:val="99"/>
    <w:semiHidden/>
    <w:pPr>
      <w:pBdr/>
      <w:spacing/>
      <w:ind/>
    </w:pPr>
    <w:rPr>
      <w:sz w:val="20"/>
      <w:szCs w:val="20"/>
    </w:rPr>
  </w:style>
  <w:style w:type="character" w:styleId="875">
    <w:name w:val="endnote reference"/>
    <w:basedOn w:val="839"/>
    <w:uiPriority w:val="99"/>
    <w:semiHidden/>
    <w:unhideWhenUsed/>
    <w:pPr>
      <w:pBdr/>
      <w:spacing/>
      <w:ind/>
    </w:pPr>
    <w:rPr>
      <w:vertAlign w:val="superscript"/>
    </w:rPr>
  </w:style>
  <w:style w:type="character" w:styleId="876">
    <w:name w:val="Hyperlink"/>
    <w:basedOn w:val="839"/>
    <w:uiPriority w:val="99"/>
    <w:unhideWhenUsed/>
    <w:pPr>
      <w:pBdr/>
      <w:spacing/>
      <w:ind/>
    </w:pPr>
    <w:rPr>
      <w:color w:val="0563c1" w:themeColor="hyperlink"/>
      <w:u w:val="single"/>
    </w:rPr>
  </w:style>
  <w:style w:type="character" w:styleId="877">
    <w:name w:val="FollowedHyperlink"/>
    <w:basedOn w:val="839"/>
    <w:uiPriority w:val="99"/>
    <w:semiHidden/>
    <w:unhideWhenUsed/>
    <w:pPr>
      <w:pBdr/>
      <w:spacing/>
      <w:ind/>
    </w:pPr>
    <w:rPr>
      <w:color w:val="954f72" w:themeColor="followedHyperlink"/>
      <w:u w:val="single"/>
    </w:rPr>
  </w:style>
  <w:style w:type="paragraph" w:styleId="878">
    <w:name w:val="toc 1"/>
    <w:basedOn w:val="891"/>
    <w:next w:val="891"/>
    <w:uiPriority w:val="39"/>
    <w:unhideWhenUsed/>
    <w:pPr>
      <w:pBdr/>
      <w:spacing w:after="100"/>
      <w:ind/>
    </w:pPr>
  </w:style>
  <w:style w:type="paragraph" w:styleId="879">
    <w:name w:val="toc 2"/>
    <w:basedOn w:val="891"/>
    <w:next w:val="891"/>
    <w:uiPriority w:val="39"/>
    <w:unhideWhenUsed/>
    <w:pPr>
      <w:pBdr/>
      <w:spacing w:after="100"/>
      <w:ind w:left="220"/>
    </w:pPr>
  </w:style>
  <w:style w:type="paragraph" w:styleId="880">
    <w:name w:val="toc 3"/>
    <w:basedOn w:val="891"/>
    <w:next w:val="891"/>
    <w:uiPriority w:val="39"/>
    <w:unhideWhenUsed/>
    <w:pPr>
      <w:pBdr/>
      <w:spacing w:after="100"/>
      <w:ind w:left="440"/>
    </w:pPr>
  </w:style>
  <w:style w:type="paragraph" w:styleId="881">
    <w:name w:val="toc 4"/>
    <w:basedOn w:val="891"/>
    <w:next w:val="891"/>
    <w:uiPriority w:val="39"/>
    <w:unhideWhenUsed/>
    <w:pPr>
      <w:pBdr/>
      <w:spacing w:after="100"/>
      <w:ind w:left="660"/>
    </w:pPr>
  </w:style>
  <w:style w:type="paragraph" w:styleId="882">
    <w:name w:val="toc 5"/>
    <w:basedOn w:val="891"/>
    <w:next w:val="891"/>
    <w:uiPriority w:val="39"/>
    <w:unhideWhenUsed/>
    <w:pPr>
      <w:pBdr/>
      <w:spacing w:after="100"/>
      <w:ind w:left="880"/>
    </w:pPr>
  </w:style>
  <w:style w:type="paragraph" w:styleId="883">
    <w:name w:val="toc 6"/>
    <w:basedOn w:val="891"/>
    <w:next w:val="891"/>
    <w:uiPriority w:val="39"/>
    <w:unhideWhenUsed/>
    <w:pPr>
      <w:pBdr/>
      <w:spacing w:after="100"/>
      <w:ind w:left="1100"/>
    </w:pPr>
  </w:style>
  <w:style w:type="paragraph" w:styleId="884">
    <w:name w:val="toc 7"/>
    <w:basedOn w:val="891"/>
    <w:next w:val="891"/>
    <w:uiPriority w:val="39"/>
    <w:unhideWhenUsed/>
    <w:pPr>
      <w:pBdr/>
      <w:spacing w:after="100"/>
      <w:ind w:left="1320"/>
    </w:pPr>
  </w:style>
  <w:style w:type="paragraph" w:styleId="885">
    <w:name w:val="toc 8"/>
    <w:basedOn w:val="891"/>
    <w:next w:val="891"/>
    <w:uiPriority w:val="39"/>
    <w:unhideWhenUsed/>
    <w:pPr>
      <w:pBdr/>
      <w:spacing w:after="100"/>
      <w:ind w:left="1540"/>
    </w:pPr>
  </w:style>
  <w:style w:type="paragraph" w:styleId="886">
    <w:name w:val="toc 9"/>
    <w:basedOn w:val="891"/>
    <w:next w:val="891"/>
    <w:uiPriority w:val="39"/>
    <w:unhideWhenUsed/>
    <w:pPr>
      <w:pBdr/>
      <w:spacing w:after="100"/>
      <w:ind w:left="1760"/>
    </w:pPr>
  </w:style>
  <w:style w:type="character" w:styleId="887">
    <w:name w:val="Placeholder Text"/>
    <w:basedOn w:val="839"/>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1"/>
    <w:next w:val="891"/>
    <w:uiPriority w:val="99"/>
    <w:unhideWhenUsed/>
    <w:pPr>
      <w:pBdr/>
      <w:spacing w:after="0" w:afterAutospacing="0"/>
      <w:ind/>
    </w:pPr>
  </w:style>
  <w:style w:type="table" w:styleId="89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default="1">
    <w:name w:val="Normal"/>
    <w:pPr>
      <w:pBdr/>
      <w:spacing/>
      <w:ind/>
    </w:pPr>
  </w:style>
  <w:style w:type="paragraph" w:styleId="892">
    <w:name w:val="Heading 1"/>
    <w:basedOn w:val="891"/>
    <w:next w:val="891"/>
    <w:pPr>
      <w:keepNext w:val="true"/>
      <w:keepLines w:val="true"/>
      <w:pageBreakBefore w:val="false"/>
      <w:pBdr/>
      <w:spacing w:after="120" w:before="400"/>
      <w:ind/>
    </w:pPr>
    <w:rPr>
      <w:sz w:val="40"/>
      <w:szCs w:val="40"/>
    </w:rPr>
  </w:style>
  <w:style w:type="paragraph" w:styleId="893">
    <w:name w:val="Heading 2"/>
    <w:basedOn w:val="891"/>
    <w:next w:val="891"/>
    <w:pPr>
      <w:keepNext w:val="true"/>
      <w:keepLines w:val="true"/>
      <w:pageBreakBefore w:val="false"/>
      <w:pBdr/>
      <w:spacing w:after="120" w:before="360"/>
      <w:ind/>
    </w:pPr>
    <w:rPr>
      <w:b w:val="0"/>
      <w:bCs w:val="0"/>
      <w:sz w:val="32"/>
      <w:szCs w:val="32"/>
    </w:rPr>
  </w:style>
  <w:style w:type="paragraph" w:styleId="894">
    <w:name w:val="Heading 3"/>
    <w:basedOn w:val="891"/>
    <w:next w:val="891"/>
    <w:pPr>
      <w:keepNext w:val="true"/>
      <w:keepLines w:val="true"/>
      <w:pageBreakBefore w:val="false"/>
      <w:pBdr/>
      <w:spacing w:after="80" w:before="320"/>
      <w:ind/>
    </w:pPr>
    <w:rPr>
      <w:b w:val="0"/>
      <w:bCs w:val="0"/>
      <w:color w:val="434343"/>
      <w:sz w:val="28"/>
      <w:szCs w:val="28"/>
    </w:rPr>
  </w:style>
  <w:style w:type="paragraph" w:styleId="895">
    <w:name w:val="Heading 4"/>
    <w:basedOn w:val="891"/>
    <w:next w:val="891"/>
    <w:pPr>
      <w:keepNext w:val="true"/>
      <w:keepLines w:val="true"/>
      <w:pageBreakBefore w:val="false"/>
      <w:pBdr/>
      <w:spacing w:after="80" w:before="280"/>
      <w:ind/>
    </w:pPr>
    <w:rPr>
      <w:color w:val="666666"/>
      <w:sz w:val="24"/>
      <w:szCs w:val="24"/>
    </w:rPr>
  </w:style>
  <w:style w:type="paragraph" w:styleId="896">
    <w:name w:val="Heading 5"/>
    <w:basedOn w:val="891"/>
    <w:next w:val="891"/>
    <w:pPr>
      <w:keepNext w:val="true"/>
      <w:keepLines w:val="true"/>
      <w:pageBreakBefore w:val="false"/>
      <w:pBdr/>
      <w:spacing w:after="80" w:before="240"/>
      <w:ind/>
    </w:pPr>
    <w:rPr>
      <w:color w:val="666666"/>
      <w:sz w:val="22"/>
      <w:szCs w:val="22"/>
    </w:rPr>
  </w:style>
  <w:style w:type="paragraph" w:styleId="897">
    <w:name w:val="Heading 6"/>
    <w:basedOn w:val="891"/>
    <w:next w:val="891"/>
    <w:pPr>
      <w:keepNext w:val="true"/>
      <w:keepLines w:val="true"/>
      <w:pageBreakBefore w:val="false"/>
      <w:pBdr/>
      <w:spacing w:after="80" w:before="240"/>
      <w:ind/>
    </w:pPr>
    <w:rPr>
      <w:i/>
      <w:iCs/>
      <w:color w:val="666666"/>
      <w:sz w:val="22"/>
      <w:szCs w:val="22"/>
    </w:rPr>
  </w:style>
  <w:style w:type="paragraph" w:styleId="898">
    <w:name w:val="Title"/>
    <w:basedOn w:val="891"/>
    <w:next w:val="891"/>
    <w:pPr>
      <w:keepNext w:val="true"/>
      <w:keepLines w:val="true"/>
      <w:pageBreakBefore w:val="false"/>
      <w:pBdr/>
      <w:spacing w:after="60" w:before="0"/>
      <w:ind/>
    </w:pPr>
    <w:rPr>
      <w:sz w:val="52"/>
      <w:szCs w:val="52"/>
    </w:rPr>
  </w:style>
  <w:style w:type="paragraph" w:styleId="899">
    <w:name w:val="Subtitle"/>
    <w:basedOn w:val="891"/>
    <w:next w:val="891"/>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2026-06-02T09:33:26Z</dcterms:modified>
</cp:coreProperties>
</file>