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F2310" w14:textId="4FA4BA0F" w:rsidR="00633F4C" w:rsidRPr="00F16718" w:rsidRDefault="002B4DAF" w:rsidP="00ED7B8C">
      <w:pPr>
        <w:spacing w:line="360" w:lineRule="auto"/>
      </w:pPr>
      <w:r w:rsidRPr="00F16718">
        <w:t>Daniel Sanchez</w:t>
      </w:r>
    </w:p>
    <w:p w14:paraId="7D82A956" w14:textId="2671D71D" w:rsidR="002B4DAF" w:rsidRPr="00F16718" w:rsidRDefault="002B4DAF" w:rsidP="00ED7B8C">
      <w:pPr>
        <w:spacing w:line="360" w:lineRule="auto"/>
      </w:pPr>
      <w:r w:rsidRPr="00F16718">
        <w:t>BAN 525</w:t>
      </w:r>
    </w:p>
    <w:p w14:paraId="78563BFD" w14:textId="50348FB5" w:rsidR="002B4DAF" w:rsidRPr="00F16718" w:rsidRDefault="002B4DAF" w:rsidP="00ED7B8C">
      <w:pPr>
        <w:spacing w:line="360" w:lineRule="auto"/>
      </w:pPr>
      <w:r w:rsidRPr="00F16718">
        <w:t>Dr. Ciner</w:t>
      </w:r>
    </w:p>
    <w:p w14:paraId="6545E1C2" w14:textId="271FF8AF" w:rsidR="00F16718" w:rsidRDefault="002B4DAF" w:rsidP="00ED7B8C">
      <w:pPr>
        <w:spacing w:line="360" w:lineRule="auto"/>
      </w:pPr>
      <w:r w:rsidRPr="00F16718">
        <w:t>Module 1: Assignment 1 -- Risk Factors for Oil Prices: Before and After Covid-19</w:t>
      </w:r>
    </w:p>
    <w:p w14:paraId="10941B4F" w14:textId="7B16008D" w:rsidR="008E2466" w:rsidRPr="00F16718" w:rsidRDefault="008E2466" w:rsidP="00ED7B8C">
      <w:pPr>
        <w:spacing w:line="360" w:lineRule="auto"/>
      </w:pPr>
      <w:r>
        <w:t>May 16</w:t>
      </w:r>
      <w:r w:rsidRPr="008E2466">
        <w:rPr>
          <w:vertAlign w:val="superscript"/>
        </w:rPr>
        <w:t>th</w:t>
      </w:r>
      <w:r>
        <w:t>, 2021</w:t>
      </w:r>
    </w:p>
    <w:p w14:paraId="32A185A5" w14:textId="15805DDC" w:rsidR="002168DE" w:rsidRPr="001B2AF8" w:rsidRDefault="00F16718" w:rsidP="00ED7B8C">
      <w:pPr>
        <w:spacing w:line="360" w:lineRule="auto"/>
        <w:jc w:val="center"/>
        <w:rPr>
          <w:rFonts w:cstheme="minorHAnsi"/>
          <w:b/>
          <w:bCs/>
          <w:u w:val="single"/>
        </w:rPr>
      </w:pPr>
      <w:r w:rsidRPr="001B2AF8">
        <w:rPr>
          <w:rFonts w:cstheme="minorHAnsi"/>
          <w:b/>
          <w:bCs/>
          <w:u w:val="single"/>
        </w:rPr>
        <w:t>Introduction</w:t>
      </w:r>
    </w:p>
    <w:p w14:paraId="67C0BD6C" w14:textId="5D5D6CC5" w:rsidR="002168DE" w:rsidRDefault="002168DE" w:rsidP="00ED7B8C">
      <w:pPr>
        <w:spacing w:line="360" w:lineRule="auto"/>
        <w:rPr>
          <w:rFonts w:cstheme="minorHAnsi"/>
        </w:rPr>
      </w:pPr>
      <w:r w:rsidRPr="002168DE">
        <w:rPr>
          <w:rFonts w:cstheme="minorHAnsi"/>
        </w:rPr>
        <w:tab/>
      </w:r>
      <w:r w:rsidR="00354EA3" w:rsidRPr="002168DE">
        <w:rPr>
          <w:rFonts w:cstheme="minorHAnsi"/>
        </w:rPr>
        <w:t>The Covid</w:t>
      </w:r>
      <w:r w:rsidR="004C7328" w:rsidRPr="002168DE">
        <w:rPr>
          <w:rFonts w:cstheme="minorHAnsi"/>
        </w:rPr>
        <w:t xml:space="preserve"> </w:t>
      </w:r>
      <w:r w:rsidR="00354EA3" w:rsidRPr="002168DE">
        <w:rPr>
          <w:rFonts w:cstheme="minorHAnsi"/>
        </w:rPr>
        <w:t xml:space="preserve">19 pandemic greatly disrupted global </w:t>
      </w:r>
      <w:r w:rsidR="009976C8" w:rsidRPr="002168DE">
        <w:rPr>
          <w:rFonts w:cstheme="minorHAnsi"/>
        </w:rPr>
        <w:t>markets</w:t>
      </w:r>
      <w:r w:rsidR="00354EA3" w:rsidRPr="002168DE">
        <w:rPr>
          <w:rFonts w:cstheme="minorHAnsi"/>
        </w:rPr>
        <w:t xml:space="preserve">, creating uncertainty in almost every sector.  </w:t>
      </w:r>
      <w:r w:rsidR="009976C8" w:rsidRPr="002168DE">
        <w:rPr>
          <w:rFonts w:cstheme="minorHAnsi"/>
        </w:rPr>
        <w:t xml:space="preserve">Stock prices plummeted in the spring of 2020, as the world grappled with </w:t>
      </w:r>
      <w:r w:rsidR="00F7796E">
        <w:rPr>
          <w:rFonts w:cstheme="minorHAnsi"/>
        </w:rPr>
        <w:t>a</w:t>
      </w:r>
      <w:r w:rsidR="006D08E1">
        <w:rPr>
          <w:rFonts w:cstheme="minorHAnsi"/>
        </w:rPr>
        <w:t xml:space="preserve"> never-before-seen</w:t>
      </w:r>
      <w:r w:rsidR="009976C8" w:rsidRPr="002168DE">
        <w:rPr>
          <w:rFonts w:cstheme="minorHAnsi"/>
        </w:rPr>
        <w:t xml:space="preserve"> virus.  </w:t>
      </w:r>
      <w:r w:rsidR="00354EA3" w:rsidRPr="002168DE">
        <w:rPr>
          <w:rFonts w:cstheme="minorHAnsi"/>
        </w:rPr>
        <w:t>Supply chains</w:t>
      </w:r>
      <w:r w:rsidR="004C7328" w:rsidRPr="002168DE">
        <w:rPr>
          <w:rFonts w:cstheme="minorHAnsi"/>
        </w:rPr>
        <w:t xml:space="preserve"> and travel</w:t>
      </w:r>
      <w:r w:rsidR="00354EA3" w:rsidRPr="002168DE">
        <w:rPr>
          <w:rFonts w:cstheme="minorHAnsi"/>
        </w:rPr>
        <w:t xml:space="preserve"> were stalled</w:t>
      </w:r>
      <w:r w:rsidR="009976C8" w:rsidRPr="002168DE">
        <w:rPr>
          <w:rFonts w:cstheme="minorHAnsi"/>
        </w:rPr>
        <w:t>,</w:t>
      </w:r>
      <w:r w:rsidR="00354EA3" w:rsidRPr="002168DE">
        <w:rPr>
          <w:rFonts w:cstheme="minorHAnsi"/>
        </w:rPr>
        <w:t xml:space="preserve"> </w:t>
      </w:r>
      <w:r w:rsidR="004C7328" w:rsidRPr="002168DE">
        <w:rPr>
          <w:rFonts w:cstheme="minorHAnsi"/>
        </w:rPr>
        <w:t xml:space="preserve">and </w:t>
      </w:r>
      <w:r w:rsidR="00354EA3" w:rsidRPr="002168DE">
        <w:rPr>
          <w:rFonts w:cstheme="minorHAnsi"/>
        </w:rPr>
        <w:t>demand for sanitation products skyrocketed</w:t>
      </w:r>
      <w:r w:rsidR="00FA1A6E" w:rsidRPr="002168DE">
        <w:rPr>
          <w:rFonts w:cstheme="minorHAnsi"/>
        </w:rPr>
        <w:t>.</w:t>
      </w:r>
      <w:r w:rsidR="00354EA3" w:rsidRPr="002168DE">
        <w:rPr>
          <w:rFonts w:cstheme="minorHAnsi"/>
        </w:rPr>
        <w:t xml:space="preserve"> </w:t>
      </w:r>
      <w:r w:rsidR="00FA1A6E" w:rsidRPr="002168DE">
        <w:rPr>
          <w:rFonts w:cstheme="minorHAnsi"/>
        </w:rPr>
        <w:t xml:space="preserve"> Many w</w:t>
      </w:r>
      <w:r w:rsidR="00354EA3" w:rsidRPr="002168DE">
        <w:rPr>
          <w:rFonts w:cstheme="minorHAnsi"/>
        </w:rPr>
        <w:t>orkers</w:t>
      </w:r>
      <w:r w:rsidR="00F7796E">
        <w:rPr>
          <w:rFonts w:cstheme="minorHAnsi"/>
        </w:rPr>
        <w:t xml:space="preserve"> </w:t>
      </w:r>
      <w:r w:rsidR="00354EA3" w:rsidRPr="002168DE">
        <w:rPr>
          <w:rFonts w:cstheme="minorHAnsi"/>
        </w:rPr>
        <w:t>were forced to stay at home (with their similarly home-bound kids)</w:t>
      </w:r>
      <w:r w:rsidR="00FA1A6E" w:rsidRPr="002168DE">
        <w:rPr>
          <w:rFonts w:cstheme="minorHAnsi"/>
        </w:rPr>
        <w:t>, and</w:t>
      </w:r>
      <w:r w:rsidR="00354EA3" w:rsidRPr="002168DE">
        <w:rPr>
          <w:rFonts w:cstheme="minorHAnsi"/>
        </w:rPr>
        <w:t xml:space="preserve"> mundane errands </w:t>
      </w:r>
      <w:r w:rsidR="009976C8" w:rsidRPr="002168DE">
        <w:rPr>
          <w:rFonts w:cstheme="minorHAnsi"/>
        </w:rPr>
        <w:t>to the store</w:t>
      </w:r>
      <w:r w:rsidR="00354EA3" w:rsidRPr="002168DE">
        <w:rPr>
          <w:rFonts w:cstheme="minorHAnsi"/>
        </w:rPr>
        <w:t xml:space="preserve"> became potentially deadly.</w:t>
      </w:r>
      <w:r w:rsidR="004C7328" w:rsidRPr="002168DE">
        <w:rPr>
          <w:rFonts w:cstheme="minorHAnsi"/>
        </w:rPr>
        <w:t xml:space="preserve"> This fear and uncertainty are sure to have impacted the price of oil</w:t>
      </w:r>
      <w:r w:rsidR="00E95F0C">
        <w:rPr>
          <w:rFonts w:cstheme="minorHAnsi"/>
        </w:rPr>
        <w:t>, among many other things</w:t>
      </w:r>
      <w:r w:rsidR="004C7328" w:rsidRPr="002168DE">
        <w:rPr>
          <w:rFonts w:cstheme="minorHAnsi"/>
        </w:rPr>
        <w:t xml:space="preserve">.  </w:t>
      </w:r>
      <w:r w:rsidR="006D08E1">
        <w:rPr>
          <w:rFonts w:cstheme="minorHAnsi"/>
        </w:rPr>
        <w:t xml:space="preserve">If we were to analyze </w:t>
      </w:r>
      <w:r w:rsidR="004C7328" w:rsidRPr="002168DE">
        <w:rPr>
          <w:rFonts w:cstheme="minorHAnsi"/>
        </w:rPr>
        <w:t xml:space="preserve">oil price </w:t>
      </w:r>
      <w:r w:rsidR="00EA0CFD" w:rsidRPr="002168DE">
        <w:rPr>
          <w:rFonts w:cstheme="minorHAnsi"/>
        </w:rPr>
        <w:t>changes</w:t>
      </w:r>
      <w:r w:rsidR="004C7328" w:rsidRPr="002168DE">
        <w:rPr>
          <w:rFonts w:cstheme="minorHAnsi"/>
        </w:rPr>
        <w:t xml:space="preserve"> </w:t>
      </w:r>
      <w:r w:rsidR="00EA0CFD" w:rsidRPr="002168DE">
        <w:rPr>
          <w:rFonts w:cstheme="minorHAnsi"/>
        </w:rPr>
        <w:t xml:space="preserve">and their determinant </w:t>
      </w:r>
      <w:r w:rsidR="004C7328" w:rsidRPr="002168DE">
        <w:rPr>
          <w:rFonts w:cstheme="minorHAnsi"/>
        </w:rPr>
        <w:t>factors</w:t>
      </w:r>
      <w:r w:rsidR="006D08E1">
        <w:rPr>
          <w:rFonts w:cstheme="minorHAnsi"/>
        </w:rPr>
        <w:t xml:space="preserve">, would </w:t>
      </w:r>
      <w:r w:rsidR="006D08E1" w:rsidRPr="002168DE">
        <w:rPr>
          <w:rFonts w:cstheme="minorHAnsi"/>
        </w:rPr>
        <w:t xml:space="preserve">a model </w:t>
      </w:r>
      <w:r w:rsidR="006D08E1">
        <w:rPr>
          <w:rFonts w:cstheme="minorHAnsi"/>
        </w:rPr>
        <w:t xml:space="preserve">that is used </w:t>
      </w:r>
      <w:r w:rsidR="006D08E1" w:rsidRPr="002168DE">
        <w:rPr>
          <w:rFonts w:cstheme="minorHAnsi"/>
        </w:rPr>
        <w:t>to predict fluctuations in oil prices</w:t>
      </w:r>
      <w:r w:rsidR="006D08E1">
        <w:rPr>
          <w:rFonts w:cstheme="minorHAnsi"/>
        </w:rPr>
        <w:t xml:space="preserve"> pre-Covid 19 </w:t>
      </w:r>
      <w:r w:rsidR="006D08E1" w:rsidRPr="002168DE">
        <w:rPr>
          <w:rFonts w:cstheme="minorHAnsi"/>
        </w:rPr>
        <w:t xml:space="preserve">be applicable to the </w:t>
      </w:r>
      <w:r w:rsidR="006D08E1">
        <w:rPr>
          <w:rFonts w:cstheme="minorHAnsi"/>
        </w:rPr>
        <w:t xml:space="preserve">Covid 19 </w:t>
      </w:r>
      <w:r w:rsidR="006D08E1" w:rsidRPr="002168DE">
        <w:rPr>
          <w:rFonts w:cstheme="minorHAnsi"/>
        </w:rPr>
        <w:t>pandemic</w:t>
      </w:r>
      <w:r w:rsidR="006D08E1">
        <w:rPr>
          <w:rFonts w:cstheme="minorHAnsi"/>
        </w:rPr>
        <w:t xml:space="preserve"> timeframe</w:t>
      </w:r>
      <w:r w:rsidR="006D08E1" w:rsidRPr="002168DE">
        <w:rPr>
          <w:rFonts w:cstheme="minorHAnsi"/>
        </w:rPr>
        <w:t>?</w:t>
      </w:r>
      <w:r w:rsidR="006D08E1">
        <w:rPr>
          <w:rFonts w:cstheme="minorHAnsi"/>
        </w:rPr>
        <w:t xml:space="preserve">  Which determinant factors would stand-out between the periods, and how effective would these models be?  </w:t>
      </w:r>
      <w:r w:rsidR="00EA0CFD" w:rsidRPr="002168DE">
        <w:rPr>
          <w:rFonts w:cstheme="minorHAnsi"/>
        </w:rPr>
        <w:t>This report aim</w:t>
      </w:r>
      <w:r w:rsidR="00F7796E">
        <w:rPr>
          <w:rFonts w:cstheme="minorHAnsi"/>
        </w:rPr>
        <w:t>s</w:t>
      </w:r>
      <w:r w:rsidR="00EA0CFD" w:rsidRPr="002168DE">
        <w:rPr>
          <w:rFonts w:cstheme="minorHAnsi"/>
        </w:rPr>
        <w:t xml:space="preserve"> to answer these questions.</w:t>
      </w:r>
    </w:p>
    <w:p w14:paraId="69EDC8DD" w14:textId="2A4CE29A" w:rsidR="000A7F30" w:rsidRDefault="002168DE" w:rsidP="00ED7B8C">
      <w:pPr>
        <w:spacing w:line="360" w:lineRule="auto"/>
        <w:rPr>
          <w:rFonts w:cstheme="minorHAnsi"/>
        </w:rPr>
      </w:pPr>
      <w:r>
        <w:rPr>
          <w:rFonts w:cstheme="minorHAnsi"/>
        </w:rPr>
        <w:tab/>
      </w:r>
      <w:r w:rsidR="00D87B8B">
        <w:rPr>
          <w:rFonts w:cstheme="minorHAnsi"/>
        </w:rPr>
        <w:t>The dataset</w:t>
      </w:r>
      <w:r w:rsidR="00314495">
        <w:rPr>
          <w:rFonts w:cstheme="minorHAnsi"/>
        </w:rPr>
        <w:t>s</w:t>
      </w:r>
      <w:r w:rsidR="00D87B8B">
        <w:rPr>
          <w:rFonts w:cstheme="minorHAnsi"/>
        </w:rPr>
        <w:t xml:space="preserve"> </w:t>
      </w:r>
      <w:r w:rsidR="006D08E1">
        <w:rPr>
          <w:rFonts w:cstheme="minorHAnsi"/>
        </w:rPr>
        <w:t xml:space="preserve">for this analysis </w:t>
      </w:r>
      <w:r w:rsidR="00FC367A">
        <w:rPr>
          <w:rFonts w:cstheme="minorHAnsi"/>
        </w:rPr>
        <w:t xml:space="preserve">cover two separate time periods.  The first is Pre-Covid 19 data, capturing information from September 2014 to December 2019.  The second dataset examines the data from during the Covid 19 pandemic, </w:t>
      </w:r>
      <w:r w:rsidR="00105B4D">
        <w:rPr>
          <w:rFonts w:cstheme="minorHAnsi"/>
        </w:rPr>
        <w:t xml:space="preserve">from </w:t>
      </w:r>
      <w:r w:rsidR="00FC367A">
        <w:rPr>
          <w:rFonts w:cstheme="minorHAnsi"/>
        </w:rPr>
        <w:t xml:space="preserve">January 2020 through April 2021. The datasets both </w:t>
      </w:r>
      <w:r w:rsidR="00D87B8B">
        <w:rPr>
          <w:rFonts w:cstheme="minorHAnsi"/>
        </w:rPr>
        <w:t xml:space="preserve">include </w:t>
      </w:r>
      <w:r w:rsidR="006D08E1">
        <w:rPr>
          <w:rFonts w:cstheme="minorHAnsi"/>
        </w:rPr>
        <w:t xml:space="preserve">66 </w:t>
      </w:r>
      <w:r w:rsidR="00D87B8B">
        <w:rPr>
          <w:rFonts w:cstheme="minorHAnsi"/>
        </w:rPr>
        <w:t>variables</w:t>
      </w:r>
      <w:r w:rsidR="00FC367A">
        <w:rPr>
          <w:rFonts w:cstheme="minorHAnsi"/>
        </w:rPr>
        <w:t xml:space="preserve"> </w:t>
      </w:r>
      <w:r w:rsidR="006D08E1">
        <w:rPr>
          <w:rFonts w:cstheme="minorHAnsi"/>
        </w:rPr>
        <w:t xml:space="preserve">from a wide array of sources.  </w:t>
      </w:r>
      <w:r w:rsidR="00FC367A">
        <w:rPr>
          <w:rFonts w:cstheme="minorHAnsi"/>
        </w:rPr>
        <w:t>Oil being such a ubiquitous commodity, it is helpful to cast a wide net in examining potential predictors.  Stock prices, U.S. Treasury bond prices, as well as exchange rates are present.  Variables of interest also include Bitcoin prices, global stock prices, clean energy stocks, and an economic uncertainty index.  Out of the total 66 variables, there are 33 contemporaneous variables and 33 that are lagging.  The lagged variables provide an opportunity to see any relationship between current prices and historical performance.</w:t>
      </w:r>
    </w:p>
    <w:p w14:paraId="52F338B3" w14:textId="501CDAD8" w:rsidR="00F16718" w:rsidRPr="00F16718" w:rsidRDefault="002168DE" w:rsidP="00ED7B8C">
      <w:pPr>
        <w:spacing w:line="360" w:lineRule="auto"/>
        <w:rPr>
          <w:rFonts w:cstheme="minorHAnsi"/>
        </w:rPr>
      </w:pPr>
      <w:r>
        <w:rPr>
          <w:rFonts w:cstheme="minorHAnsi"/>
        </w:rPr>
        <w:tab/>
        <w:t>Th</w:t>
      </w:r>
      <w:r w:rsidR="00314495">
        <w:rPr>
          <w:rFonts w:cstheme="minorHAnsi"/>
        </w:rPr>
        <w:t>e</w:t>
      </w:r>
      <w:r>
        <w:rPr>
          <w:rFonts w:cstheme="minorHAnsi"/>
        </w:rPr>
        <w:t xml:space="preserve"> analysis </w:t>
      </w:r>
      <w:r w:rsidR="00314495">
        <w:rPr>
          <w:rFonts w:cstheme="minorHAnsi"/>
        </w:rPr>
        <w:t xml:space="preserve">in this report </w:t>
      </w:r>
      <w:r w:rsidR="000A7F30">
        <w:rPr>
          <w:rFonts w:cstheme="minorHAnsi"/>
        </w:rPr>
        <w:t xml:space="preserve">has been </w:t>
      </w:r>
      <w:r>
        <w:rPr>
          <w:rFonts w:cstheme="minorHAnsi"/>
        </w:rPr>
        <w:t xml:space="preserve">performed </w:t>
      </w:r>
      <w:r w:rsidR="0028632D">
        <w:rPr>
          <w:rFonts w:cstheme="minorHAnsi"/>
        </w:rPr>
        <w:t xml:space="preserve">in JMP Pro 16, </w:t>
      </w:r>
      <w:r>
        <w:rPr>
          <w:rFonts w:cstheme="minorHAnsi"/>
        </w:rPr>
        <w:t xml:space="preserve">using </w:t>
      </w:r>
      <w:r w:rsidR="000A7F30">
        <w:rPr>
          <w:rFonts w:cstheme="minorHAnsi"/>
        </w:rPr>
        <w:t>three methods: S</w:t>
      </w:r>
      <w:r>
        <w:rPr>
          <w:rFonts w:cstheme="minorHAnsi"/>
        </w:rPr>
        <w:t xml:space="preserve">tandard </w:t>
      </w:r>
      <w:r w:rsidR="000A7F30">
        <w:rPr>
          <w:rFonts w:cstheme="minorHAnsi"/>
        </w:rPr>
        <w:t>L</w:t>
      </w:r>
      <w:r>
        <w:rPr>
          <w:rFonts w:cstheme="minorHAnsi"/>
        </w:rPr>
        <w:t xml:space="preserve">inear </w:t>
      </w:r>
      <w:r w:rsidR="000A7F30">
        <w:rPr>
          <w:rFonts w:cstheme="minorHAnsi"/>
        </w:rPr>
        <w:t>R</w:t>
      </w:r>
      <w:r>
        <w:rPr>
          <w:rFonts w:cstheme="minorHAnsi"/>
        </w:rPr>
        <w:t>egression</w:t>
      </w:r>
      <w:r w:rsidR="00041A2D">
        <w:rPr>
          <w:rFonts w:cstheme="minorHAnsi"/>
        </w:rPr>
        <w:t xml:space="preserve"> (OLS)</w:t>
      </w:r>
      <w:r>
        <w:rPr>
          <w:rFonts w:cstheme="minorHAnsi"/>
        </w:rPr>
        <w:t xml:space="preserve">, </w:t>
      </w:r>
      <w:r w:rsidR="000A7F30">
        <w:rPr>
          <w:rFonts w:cstheme="minorHAnsi"/>
        </w:rPr>
        <w:t>S</w:t>
      </w:r>
      <w:r w:rsidR="00D87B8B" w:rsidRPr="002168DE">
        <w:rPr>
          <w:rFonts w:cstheme="minorHAnsi"/>
        </w:rPr>
        <w:t xml:space="preserve">tepwise </w:t>
      </w:r>
      <w:r w:rsidR="000A7F30">
        <w:rPr>
          <w:rFonts w:cstheme="minorHAnsi"/>
        </w:rPr>
        <w:t>B</w:t>
      </w:r>
      <w:r w:rsidR="00EE3CA9" w:rsidRPr="002168DE">
        <w:rPr>
          <w:rFonts w:cstheme="minorHAnsi"/>
        </w:rPr>
        <w:t>ackward</w:t>
      </w:r>
      <w:r w:rsidR="000A7F30">
        <w:rPr>
          <w:rFonts w:cstheme="minorHAnsi"/>
        </w:rPr>
        <w:t xml:space="preserve"> Regression</w:t>
      </w:r>
      <w:r w:rsidR="00D87B8B" w:rsidRPr="002168DE">
        <w:rPr>
          <w:rFonts w:cstheme="minorHAnsi"/>
        </w:rPr>
        <w:t xml:space="preserve">, </w:t>
      </w:r>
      <w:r>
        <w:rPr>
          <w:rFonts w:cstheme="minorHAnsi"/>
        </w:rPr>
        <w:t xml:space="preserve">and </w:t>
      </w:r>
      <w:r w:rsidR="000A7F30">
        <w:rPr>
          <w:rFonts w:cstheme="minorHAnsi"/>
        </w:rPr>
        <w:t>S</w:t>
      </w:r>
      <w:r w:rsidR="00D87B8B" w:rsidRPr="002168DE">
        <w:rPr>
          <w:rFonts w:cstheme="minorHAnsi"/>
        </w:rPr>
        <w:t xml:space="preserve">tepwise </w:t>
      </w:r>
      <w:r w:rsidR="000A7F30">
        <w:rPr>
          <w:rFonts w:cstheme="minorHAnsi"/>
        </w:rPr>
        <w:t>F</w:t>
      </w:r>
      <w:r w:rsidR="00EE3CA9" w:rsidRPr="002168DE">
        <w:rPr>
          <w:rFonts w:cstheme="minorHAnsi"/>
        </w:rPr>
        <w:t>orward</w:t>
      </w:r>
      <w:r w:rsidR="000A7F30">
        <w:rPr>
          <w:rFonts w:cstheme="minorHAnsi"/>
        </w:rPr>
        <w:t xml:space="preserve"> Regression</w:t>
      </w:r>
      <w:r>
        <w:rPr>
          <w:rFonts w:cstheme="minorHAnsi"/>
        </w:rPr>
        <w:t xml:space="preserve">.  </w:t>
      </w:r>
      <w:r w:rsidR="00041A2D">
        <w:rPr>
          <w:rFonts w:cstheme="minorHAnsi"/>
        </w:rPr>
        <w:t xml:space="preserve">With OLS, the model attempts to minimize the differences (squared) of the predicted and actual values. </w:t>
      </w:r>
      <w:r w:rsidR="0028785D">
        <w:rPr>
          <w:rFonts w:cstheme="minorHAnsi"/>
        </w:rPr>
        <w:t xml:space="preserve">The </w:t>
      </w:r>
      <w:r w:rsidR="00041A2D">
        <w:rPr>
          <w:rFonts w:cstheme="minorHAnsi"/>
        </w:rPr>
        <w:t xml:space="preserve">Stepwise Backward and Stepwise Forward </w:t>
      </w:r>
      <w:r w:rsidR="0028785D">
        <w:rPr>
          <w:rFonts w:cstheme="minorHAnsi"/>
        </w:rPr>
        <w:t xml:space="preserve">Regression methods </w:t>
      </w:r>
      <w:r w:rsidR="00041A2D">
        <w:rPr>
          <w:rFonts w:cstheme="minorHAnsi"/>
        </w:rPr>
        <w:lastRenderedPageBreak/>
        <w:t>take opposite approaches to each other.  Stepwise Backward begins with all variables in the model and removes one at a time until no improvements can be made to the model’s predictive capability.  Stepwise Forward starts with no variables, adding one at a time until its predictive capability is optimized.</w:t>
      </w:r>
    </w:p>
    <w:p w14:paraId="4521B53A" w14:textId="64FB2ECE" w:rsidR="004D2647" w:rsidRPr="001B2AF8" w:rsidRDefault="00F16718" w:rsidP="00ED7B8C">
      <w:pPr>
        <w:pStyle w:val="ListParagraph"/>
        <w:spacing w:before="100" w:line="360" w:lineRule="auto"/>
        <w:ind w:left="0"/>
        <w:jc w:val="center"/>
        <w:rPr>
          <w:rFonts w:asciiTheme="minorHAnsi" w:hAnsiTheme="minorHAnsi" w:cstheme="minorHAnsi"/>
          <w:b/>
          <w:bCs/>
          <w:szCs w:val="24"/>
        </w:rPr>
      </w:pPr>
      <w:r w:rsidRPr="001B2AF8">
        <w:rPr>
          <w:rFonts w:asciiTheme="minorHAnsi" w:hAnsiTheme="minorHAnsi" w:cstheme="minorHAnsi"/>
          <w:b/>
          <w:bCs/>
          <w:szCs w:val="24"/>
          <w:u w:val="single"/>
        </w:rPr>
        <w:t>Analysis and Model Comparison</w:t>
      </w:r>
    </w:p>
    <w:p w14:paraId="1575A78C" w14:textId="321C06DB" w:rsidR="003A3B87" w:rsidRPr="008102F4" w:rsidRDefault="002B58E7" w:rsidP="00ED7B8C">
      <w:pPr>
        <w:spacing w:line="360" w:lineRule="auto"/>
        <w:rPr>
          <w:rFonts w:cstheme="minorHAnsi"/>
        </w:rPr>
      </w:pPr>
      <w:r>
        <w:rPr>
          <w:rFonts w:cstheme="minorHAnsi"/>
        </w:rPr>
        <w:tab/>
      </w:r>
      <w:r w:rsidR="00F275D3">
        <w:rPr>
          <w:rFonts w:cstheme="minorHAnsi"/>
        </w:rPr>
        <w:t xml:space="preserve">The models being used in this analysis have advantages and disadvantages.  </w:t>
      </w:r>
      <w:r w:rsidR="008549B4">
        <w:rPr>
          <w:rFonts w:cstheme="minorHAnsi"/>
        </w:rPr>
        <w:t xml:space="preserve">While OLS can be effective in finding linear relationships between variables, it has limitations if the relationships are too complex (non-linear).  With a large number of variables being included in the analysis, OLS also tends to </w:t>
      </w:r>
      <w:r w:rsidR="00F275D3">
        <w:rPr>
          <w:rFonts w:cstheme="minorHAnsi"/>
        </w:rPr>
        <w:t xml:space="preserve">be sensitive to outliers in a variable’s range.  The alternative approaches with Backward and Forward Stepwise Regression are helpful </w:t>
      </w:r>
      <w:r w:rsidR="00105B4D">
        <w:rPr>
          <w:rFonts w:cstheme="minorHAnsi"/>
        </w:rPr>
        <w:t>in</w:t>
      </w:r>
      <w:r w:rsidR="00F275D3">
        <w:rPr>
          <w:rFonts w:cstheme="minorHAnsi"/>
        </w:rPr>
        <w:t xml:space="preserve"> determining dependent variables.  They each take incremental approaches to improving the final model.  One concern with these </w:t>
      </w:r>
      <w:r w:rsidR="002760C5">
        <w:rPr>
          <w:rFonts w:cstheme="minorHAnsi"/>
        </w:rPr>
        <w:t xml:space="preserve">methods </w:t>
      </w:r>
      <w:r w:rsidR="00F275D3">
        <w:rPr>
          <w:rFonts w:cstheme="minorHAnsi"/>
        </w:rPr>
        <w:t>is multicollinearity</w:t>
      </w:r>
      <w:r w:rsidR="002760C5">
        <w:rPr>
          <w:rFonts w:cstheme="minorHAnsi"/>
        </w:rPr>
        <w:t>, since individually removing/adding variables might impact the inclusion/exclusion of other variables further down the chain.</w:t>
      </w:r>
      <w:r w:rsidR="00F275D3">
        <w:rPr>
          <w:rFonts w:cstheme="minorHAnsi"/>
        </w:rPr>
        <w:t xml:space="preserve"> </w:t>
      </w:r>
      <w:r w:rsidR="002760C5">
        <w:rPr>
          <w:rFonts w:cstheme="minorHAnsi"/>
        </w:rPr>
        <w:t xml:space="preserve"> All three methods were applied to both data sets (</w:t>
      </w:r>
      <w:r w:rsidR="00105B4D">
        <w:rPr>
          <w:rFonts w:cstheme="minorHAnsi"/>
        </w:rPr>
        <w:t>P</w:t>
      </w:r>
      <w:r w:rsidR="002760C5">
        <w:rPr>
          <w:rFonts w:cstheme="minorHAnsi"/>
        </w:rPr>
        <w:t>re-Covid 19 and</w:t>
      </w:r>
      <w:r w:rsidR="00105B4D">
        <w:rPr>
          <w:rFonts w:cstheme="minorHAnsi"/>
        </w:rPr>
        <w:t xml:space="preserve"> Mid-Pandemic</w:t>
      </w:r>
      <w:r w:rsidR="002760C5">
        <w:rPr>
          <w:rFonts w:cstheme="minorHAnsi"/>
        </w:rPr>
        <w:t>), in order to determine any differences between the model traits.</w:t>
      </w:r>
    </w:p>
    <w:p w14:paraId="3B151CB9" w14:textId="2D8A2DD7" w:rsidR="008102F4" w:rsidRDefault="008102F4" w:rsidP="00ED7B8C">
      <w:pPr>
        <w:pStyle w:val="ListParagraph"/>
        <w:spacing w:before="100" w:line="360" w:lineRule="auto"/>
        <w:ind w:left="0"/>
        <w:rPr>
          <w:rFonts w:asciiTheme="minorHAnsi" w:hAnsiTheme="minorHAnsi" w:cstheme="minorHAnsi"/>
          <w:szCs w:val="24"/>
        </w:rPr>
      </w:pPr>
      <w:r>
        <w:rPr>
          <w:rFonts w:asciiTheme="minorHAnsi" w:hAnsiTheme="minorHAnsi" w:cstheme="minorHAnsi"/>
          <w:szCs w:val="24"/>
        </w:rPr>
        <w:tab/>
        <w:t>The analysis of these datasets included a similar cross-validation procedure.  60% of the data was used to</w:t>
      </w:r>
      <w:r w:rsidR="00910563">
        <w:rPr>
          <w:rFonts w:asciiTheme="minorHAnsi" w:hAnsiTheme="minorHAnsi" w:cstheme="minorHAnsi"/>
          <w:szCs w:val="24"/>
        </w:rPr>
        <w:t xml:space="preserve"> train </w:t>
      </w:r>
      <w:r>
        <w:rPr>
          <w:rFonts w:asciiTheme="minorHAnsi" w:hAnsiTheme="minorHAnsi" w:cstheme="minorHAnsi"/>
          <w:szCs w:val="24"/>
        </w:rPr>
        <w:t xml:space="preserve">each model.  20% of the data was used for </w:t>
      </w:r>
      <w:r w:rsidR="00910563">
        <w:rPr>
          <w:rFonts w:asciiTheme="minorHAnsi" w:hAnsiTheme="minorHAnsi" w:cstheme="minorHAnsi"/>
          <w:szCs w:val="24"/>
        </w:rPr>
        <w:t>V</w:t>
      </w:r>
      <w:r>
        <w:rPr>
          <w:rFonts w:asciiTheme="minorHAnsi" w:hAnsiTheme="minorHAnsi" w:cstheme="minorHAnsi"/>
          <w:szCs w:val="24"/>
        </w:rPr>
        <w:t xml:space="preserve">alidation, and the remaining 20% was set aside for </w:t>
      </w:r>
      <w:r w:rsidR="00910563">
        <w:rPr>
          <w:rFonts w:asciiTheme="minorHAnsi" w:hAnsiTheme="minorHAnsi" w:cstheme="minorHAnsi"/>
          <w:szCs w:val="24"/>
        </w:rPr>
        <w:t>T</w:t>
      </w:r>
      <w:r>
        <w:rPr>
          <w:rFonts w:asciiTheme="minorHAnsi" w:hAnsiTheme="minorHAnsi" w:cstheme="minorHAnsi"/>
          <w:szCs w:val="24"/>
        </w:rPr>
        <w:t xml:space="preserve">esting. </w:t>
      </w:r>
      <w:r w:rsidR="00EE3CA9">
        <w:rPr>
          <w:rFonts w:asciiTheme="minorHAnsi" w:hAnsiTheme="minorHAnsi" w:cstheme="minorHAnsi"/>
          <w:szCs w:val="24"/>
        </w:rPr>
        <w:t xml:space="preserve"> </w:t>
      </w:r>
      <w:r>
        <w:rPr>
          <w:rFonts w:asciiTheme="minorHAnsi" w:hAnsiTheme="minorHAnsi" w:cstheme="minorHAnsi"/>
          <w:szCs w:val="24"/>
        </w:rPr>
        <w:t>Since these datasets were t</w:t>
      </w:r>
      <w:r w:rsidR="00EE3CA9">
        <w:rPr>
          <w:rFonts w:asciiTheme="minorHAnsi" w:hAnsiTheme="minorHAnsi" w:cstheme="minorHAnsi"/>
          <w:szCs w:val="24"/>
        </w:rPr>
        <w:t>ime</w:t>
      </w:r>
      <w:r>
        <w:rPr>
          <w:rFonts w:asciiTheme="minorHAnsi" w:hAnsiTheme="minorHAnsi" w:cstheme="minorHAnsi"/>
          <w:szCs w:val="24"/>
        </w:rPr>
        <w:t>-s</w:t>
      </w:r>
      <w:r w:rsidR="00EE3CA9">
        <w:rPr>
          <w:rFonts w:asciiTheme="minorHAnsi" w:hAnsiTheme="minorHAnsi" w:cstheme="minorHAnsi"/>
          <w:szCs w:val="24"/>
        </w:rPr>
        <w:t>eries</w:t>
      </w:r>
      <w:r>
        <w:rPr>
          <w:rFonts w:asciiTheme="minorHAnsi" w:hAnsiTheme="minorHAnsi" w:cstheme="minorHAnsi"/>
          <w:szCs w:val="24"/>
        </w:rPr>
        <w:t xml:space="preserve"> in nature, the cross-validated data was ordered chronologically.  This helped the model project forward and prevented i</w:t>
      </w:r>
      <w:r w:rsidR="00910563">
        <w:rPr>
          <w:rFonts w:asciiTheme="minorHAnsi" w:hAnsiTheme="minorHAnsi" w:cstheme="minorHAnsi"/>
          <w:szCs w:val="24"/>
        </w:rPr>
        <w:t>t</w:t>
      </w:r>
      <w:r>
        <w:rPr>
          <w:rFonts w:asciiTheme="minorHAnsi" w:hAnsiTheme="minorHAnsi" w:cstheme="minorHAnsi"/>
          <w:szCs w:val="24"/>
        </w:rPr>
        <w:t xml:space="preserve"> from </w:t>
      </w:r>
      <w:r w:rsidR="00910563">
        <w:rPr>
          <w:rFonts w:asciiTheme="minorHAnsi" w:hAnsiTheme="minorHAnsi" w:cstheme="minorHAnsi"/>
          <w:szCs w:val="24"/>
        </w:rPr>
        <w:t>seeking-out</w:t>
      </w:r>
      <w:r>
        <w:rPr>
          <w:rFonts w:asciiTheme="minorHAnsi" w:hAnsiTheme="minorHAnsi" w:cstheme="minorHAnsi"/>
          <w:szCs w:val="24"/>
        </w:rPr>
        <w:t xml:space="preserve"> </w:t>
      </w:r>
      <w:r w:rsidR="00910563">
        <w:rPr>
          <w:rFonts w:asciiTheme="minorHAnsi" w:hAnsiTheme="minorHAnsi" w:cstheme="minorHAnsi"/>
          <w:szCs w:val="24"/>
        </w:rPr>
        <w:t xml:space="preserve">causal </w:t>
      </w:r>
      <w:r>
        <w:rPr>
          <w:rFonts w:asciiTheme="minorHAnsi" w:hAnsiTheme="minorHAnsi" w:cstheme="minorHAnsi"/>
          <w:szCs w:val="24"/>
        </w:rPr>
        <w:t>relationships between more recent data and previous price changes.</w:t>
      </w:r>
    </w:p>
    <w:p w14:paraId="08EC2909" w14:textId="6803CDC7" w:rsidR="004D2647" w:rsidRDefault="008102F4" w:rsidP="00ED7B8C">
      <w:pPr>
        <w:pStyle w:val="ListParagraph"/>
        <w:spacing w:before="100" w:line="360" w:lineRule="auto"/>
        <w:ind w:left="0"/>
        <w:rPr>
          <w:rFonts w:asciiTheme="minorHAnsi" w:hAnsiTheme="minorHAnsi" w:cstheme="minorHAnsi"/>
          <w:szCs w:val="24"/>
        </w:rPr>
      </w:pPr>
      <w:r>
        <w:rPr>
          <w:rFonts w:asciiTheme="minorHAnsi" w:hAnsiTheme="minorHAnsi" w:cstheme="minorHAnsi"/>
          <w:szCs w:val="24"/>
        </w:rPr>
        <w:tab/>
        <w:t xml:space="preserve">The </w:t>
      </w:r>
      <w:r w:rsidR="004D1056">
        <w:rPr>
          <w:rFonts w:asciiTheme="minorHAnsi" w:hAnsiTheme="minorHAnsi" w:cstheme="minorHAnsi"/>
          <w:szCs w:val="24"/>
        </w:rPr>
        <w:t>Pre</w:t>
      </w:r>
      <w:r>
        <w:rPr>
          <w:rFonts w:asciiTheme="minorHAnsi" w:hAnsiTheme="minorHAnsi" w:cstheme="minorHAnsi"/>
          <w:szCs w:val="24"/>
        </w:rPr>
        <w:t>-</w:t>
      </w:r>
      <w:r w:rsidR="004D1056">
        <w:rPr>
          <w:rFonts w:asciiTheme="minorHAnsi" w:hAnsiTheme="minorHAnsi" w:cstheme="minorHAnsi"/>
          <w:szCs w:val="24"/>
        </w:rPr>
        <w:t>Covid</w:t>
      </w:r>
      <w:r>
        <w:rPr>
          <w:rFonts w:asciiTheme="minorHAnsi" w:hAnsiTheme="minorHAnsi" w:cstheme="minorHAnsi"/>
          <w:szCs w:val="24"/>
        </w:rPr>
        <w:t xml:space="preserve"> Data consisted of </w:t>
      </w:r>
      <w:r w:rsidR="004D1056" w:rsidRPr="004D1056">
        <w:rPr>
          <w:rFonts w:asciiTheme="minorHAnsi" w:hAnsiTheme="minorHAnsi" w:cstheme="minorHAnsi"/>
          <w:szCs w:val="24"/>
        </w:rPr>
        <w:t xml:space="preserve">1332 </w:t>
      </w:r>
      <w:r>
        <w:rPr>
          <w:rFonts w:asciiTheme="minorHAnsi" w:hAnsiTheme="minorHAnsi" w:cstheme="minorHAnsi"/>
          <w:szCs w:val="24"/>
        </w:rPr>
        <w:t>observations.  Rows 1-</w:t>
      </w:r>
      <w:r w:rsidR="004D1056" w:rsidRPr="004D1056">
        <w:rPr>
          <w:rFonts w:asciiTheme="minorHAnsi" w:hAnsiTheme="minorHAnsi" w:cstheme="minorHAnsi"/>
          <w:szCs w:val="24"/>
        </w:rPr>
        <w:t>799</w:t>
      </w:r>
      <w:r w:rsidR="004D1056">
        <w:rPr>
          <w:rFonts w:asciiTheme="minorHAnsi" w:hAnsiTheme="minorHAnsi" w:cstheme="minorHAnsi"/>
          <w:szCs w:val="24"/>
        </w:rPr>
        <w:t xml:space="preserve"> </w:t>
      </w:r>
      <w:r>
        <w:rPr>
          <w:rFonts w:asciiTheme="minorHAnsi" w:hAnsiTheme="minorHAnsi" w:cstheme="minorHAnsi"/>
          <w:szCs w:val="24"/>
        </w:rPr>
        <w:t xml:space="preserve">were used for </w:t>
      </w:r>
      <w:r w:rsidR="0028632D">
        <w:rPr>
          <w:rFonts w:asciiTheme="minorHAnsi" w:hAnsiTheme="minorHAnsi" w:cstheme="minorHAnsi"/>
          <w:szCs w:val="24"/>
        </w:rPr>
        <w:t>T</w:t>
      </w:r>
      <w:r>
        <w:rPr>
          <w:rFonts w:asciiTheme="minorHAnsi" w:hAnsiTheme="minorHAnsi" w:cstheme="minorHAnsi"/>
          <w:szCs w:val="24"/>
        </w:rPr>
        <w:t>raining, Rows 800-1065 were used for Validation, and</w:t>
      </w:r>
      <w:r w:rsidR="004D1056">
        <w:rPr>
          <w:rFonts w:asciiTheme="minorHAnsi" w:hAnsiTheme="minorHAnsi" w:cstheme="minorHAnsi"/>
          <w:szCs w:val="24"/>
        </w:rPr>
        <w:t xml:space="preserve"> </w:t>
      </w:r>
      <w:r>
        <w:rPr>
          <w:rFonts w:asciiTheme="minorHAnsi" w:hAnsiTheme="minorHAnsi" w:cstheme="minorHAnsi"/>
          <w:szCs w:val="24"/>
        </w:rPr>
        <w:t xml:space="preserve">Rows 1066-1332 were used for Testing.  The Mid-Pandemic Data was comprised of </w:t>
      </w:r>
      <w:r w:rsidR="0028632D">
        <w:rPr>
          <w:rFonts w:asciiTheme="minorHAnsi" w:hAnsiTheme="minorHAnsi" w:cstheme="minorHAnsi"/>
          <w:szCs w:val="24"/>
        </w:rPr>
        <w:t>326 observations.  Rows 1-195 were used for training, Rows 196-260 were used for Validation, and Rows 261-326 were used for Testing.</w:t>
      </w:r>
    </w:p>
    <w:p w14:paraId="14645F35" w14:textId="53723DA3" w:rsidR="00BD768D" w:rsidRPr="001B2AF8" w:rsidRDefault="0028632D" w:rsidP="001B2AF8">
      <w:pPr>
        <w:pStyle w:val="ListParagraph"/>
        <w:spacing w:before="100" w:line="360" w:lineRule="auto"/>
        <w:ind w:left="0"/>
        <w:rPr>
          <w:rFonts w:ascii="Segoe UI" w:hAnsi="Segoe UI" w:cs="Segoe UI"/>
          <w:b/>
          <w:bCs/>
          <w:color w:val="000000"/>
          <w:sz w:val="22"/>
        </w:rPr>
      </w:pPr>
      <w:r>
        <w:rPr>
          <w:rFonts w:asciiTheme="minorHAnsi" w:hAnsiTheme="minorHAnsi" w:cstheme="minorHAnsi"/>
          <w:szCs w:val="24"/>
        </w:rPr>
        <w:tab/>
        <w:t xml:space="preserve">Hoping to predict the price of oil, RUSO was </w:t>
      </w:r>
      <w:r w:rsidR="00BD768D">
        <w:rPr>
          <w:rFonts w:asciiTheme="minorHAnsi" w:hAnsiTheme="minorHAnsi" w:cstheme="minorHAnsi"/>
          <w:szCs w:val="24"/>
        </w:rPr>
        <w:t xml:space="preserve">selected </w:t>
      </w:r>
      <w:r>
        <w:rPr>
          <w:rFonts w:asciiTheme="minorHAnsi" w:hAnsiTheme="minorHAnsi" w:cstheme="minorHAnsi"/>
          <w:szCs w:val="24"/>
        </w:rPr>
        <w:t>as the response variable.  All of the other variables in the dataset were included as predictor variables.  Using JMP 16 Pro, this analysis was conducted with all three methods.  As predictions from each model were generated, they were saved and stored in new columns in the dataset</w:t>
      </w:r>
      <w:r w:rsidR="00BD768D">
        <w:rPr>
          <w:rFonts w:asciiTheme="minorHAnsi" w:hAnsiTheme="minorHAnsi" w:cstheme="minorHAnsi"/>
          <w:szCs w:val="24"/>
        </w:rPr>
        <w:t xml:space="preserve">.  Represented below are </w:t>
      </w:r>
      <w:r w:rsidR="00BD768D">
        <w:rPr>
          <w:rFonts w:asciiTheme="minorHAnsi" w:hAnsiTheme="minorHAnsi" w:cstheme="minorHAnsi"/>
          <w:szCs w:val="24"/>
        </w:rPr>
        <w:lastRenderedPageBreak/>
        <w:t>the model comparisons for all three methods, performed on both datasets.</w:t>
      </w:r>
      <w:r w:rsidR="0071388A">
        <w:rPr>
          <w:rFonts w:asciiTheme="minorHAnsi" w:hAnsiTheme="minorHAnsi" w:cstheme="minorHAnsi"/>
          <w:szCs w:val="24"/>
        </w:rPr>
        <w:t xml:space="preserve">  The Holdback values of 0, 1, and 2 represent the Training, Validation, and Test Sets, respectively.  Reviewing the individual components of the model comparison, notable metrics included RSquare (better if higher), RASE (better if lower), and AAE (better if lower).</w:t>
      </w:r>
      <w:r w:rsidR="00ED7B8C">
        <w:rPr>
          <w:rFonts w:asciiTheme="minorHAnsi" w:hAnsiTheme="minorHAnsi" w:cstheme="minorHAnsi"/>
          <w:szCs w:val="24"/>
        </w:rPr>
        <w:br/>
      </w:r>
      <w:r w:rsidR="001B2AF8">
        <w:rPr>
          <w:rFonts w:asciiTheme="minorHAnsi" w:hAnsiTheme="minorHAnsi" w:cstheme="minorHAnsi"/>
          <w:b/>
          <w:bCs/>
          <w:color w:val="000000"/>
          <w:sz w:val="22"/>
        </w:rPr>
        <w:br/>
      </w:r>
      <w:r w:rsidR="00BD768D" w:rsidRPr="001B2AF8">
        <w:rPr>
          <w:rFonts w:asciiTheme="minorHAnsi" w:hAnsiTheme="minorHAnsi" w:cstheme="minorHAnsi"/>
          <w:b/>
          <w:bCs/>
          <w:color w:val="000000"/>
          <w:sz w:val="22"/>
        </w:rPr>
        <w:t>Measures of Fit for RUSO (Pre-Covid 19)</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40"/>
        <w:gridCol w:w="3305"/>
        <w:gridCol w:w="1505"/>
        <w:gridCol w:w="1070"/>
        <w:gridCol w:w="935"/>
        <w:gridCol w:w="755"/>
        <w:gridCol w:w="755"/>
        <w:gridCol w:w="755"/>
      </w:tblGrid>
      <w:tr w:rsidR="00BD768D" w14:paraId="4BD5A399" w14:textId="77777777" w:rsidTr="00BD768D">
        <w:trPr>
          <w:trHeight w:val="359"/>
          <w:tblHeader/>
        </w:trPr>
        <w:tc>
          <w:tcPr>
            <w:tcW w:w="1040" w:type="dxa"/>
            <w:vMerge w:val="restart"/>
            <w:shd w:val="clear" w:color="auto" w:fill="D9D9D9"/>
          </w:tcPr>
          <w:p w14:paraId="69A531B1" w14:textId="77777777" w:rsidR="00BD768D" w:rsidRDefault="00BD768D" w:rsidP="00ED7B8C">
            <w:pPr>
              <w:autoSpaceDE w:val="0"/>
              <w:autoSpaceDN w:val="0"/>
              <w:adjustRightInd w:val="0"/>
              <w:spacing w:line="360" w:lineRule="auto"/>
              <w:rPr>
                <w:rFonts w:ascii="Segoe UI" w:hAnsi="Segoe UI" w:cs="Segoe UI"/>
                <w:b/>
                <w:bCs/>
                <w:color w:val="000000"/>
                <w:sz w:val="18"/>
                <w:szCs w:val="18"/>
              </w:rPr>
            </w:pPr>
            <w:r>
              <w:rPr>
                <w:rFonts w:ascii="Segoe UI" w:hAnsi="Segoe UI" w:cs="Segoe UI"/>
                <w:b/>
                <w:bCs/>
                <w:color w:val="000000"/>
                <w:sz w:val="18"/>
                <w:szCs w:val="18"/>
              </w:rPr>
              <w:t>Holdback</w:t>
            </w:r>
          </w:p>
        </w:tc>
        <w:tc>
          <w:tcPr>
            <w:tcW w:w="3305" w:type="dxa"/>
            <w:vMerge w:val="restart"/>
            <w:shd w:val="clear" w:color="auto" w:fill="D9D9D9"/>
          </w:tcPr>
          <w:p w14:paraId="01705169" w14:textId="77777777" w:rsidR="00BD768D" w:rsidRDefault="00BD768D" w:rsidP="00ED7B8C">
            <w:pPr>
              <w:autoSpaceDE w:val="0"/>
              <w:autoSpaceDN w:val="0"/>
              <w:adjustRightInd w:val="0"/>
              <w:spacing w:line="360" w:lineRule="auto"/>
              <w:rPr>
                <w:rFonts w:ascii="Segoe UI" w:hAnsi="Segoe UI" w:cs="Segoe UI"/>
                <w:b/>
                <w:bCs/>
                <w:color w:val="000000"/>
                <w:sz w:val="18"/>
                <w:szCs w:val="18"/>
              </w:rPr>
            </w:pPr>
            <w:r>
              <w:rPr>
                <w:rFonts w:ascii="Segoe UI" w:hAnsi="Segoe UI" w:cs="Segoe UI"/>
                <w:b/>
                <w:bCs/>
                <w:color w:val="000000"/>
                <w:sz w:val="18"/>
                <w:szCs w:val="18"/>
              </w:rPr>
              <w:t>Predictor</w:t>
            </w:r>
          </w:p>
        </w:tc>
        <w:tc>
          <w:tcPr>
            <w:tcW w:w="1505" w:type="dxa"/>
            <w:vMerge w:val="restart"/>
            <w:shd w:val="clear" w:color="auto" w:fill="D9D9D9"/>
          </w:tcPr>
          <w:p w14:paraId="4CEFD128" w14:textId="77777777" w:rsidR="00BD768D" w:rsidRDefault="00BD768D" w:rsidP="00ED7B8C">
            <w:pPr>
              <w:autoSpaceDE w:val="0"/>
              <w:autoSpaceDN w:val="0"/>
              <w:adjustRightInd w:val="0"/>
              <w:spacing w:line="360" w:lineRule="auto"/>
              <w:rPr>
                <w:rFonts w:ascii="Segoe UI" w:hAnsi="Segoe UI" w:cs="Segoe UI"/>
                <w:b/>
                <w:bCs/>
                <w:color w:val="000000"/>
                <w:sz w:val="18"/>
                <w:szCs w:val="18"/>
              </w:rPr>
            </w:pPr>
            <w:r>
              <w:rPr>
                <w:rFonts w:ascii="Segoe UI" w:hAnsi="Segoe UI" w:cs="Segoe UI"/>
                <w:b/>
                <w:bCs/>
                <w:color w:val="000000"/>
                <w:sz w:val="18"/>
                <w:szCs w:val="18"/>
              </w:rPr>
              <w:t>Creator</w:t>
            </w:r>
          </w:p>
        </w:tc>
        <w:tc>
          <w:tcPr>
            <w:tcW w:w="1070" w:type="dxa"/>
            <w:vMerge w:val="restart"/>
            <w:shd w:val="clear" w:color="auto" w:fill="D9D9D9"/>
          </w:tcPr>
          <w:p w14:paraId="2737C539" w14:textId="77777777" w:rsidR="00BD768D" w:rsidRDefault="00BD768D" w:rsidP="00ED7B8C">
            <w:pPr>
              <w:autoSpaceDE w:val="0"/>
              <w:autoSpaceDN w:val="0"/>
              <w:adjustRightInd w:val="0"/>
              <w:spacing w:line="360" w:lineRule="auto"/>
              <w:rPr>
                <w:rFonts w:ascii="Segoe UI" w:hAnsi="Segoe UI" w:cs="Segoe UI"/>
                <w:b/>
                <w:bCs/>
                <w:color w:val="000000"/>
                <w:sz w:val="18"/>
                <w:szCs w:val="18"/>
              </w:rPr>
            </w:pPr>
          </w:p>
        </w:tc>
        <w:tc>
          <w:tcPr>
            <w:tcW w:w="935" w:type="dxa"/>
            <w:vMerge w:val="restart"/>
            <w:shd w:val="clear" w:color="auto" w:fill="D9D9D9"/>
          </w:tcPr>
          <w:p w14:paraId="2195EAE9" w14:textId="77777777" w:rsidR="00BD768D" w:rsidRDefault="00BD768D" w:rsidP="00ED7B8C">
            <w:pPr>
              <w:autoSpaceDE w:val="0"/>
              <w:autoSpaceDN w:val="0"/>
              <w:adjustRightInd w:val="0"/>
              <w:spacing w:line="360" w:lineRule="auto"/>
              <w:jc w:val="right"/>
              <w:rPr>
                <w:rFonts w:ascii="Segoe UI" w:hAnsi="Segoe UI" w:cs="Segoe UI"/>
                <w:b/>
                <w:bCs/>
                <w:color w:val="000000"/>
                <w:sz w:val="18"/>
                <w:szCs w:val="18"/>
              </w:rPr>
            </w:pPr>
            <w:r>
              <w:rPr>
                <w:rFonts w:ascii="Segoe UI" w:hAnsi="Segoe UI" w:cs="Segoe UI"/>
                <w:b/>
                <w:bCs/>
                <w:color w:val="000000"/>
                <w:sz w:val="18"/>
                <w:szCs w:val="18"/>
              </w:rPr>
              <w:t>RSquare</w:t>
            </w:r>
          </w:p>
        </w:tc>
        <w:tc>
          <w:tcPr>
            <w:tcW w:w="755" w:type="dxa"/>
            <w:vMerge w:val="restart"/>
            <w:shd w:val="clear" w:color="auto" w:fill="D9D9D9"/>
          </w:tcPr>
          <w:p w14:paraId="0F619FE6" w14:textId="77777777" w:rsidR="00BD768D" w:rsidRDefault="00BD768D" w:rsidP="00ED7B8C">
            <w:pPr>
              <w:autoSpaceDE w:val="0"/>
              <w:autoSpaceDN w:val="0"/>
              <w:adjustRightInd w:val="0"/>
              <w:spacing w:line="360" w:lineRule="auto"/>
              <w:jc w:val="right"/>
              <w:rPr>
                <w:rFonts w:ascii="Segoe UI" w:hAnsi="Segoe UI" w:cs="Segoe UI"/>
                <w:b/>
                <w:bCs/>
                <w:color w:val="000000"/>
                <w:sz w:val="18"/>
                <w:szCs w:val="18"/>
              </w:rPr>
            </w:pPr>
            <w:r>
              <w:rPr>
                <w:rFonts w:ascii="Segoe UI" w:hAnsi="Segoe UI" w:cs="Segoe UI"/>
                <w:b/>
                <w:bCs/>
                <w:color w:val="000000"/>
                <w:sz w:val="18"/>
                <w:szCs w:val="18"/>
              </w:rPr>
              <w:t>RASE</w:t>
            </w:r>
          </w:p>
        </w:tc>
        <w:tc>
          <w:tcPr>
            <w:tcW w:w="755" w:type="dxa"/>
            <w:vMerge w:val="restart"/>
            <w:shd w:val="clear" w:color="auto" w:fill="D9D9D9"/>
          </w:tcPr>
          <w:p w14:paraId="2F3FF753" w14:textId="77777777" w:rsidR="00BD768D" w:rsidRDefault="00BD768D" w:rsidP="00ED7B8C">
            <w:pPr>
              <w:autoSpaceDE w:val="0"/>
              <w:autoSpaceDN w:val="0"/>
              <w:adjustRightInd w:val="0"/>
              <w:spacing w:line="360" w:lineRule="auto"/>
              <w:jc w:val="right"/>
              <w:rPr>
                <w:rFonts w:ascii="Segoe UI" w:hAnsi="Segoe UI" w:cs="Segoe UI"/>
                <w:b/>
                <w:bCs/>
                <w:color w:val="000000"/>
                <w:sz w:val="18"/>
                <w:szCs w:val="18"/>
              </w:rPr>
            </w:pPr>
            <w:r>
              <w:rPr>
                <w:rFonts w:ascii="Segoe UI" w:hAnsi="Segoe UI" w:cs="Segoe UI"/>
                <w:b/>
                <w:bCs/>
                <w:color w:val="000000"/>
                <w:sz w:val="18"/>
                <w:szCs w:val="18"/>
              </w:rPr>
              <w:t>AAE</w:t>
            </w:r>
          </w:p>
        </w:tc>
        <w:tc>
          <w:tcPr>
            <w:tcW w:w="755" w:type="dxa"/>
            <w:vMerge w:val="restart"/>
            <w:shd w:val="clear" w:color="auto" w:fill="D9D9D9"/>
          </w:tcPr>
          <w:p w14:paraId="43FFEA8B" w14:textId="77777777" w:rsidR="00BD768D" w:rsidRDefault="00BD768D" w:rsidP="00ED7B8C">
            <w:pPr>
              <w:autoSpaceDE w:val="0"/>
              <w:autoSpaceDN w:val="0"/>
              <w:adjustRightInd w:val="0"/>
              <w:spacing w:line="360" w:lineRule="auto"/>
              <w:jc w:val="right"/>
              <w:rPr>
                <w:rFonts w:ascii="Segoe UI" w:hAnsi="Segoe UI" w:cs="Segoe UI"/>
                <w:b/>
                <w:bCs/>
                <w:color w:val="000000"/>
                <w:sz w:val="18"/>
                <w:szCs w:val="18"/>
              </w:rPr>
            </w:pPr>
            <w:r>
              <w:rPr>
                <w:rFonts w:ascii="Segoe UI" w:hAnsi="Segoe UI" w:cs="Segoe UI"/>
                <w:b/>
                <w:bCs/>
                <w:color w:val="000000"/>
                <w:sz w:val="18"/>
                <w:szCs w:val="18"/>
              </w:rPr>
              <w:t>Freq</w:t>
            </w:r>
          </w:p>
        </w:tc>
      </w:tr>
      <w:tr w:rsidR="00BD768D" w14:paraId="47058D38" w14:textId="77777777" w:rsidTr="00BD768D">
        <w:trPr>
          <w:trHeight w:val="359"/>
        </w:trPr>
        <w:tc>
          <w:tcPr>
            <w:tcW w:w="1040" w:type="dxa"/>
            <w:vMerge w:val="restart"/>
          </w:tcPr>
          <w:p w14:paraId="5DF1FAE6"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0</w:t>
            </w:r>
          </w:p>
        </w:tc>
        <w:tc>
          <w:tcPr>
            <w:tcW w:w="3305" w:type="dxa"/>
            <w:vMerge w:val="restart"/>
          </w:tcPr>
          <w:p w14:paraId="27332CFD"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Pred Formula RUSO OLS</w:t>
            </w:r>
          </w:p>
        </w:tc>
        <w:tc>
          <w:tcPr>
            <w:tcW w:w="1505" w:type="dxa"/>
            <w:vMerge w:val="restart"/>
          </w:tcPr>
          <w:p w14:paraId="71519ACF"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Fit Least Squares</w:t>
            </w:r>
          </w:p>
        </w:tc>
        <w:tc>
          <w:tcPr>
            <w:tcW w:w="1070" w:type="dxa"/>
            <w:vMerge w:val="restart"/>
          </w:tcPr>
          <w:p w14:paraId="62ACDA2D" w14:textId="7352798A"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44BCA12" wp14:editId="2FB2A436">
                  <wp:extent cx="518160" cy="129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 cy="129540"/>
                          </a:xfrm>
                          <a:prstGeom prst="rect">
                            <a:avLst/>
                          </a:prstGeom>
                          <a:noFill/>
                          <a:ln>
                            <a:noFill/>
                          </a:ln>
                        </pic:spPr>
                      </pic:pic>
                    </a:graphicData>
                  </a:graphic>
                </wp:inline>
              </w:drawing>
            </w:r>
          </w:p>
        </w:tc>
        <w:tc>
          <w:tcPr>
            <w:tcW w:w="935" w:type="dxa"/>
            <w:vMerge w:val="restart"/>
          </w:tcPr>
          <w:p w14:paraId="1C3AEE9B"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0.6784</w:t>
            </w:r>
          </w:p>
        </w:tc>
        <w:tc>
          <w:tcPr>
            <w:tcW w:w="755" w:type="dxa"/>
            <w:vMerge w:val="restart"/>
          </w:tcPr>
          <w:p w14:paraId="1BE06642"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0.0134</w:t>
            </w:r>
          </w:p>
        </w:tc>
        <w:tc>
          <w:tcPr>
            <w:tcW w:w="755" w:type="dxa"/>
            <w:vMerge w:val="restart"/>
          </w:tcPr>
          <w:p w14:paraId="0ABFC36D"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0.0107</w:t>
            </w:r>
          </w:p>
        </w:tc>
        <w:tc>
          <w:tcPr>
            <w:tcW w:w="755" w:type="dxa"/>
            <w:vMerge w:val="restart"/>
          </w:tcPr>
          <w:p w14:paraId="79B8F114"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797</w:t>
            </w:r>
          </w:p>
        </w:tc>
      </w:tr>
      <w:tr w:rsidR="00BD768D" w14:paraId="41560DD2" w14:textId="77777777" w:rsidTr="00BD768D">
        <w:trPr>
          <w:trHeight w:val="359"/>
        </w:trPr>
        <w:tc>
          <w:tcPr>
            <w:tcW w:w="1040" w:type="dxa"/>
            <w:vMerge w:val="restart"/>
          </w:tcPr>
          <w:p w14:paraId="3B07680C"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0</w:t>
            </w:r>
          </w:p>
        </w:tc>
        <w:tc>
          <w:tcPr>
            <w:tcW w:w="3305" w:type="dxa"/>
            <w:vMerge w:val="restart"/>
          </w:tcPr>
          <w:p w14:paraId="262F71DF"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Pred Formula RUSO Stepwise Backward</w:t>
            </w:r>
          </w:p>
        </w:tc>
        <w:tc>
          <w:tcPr>
            <w:tcW w:w="1505" w:type="dxa"/>
            <w:vMerge w:val="restart"/>
          </w:tcPr>
          <w:p w14:paraId="053045DE"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Fit Least Squares</w:t>
            </w:r>
          </w:p>
        </w:tc>
        <w:tc>
          <w:tcPr>
            <w:tcW w:w="1070" w:type="dxa"/>
            <w:vMerge w:val="restart"/>
          </w:tcPr>
          <w:p w14:paraId="27F4FE90" w14:textId="6659D3C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A93F2DF" wp14:editId="1748FE8B">
                  <wp:extent cx="518160" cy="129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 cy="129540"/>
                          </a:xfrm>
                          <a:prstGeom prst="rect">
                            <a:avLst/>
                          </a:prstGeom>
                          <a:noFill/>
                          <a:ln>
                            <a:noFill/>
                          </a:ln>
                        </pic:spPr>
                      </pic:pic>
                    </a:graphicData>
                  </a:graphic>
                </wp:inline>
              </w:drawing>
            </w:r>
          </w:p>
        </w:tc>
        <w:tc>
          <w:tcPr>
            <w:tcW w:w="935" w:type="dxa"/>
            <w:vMerge w:val="restart"/>
          </w:tcPr>
          <w:p w14:paraId="7CD69487"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0.6775</w:t>
            </w:r>
          </w:p>
        </w:tc>
        <w:tc>
          <w:tcPr>
            <w:tcW w:w="755" w:type="dxa"/>
            <w:vMerge w:val="restart"/>
          </w:tcPr>
          <w:p w14:paraId="4F0D046A"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0.0135</w:t>
            </w:r>
          </w:p>
        </w:tc>
        <w:tc>
          <w:tcPr>
            <w:tcW w:w="755" w:type="dxa"/>
            <w:vMerge w:val="restart"/>
          </w:tcPr>
          <w:p w14:paraId="416F3CA3"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0.0107</w:t>
            </w:r>
          </w:p>
        </w:tc>
        <w:tc>
          <w:tcPr>
            <w:tcW w:w="755" w:type="dxa"/>
            <w:vMerge w:val="restart"/>
          </w:tcPr>
          <w:p w14:paraId="637602CB"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797</w:t>
            </w:r>
          </w:p>
        </w:tc>
      </w:tr>
      <w:tr w:rsidR="00BD768D" w14:paraId="5A91CA9D" w14:textId="77777777" w:rsidTr="00BD768D">
        <w:trPr>
          <w:trHeight w:val="359"/>
        </w:trPr>
        <w:tc>
          <w:tcPr>
            <w:tcW w:w="1040" w:type="dxa"/>
            <w:vMerge w:val="restart"/>
          </w:tcPr>
          <w:p w14:paraId="1D5D1698"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0</w:t>
            </w:r>
          </w:p>
        </w:tc>
        <w:tc>
          <w:tcPr>
            <w:tcW w:w="3305" w:type="dxa"/>
            <w:vMerge w:val="restart"/>
          </w:tcPr>
          <w:p w14:paraId="17388EE0"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Pred Formula RUSO Stepwise Forward</w:t>
            </w:r>
          </w:p>
        </w:tc>
        <w:tc>
          <w:tcPr>
            <w:tcW w:w="1505" w:type="dxa"/>
            <w:vMerge w:val="restart"/>
          </w:tcPr>
          <w:p w14:paraId="6FCDF00E"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Fit Least Squares</w:t>
            </w:r>
          </w:p>
        </w:tc>
        <w:tc>
          <w:tcPr>
            <w:tcW w:w="1070" w:type="dxa"/>
            <w:vMerge w:val="restart"/>
          </w:tcPr>
          <w:p w14:paraId="4A7F2A45" w14:textId="49B4E3F0"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8D94926" wp14:editId="63C64E40">
                  <wp:extent cx="518160" cy="129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 cy="129540"/>
                          </a:xfrm>
                          <a:prstGeom prst="rect">
                            <a:avLst/>
                          </a:prstGeom>
                          <a:noFill/>
                          <a:ln>
                            <a:noFill/>
                          </a:ln>
                        </pic:spPr>
                      </pic:pic>
                    </a:graphicData>
                  </a:graphic>
                </wp:inline>
              </w:drawing>
            </w:r>
          </w:p>
        </w:tc>
        <w:tc>
          <w:tcPr>
            <w:tcW w:w="935" w:type="dxa"/>
            <w:vMerge w:val="restart"/>
          </w:tcPr>
          <w:p w14:paraId="0B85632D"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0.6552</w:t>
            </w:r>
          </w:p>
        </w:tc>
        <w:tc>
          <w:tcPr>
            <w:tcW w:w="755" w:type="dxa"/>
            <w:vMerge w:val="restart"/>
          </w:tcPr>
          <w:p w14:paraId="173A5B1D"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0.0139</w:t>
            </w:r>
          </w:p>
        </w:tc>
        <w:tc>
          <w:tcPr>
            <w:tcW w:w="755" w:type="dxa"/>
            <w:vMerge w:val="restart"/>
          </w:tcPr>
          <w:p w14:paraId="34C62FFE"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0.0111</w:t>
            </w:r>
          </w:p>
        </w:tc>
        <w:tc>
          <w:tcPr>
            <w:tcW w:w="755" w:type="dxa"/>
            <w:vMerge w:val="restart"/>
          </w:tcPr>
          <w:p w14:paraId="322BEF8D"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797</w:t>
            </w:r>
          </w:p>
        </w:tc>
      </w:tr>
      <w:tr w:rsidR="00BD768D" w14:paraId="7EDAB49E" w14:textId="77777777" w:rsidTr="00BD768D">
        <w:trPr>
          <w:trHeight w:val="359"/>
        </w:trPr>
        <w:tc>
          <w:tcPr>
            <w:tcW w:w="1040" w:type="dxa"/>
            <w:vMerge w:val="restart"/>
          </w:tcPr>
          <w:p w14:paraId="2616D36F"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1</w:t>
            </w:r>
          </w:p>
        </w:tc>
        <w:tc>
          <w:tcPr>
            <w:tcW w:w="3305" w:type="dxa"/>
            <w:vMerge w:val="restart"/>
          </w:tcPr>
          <w:p w14:paraId="54BA2077"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Pred Formula RUSO OLS</w:t>
            </w:r>
          </w:p>
        </w:tc>
        <w:tc>
          <w:tcPr>
            <w:tcW w:w="1505" w:type="dxa"/>
            <w:vMerge w:val="restart"/>
          </w:tcPr>
          <w:p w14:paraId="037C5897"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Fit Least Squares</w:t>
            </w:r>
          </w:p>
        </w:tc>
        <w:tc>
          <w:tcPr>
            <w:tcW w:w="1070" w:type="dxa"/>
            <w:vMerge w:val="restart"/>
          </w:tcPr>
          <w:p w14:paraId="545F46C9" w14:textId="794B4771"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2D82579" wp14:editId="748DA6F7">
                  <wp:extent cx="518160" cy="129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 cy="129540"/>
                          </a:xfrm>
                          <a:prstGeom prst="rect">
                            <a:avLst/>
                          </a:prstGeom>
                          <a:noFill/>
                          <a:ln>
                            <a:noFill/>
                          </a:ln>
                        </pic:spPr>
                      </pic:pic>
                    </a:graphicData>
                  </a:graphic>
                </wp:inline>
              </w:drawing>
            </w:r>
          </w:p>
        </w:tc>
        <w:tc>
          <w:tcPr>
            <w:tcW w:w="935" w:type="dxa"/>
            <w:vMerge w:val="restart"/>
          </w:tcPr>
          <w:p w14:paraId="662B741E"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0.4246</w:t>
            </w:r>
          </w:p>
        </w:tc>
        <w:tc>
          <w:tcPr>
            <w:tcW w:w="755" w:type="dxa"/>
            <w:vMerge w:val="restart"/>
          </w:tcPr>
          <w:p w14:paraId="2C12A0B4"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0.0129</w:t>
            </w:r>
          </w:p>
        </w:tc>
        <w:tc>
          <w:tcPr>
            <w:tcW w:w="755" w:type="dxa"/>
            <w:vMerge w:val="restart"/>
          </w:tcPr>
          <w:p w14:paraId="61ABF241"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0.0101</w:t>
            </w:r>
          </w:p>
        </w:tc>
        <w:tc>
          <w:tcPr>
            <w:tcW w:w="755" w:type="dxa"/>
            <w:vMerge w:val="restart"/>
          </w:tcPr>
          <w:p w14:paraId="1C7991CA"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266</w:t>
            </w:r>
          </w:p>
        </w:tc>
      </w:tr>
      <w:tr w:rsidR="00BD768D" w14:paraId="5609B77E" w14:textId="77777777" w:rsidTr="00BD768D">
        <w:trPr>
          <w:trHeight w:val="359"/>
        </w:trPr>
        <w:tc>
          <w:tcPr>
            <w:tcW w:w="1040" w:type="dxa"/>
            <w:vMerge w:val="restart"/>
          </w:tcPr>
          <w:p w14:paraId="2750011E"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1</w:t>
            </w:r>
          </w:p>
        </w:tc>
        <w:tc>
          <w:tcPr>
            <w:tcW w:w="3305" w:type="dxa"/>
            <w:vMerge w:val="restart"/>
          </w:tcPr>
          <w:p w14:paraId="4347AF25"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Pred Formula RUSO Stepwise Backward</w:t>
            </w:r>
          </w:p>
        </w:tc>
        <w:tc>
          <w:tcPr>
            <w:tcW w:w="1505" w:type="dxa"/>
            <w:vMerge w:val="restart"/>
          </w:tcPr>
          <w:p w14:paraId="3016F0B7"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Fit Least Squares</w:t>
            </w:r>
          </w:p>
        </w:tc>
        <w:tc>
          <w:tcPr>
            <w:tcW w:w="1070" w:type="dxa"/>
            <w:vMerge w:val="restart"/>
          </w:tcPr>
          <w:p w14:paraId="7B1D60E3" w14:textId="244D84D8"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92277BB" wp14:editId="342C588A">
                  <wp:extent cx="518160" cy="129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 cy="129540"/>
                          </a:xfrm>
                          <a:prstGeom prst="rect">
                            <a:avLst/>
                          </a:prstGeom>
                          <a:noFill/>
                          <a:ln>
                            <a:noFill/>
                          </a:ln>
                        </pic:spPr>
                      </pic:pic>
                    </a:graphicData>
                  </a:graphic>
                </wp:inline>
              </w:drawing>
            </w:r>
          </w:p>
        </w:tc>
        <w:tc>
          <w:tcPr>
            <w:tcW w:w="935" w:type="dxa"/>
            <w:vMerge w:val="restart"/>
          </w:tcPr>
          <w:p w14:paraId="311ADE73"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0.4371</w:t>
            </w:r>
          </w:p>
        </w:tc>
        <w:tc>
          <w:tcPr>
            <w:tcW w:w="755" w:type="dxa"/>
            <w:vMerge w:val="restart"/>
          </w:tcPr>
          <w:p w14:paraId="6ED4B086"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0.0128</w:t>
            </w:r>
          </w:p>
        </w:tc>
        <w:tc>
          <w:tcPr>
            <w:tcW w:w="755" w:type="dxa"/>
            <w:vMerge w:val="restart"/>
          </w:tcPr>
          <w:p w14:paraId="70850135"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0.0100</w:t>
            </w:r>
          </w:p>
        </w:tc>
        <w:tc>
          <w:tcPr>
            <w:tcW w:w="755" w:type="dxa"/>
            <w:vMerge w:val="restart"/>
          </w:tcPr>
          <w:p w14:paraId="398C4A43"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266</w:t>
            </w:r>
          </w:p>
        </w:tc>
      </w:tr>
      <w:tr w:rsidR="00BD768D" w14:paraId="6EC0DBF4" w14:textId="77777777" w:rsidTr="00BD768D">
        <w:trPr>
          <w:trHeight w:val="359"/>
        </w:trPr>
        <w:tc>
          <w:tcPr>
            <w:tcW w:w="1040" w:type="dxa"/>
            <w:vMerge w:val="restart"/>
          </w:tcPr>
          <w:p w14:paraId="4DD13DBB"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1</w:t>
            </w:r>
          </w:p>
        </w:tc>
        <w:tc>
          <w:tcPr>
            <w:tcW w:w="3305" w:type="dxa"/>
            <w:vMerge w:val="restart"/>
          </w:tcPr>
          <w:p w14:paraId="6F3A0A6B"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Pred Formula RUSO Stepwise Forward</w:t>
            </w:r>
          </w:p>
        </w:tc>
        <w:tc>
          <w:tcPr>
            <w:tcW w:w="1505" w:type="dxa"/>
            <w:vMerge w:val="restart"/>
          </w:tcPr>
          <w:p w14:paraId="20AEA2C2"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Fit Least Squares</w:t>
            </w:r>
          </w:p>
        </w:tc>
        <w:tc>
          <w:tcPr>
            <w:tcW w:w="1070" w:type="dxa"/>
            <w:vMerge w:val="restart"/>
          </w:tcPr>
          <w:p w14:paraId="66A6B7ED" w14:textId="117A87CD"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A584CE6" wp14:editId="213F3900">
                  <wp:extent cx="518160" cy="129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 cy="129540"/>
                          </a:xfrm>
                          <a:prstGeom prst="rect">
                            <a:avLst/>
                          </a:prstGeom>
                          <a:noFill/>
                          <a:ln>
                            <a:noFill/>
                          </a:ln>
                        </pic:spPr>
                      </pic:pic>
                    </a:graphicData>
                  </a:graphic>
                </wp:inline>
              </w:drawing>
            </w:r>
          </w:p>
        </w:tc>
        <w:tc>
          <w:tcPr>
            <w:tcW w:w="935" w:type="dxa"/>
            <w:vMerge w:val="restart"/>
          </w:tcPr>
          <w:p w14:paraId="24EAFBEE"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0.4752</w:t>
            </w:r>
          </w:p>
        </w:tc>
        <w:tc>
          <w:tcPr>
            <w:tcW w:w="755" w:type="dxa"/>
            <w:vMerge w:val="restart"/>
          </w:tcPr>
          <w:p w14:paraId="65CFA476"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0.0123</w:t>
            </w:r>
          </w:p>
        </w:tc>
        <w:tc>
          <w:tcPr>
            <w:tcW w:w="755" w:type="dxa"/>
            <w:vMerge w:val="restart"/>
          </w:tcPr>
          <w:p w14:paraId="69E53C40"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0.0097</w:t>
            </w:r>
          </w:p>
        </w:tc>
        <w:tc>
          <w:tcPr>
            <w:tcW w:w="755" w:type="dxa"/>
            <w:vMerge w:val="restart"/>
          </w:tcPr>
          <w:p w14:paraId="1A4546FB"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266</w:t>
            </w:r>
          </w:p>
        </w:tc>
      </w:tr>
      <w:tr w:rsidR="00BD768D" w14:paraId="6BD953F0" w14:textId="77777777" w:rsidTr="00BD768D">
        <w:trPr>
          <w:trHeight w:val="359"/>
        </w:trPr>
        <w:tc>
          <w:tcPr>
            <w:tcW w:w="1040" w:type="dxa"/>
            <w:vMerge w:val="restart"/>
          </w:tcPr>
          <w:p w14:paraId="77C3187F"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2</w:t>
            </w:r>
          </w:p>
        </w:tc>
        <w:tc>
          <w:tcPr>
            <w:tcW w:w="3305" w:type="dxa"/>
            <w:vMerge w:val="restart"/>
          </w:tcPr>
          <w:p w14:paraId="128FBFE4"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Pred Formula RUSO OLS</w:t>
            </w:r>
          </w:p>
        </w:tc>
        <w:tc>
          <w:tcPr>
            <w:tcW w:w="1505" w:type="dxa"/>
            <w:vMerge w:val="restart"/>
          </w:tcPr>
          <w:p w14:paraId="2FC15C21"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Fit Least Squares</w:t>
            </w:r>
          </w:p>
        </w:tc>
        <w:tc>
          <w:tcPr>
            <w:tcW w:w="1070" w:type="dxa"/>
            <w:vMerge w:val="restart"/>
          </w:tcPr>
          <w:p w14:paraId="27F830B6" w14:textId="064ABF36"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88AF915" wp14:editId="36917BE5">
                  <wp:extent cx="518160" cy="129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 cy="129540"/>
                          </a:xfrm>
                          <a:prstGeom prst="rect">
                            <a:avLst/>
                          </a:prstGeom>
                          <a:noFill/>
                          <a:ln>
                            <a:noFill/>
                          </a:ln>
                        </pic:spPr>
                      </pic:pic>
                    </a:graphicData>
                  </a:graphic>
                </wp:inline>
              </w:drawing>
            </w:r>
          </w:p>
        </w:tc>
        <w:tc>
          <w:tcPr>
            <w:tcW w:w="935" w:type="dxa"/>
            <w:vMerge w:val="restart"/>
          </w:tcPr>
          <w:p w14:paraId="77717DF8"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0.4610</w:t>
            </w:r>
          </w:p>
        </w:tc>
        <w:tc>
          <w:tcPr>
            <w:tcW w:w="755" w:type="dxa"/>
            <w:vMerge w:val="restart"/>
          </w:tcPr>
          <w:p w14:paraId="57FA9AB6"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0.0151</w:t>
            </w:r>
          </w:p>
        </w:tc>
        <w:tc>
          <w:tcPr>
            <w:tcW w:w="755" w:type="dxa"/>
            <w:vMerge w:val="restart"/>
          </w:tcPr>
          <w:p w14:paraId="440E2FA1"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0.0116</w:t>
            </w:r>
          </w:p>
        </w:tc>
        <w:tc>
          <w:tcPr>
            <w:tcW w:w="755" w:type="dxa"/>
            <w:vMerge w:val="restart"/>
          </w:tcPr>
          <w:p w14:paraId="6F460276"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267</w:t>
            </w:r>
          </w:p>
        </w:tc>
      </w:tr>
      <w:tr w:rsidR="00BD768D" w14:paraId="243CBE20" w14:textId="77777777" w:rsidTr="00BD768D">
        <w:trPr>
          <w:trHeight w:val="359"/>
        </w:trPr>
        <w:tc>
          <w:tcPr>
            <w:tcW w:w="1040" w:type="dxa"/>
            <w:vMerge w:val="restart"/>
          </w:tcPr>
          <w:p w14:paraId="0B760DC2"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2</w:t>
            </w:r>
          </w:p>
        </w:tc>
        <w:tc>
          <w:tcPr>
            <w:tcW w:w="3305" w:type="dxa"/>
            <w:vMerge w:val="restart"/>
          </w:tcPr>
          <w:p w14:paraId="4AFA90C9"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Pred Formula RUSO Stepwise Backward</w:t>
            </w:r>
          </w:p>
        </w:tc>
        <w:tc>
          <w:tcPr>
            <w:tcW w:w="1505" w:type="dxa"/>
            <w:vMerge w:val="restart"/>
          </w:tcPr>
          <w:p w14:paraId="09914989"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Fit Least Squares</w:t>
            </w:r>
          </w:p>
        </w:tc>
        <w:tc>
          <w:tcPr>
            <w:tcW w:w="1070" w:type="dxa"/>
            <w:vMerge w:val="restart"/>
          </w:tcPr>
          <w:p w14:paraId="25BED06F" w14:textId="03C0D9A4"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6827930" wp14:editId="12A29F2A">
                  <wp:extent cx="518160" cy="129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 cy="129540"/>
                          </a:xfrm>
                          <a:prstGeom prst="rect">
                            <a:avLst/>
                          </a:prstGeom>
                          <a:noFill/>
                          <a:ln>
                            <a:noFill/>
                          </a:ln>
                        </pic:spPr>
                      </pic:pic>
                    </a:graphicData>
                  </a:graphic>
                </wp:inline>
              </w:drawing>
            </w:r>
          </w:p>
        </w:tc>
        <w:tc>
          <w:tcPr>
            <w:tcW w:w="935" w:type="dxa"/>
            <w:vMerge w:val="restart"/>
          </w:tcPr>
          <w:p w14:paraId="244EE6A0"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0.4628</w:t>
            </w:r>
          </w:p>
        </w:tc>
        <w:tc>
          <w:tcPr>
            <w:tcW w:w="755" w:type="dxa"/>
            <w:vMerge w:val="restart"/>
          </w:tcPr>
          <w:p w14:paraId="01F259BA"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0.0151</w:t>
            </w:r>
          </w:p>
        </w:tc>
        <w:tc>
          <w:tcPr>
            <w:tcW w:w="755" w:type="dxa"/>
            <w:vMerge w:val="restart"/>
          </w:tcPr>
          <w:p w14:paraId="4968E0A1"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0.0116</w:t>
            </w:r>
          </w:p>
        </w:tc>
        <w:tc>
          <w:tcPr>
            <w:tcW w:w="755" w:type="dxa"/>
            <w:vMerge w:val="restart"/>
          </w:tcPr>
          <w:p w14:paraId="577E52D6"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267</w:t>
            </w:r>
          </w:p>
        </w:tc>
      </w:tr>
      <w:tr w:rsidR="00BD768D" w14:paraId="7BE4CE62" w14:textId="77777777" w:rsidTr="00BD768D">
        <w:trPr>
          <w:trHeight w:val="239"/>
        </w:trPr>
        <w:tc>
          <w:tcPr>
            <w:tcW w:w="1040" w:type="dxa"/>
          </w:tcPr>
          <w:p w14:paraId="4956980F"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2</w:t>
            </w:r>
          </w:p>
        </w:tc>
        <w:tc>
          <w:tcPr>
            <w:tcW w:w="3305" w:type="dxa"/>
          </w:tcPr>
          <w:p w14:paraId="1A144766"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Pred Formula RUSO Stepwise Forward</w:t>
            </w:r>
          </w:p>
        </w:tc>
        <w:tc>
          <w:tcPr>
            <w:tcW w:w="1505" w:type="dxa"/>
          </w:tcPr>
          <w:p w14:paraId="1703E6A1"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Fit Least Squares</w:t>
            </w:r>
          </w:p>
        </w:tc>
        <w:tc>
          <w:tcPr>
            <w:tcW w:w="1070" w:type="dxa"/>
          </w:tcPr>
          <w:p w14:paraId="0BB36869" w14:textId="2CD40082"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670091E" wp14:editId="58ED90AC">
                  <wp:extent cx="518160" cy="129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 cy="129540"/>
                          </a:xfrm>
                          <a:prstGeom prst="rect">
                            <a:avLst/>
                          </a:prstGeom>
                          <a:noFill/>
                          <a:ln>
                            <a:noFill/>
                          </a:ln>
                        </pic:spPr>
                      </pic:pic>
                    </a:graphicData>
                  </a:graphic>
                </wp:inline>
              </w:drawing>
            </w:r>
          </w:p>
        </w:tc>
        <w:tc>
          <w:tcPr>
            <w:tcW w:w="935" w:type="dxa"/>
          </w:tcPr>
          <w:p w14:paraId="7CB94747"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0.4777</w:t>
            </w:r>
          </w:p>
        </w:tc>
        <w:tc>
          <w:tcPr>
            <w:tcW w:w="755" w:type="dxa"/>
          </w:tcPr>
          <w:p w14:paraId="6AF06567"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0.0148</w:t>
            </w:r>
          </w:p>
        </w:tc>
        <w:tc>
          <w:tcPr>
            <w:tcW w:w="755" w:type="dxa"/>
          </w:tcPr>
          <w:p w14:paraId="236F0EF0"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0.0114</w:t>
            </w:r>
          </w:p>
        </w:tc>
        <w:tc>
          <w:tcPr>
            <w:tcW w:w="755" w:type="dxa"/>
          </w:tcPr>
          <w:p w14:paraId="769CE407"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267</w:t>
            </w:r>
          </w:p>
        </w:tc>
      </w:tr>
    </w:tbl>
    <w:p w14:paraId="74BD0BAA" w14:textId="77777777" w:rsidR="00B92499" w:rsidRDefault="00B92499" w:rsidP="00ED7B8C">
      <w:pPr>
        <w:keepNext/>
        <w:autoSpaceDE w:val="0"/>
        <w:autoSpaceDN w:val="0"/>
        <w:adjustRightInd w:val="0"/>
        <w:spacing w:line="360" w:lineRule="auto"/>
        <w:rPr>
          <w:rFonts w:ascii="Segoe UI" w:hAnsi="Segoe UI" w:cs="Segoe UI"/>
          <w:b/>
          <w:bCs/>
          <w:color w:val="000000"/>
          <w:sz w:val="22"/>
          <w:szCs w:val="22"/>
        </w:rPr>
      </w:pPr>
    </w:p>
    <w:p w14:paraId="55AC091E" w14:textId="6192FECD" w:rsidR="00B92499" w:rsidRDefault="00B92499" w:rsidP="00ED7B8C">
      <w:pPr>
        <w:keepNext/>
        <w:autoSpaceDE w:val="0"/>
        <w:autoSpaceDN w:val="0"/>
        <w:adjustRightInd w:val="0"/>
        <w:spacing w:line="360" w:lineRule="auto"/>
        <w:rPr>
          <w:rFonts w:ascii="Segoe UI" w:hAnsi="Segoe UI" w:cs="Segoe UI"/>
          <w:color w:val="000000"/>
          <w:sz w:val="22"/>
          <w:szCs w:val="22"/>
        </w:rPr>
      </w:pPr>
      <w:r>
        <w:rPr>
          <w:rFonts w:ascii="Segoe UI" w:hAnsi="Segoe UI" w:cs="Segoe UI"/>
          <w:color w:val="000000"/>
          <w:sz w:val="22"/>
          <w:szCs w:val="22"/>
        </w:rPr>
        <w:t xml:space="preserve">All of the models in the Pre-Covid 19 analysis fared relatively well.  Each model had an RSquare value between </w:t>
      </w:r>
      <w:r w:rsidR="00ED7B8C">
        <w:rPr>
          <w:rFonts w:ascii="Segoe UI" w:hAnsi="Segoe UI" w:cs="Segoe UI"/>
          <w:color w:val="000000"/>
          <w:sz w:val="22"/>
          <w:szCs w:val="22"/>
        </w:rPr>
        <w:t>0</w:t>
      </w:r>
      <w:r>
        <w:rPr>
          <w:rFonts w:ascii="Segoe UI" w:hAnsi="Segoe UI" w:cs="Segoe UI"/>
          <w:color w:val="000000"/>
          <w:sz w:val="22"/>
          <w:szCs w:val="22"/>
        </w:rPr>
        <w:t>.65-</w:t>
      </w:r>
      <w:r w:rsidR="00ED7B8C">
        <w:rPr>
          <w:rFonts w:ascii="Segoe UI" w:hAnsi="Segoe UI" w:cs="Segoe UI"/>
          <w:color w:val="000000"/>
          <w:sz w:val="22"/>
          <w:szCs w:val="22"/>
        </w:rPr>
        <w:t>0</w:t>
      </w:r>
      <w:r>
        <w:rPr>
          <w:rFonts w:ascii="Segoe UI" w:hAnsi="Segoe UI" w:cs="Segoe UI"/>
          <w:color w:val="000000"/>
          <w:sz w:val="22"/>
          <w:szCs w:val="22"/>
        </w:rPr>
        <w:t xml:space="preserve">.66 for the Training Set, between </w:t>
      </w:r>
      <w:r w:rsidR="00ED7B8C">
        <w:rPr>
          <w:rFonts w:ascii="Segoe UI" w:hAnsi="Segoe UI" w:cs="Segoe UI"/>
          <w:color w:val="000000"/>
          <w:sz w:val="22"/>
          <w:szCs w:val="22"/>
        </w:rPr>
        <w:t>0</w:t>
      </w:r>
      <w:r>
        <w:rPr>
          <w:rFonts w:ascii="Segoe UI" w:hAnsi="Segoe UI" w:cs="Segoe UI"/>
          <w:color w:val="000000"/>
          <w:sz w:val="22"/>
          <w:szCs w:val="22"/>
        </w:rPr>
        <w:t>.42-</w:t>
      </w:r>
      <w:r w:rsidR="00ED7B8C">
        <w:rPr>
          <w:rFonts w:ascii="Segoe UI" w:hAnsi="Segoe UI" w:cs="Segoe UI"/>
          <w:color w:val="000000"/>
          <w:sz w:val="22"/>
          <w:szCs w:val="22"/>
        </w:rPr>
        <w:t>0</w:t>
      </w:r>
      <w:r>
        <w:rPr>
          <w:rFonts w:ascii="Segoe UI" w:hAnsi="Segoe UI" w:cs="Segoe UI"/>
          <w:color w:val="000000"/>
          <w:sz w:val="22"/>
          <w:szCs w:val="22"/>
        </w:rPr>
        <w:t>.43 for the Validation Set, and</w:t>
      </w:r>
      <w:r w:rsidR="00ED7B8C">
        <w:rPr>
          <w:rFonts w:ascii="Segoe UI" w:hAnsi="Segoe UI" w:cs="Segoe UI"/>
          <w:color w:val="000000"/>
          <w:sz w:val="22"/>
          <w:szCs w:val="22"/>
        </w:rPr>
        <w:t xml:space="preserve"> </w:t>
      </w:r>
      <w:r>
        <w:rPr>
          <w:rFonts w:ascii="Segoe UI" w:hAnsi="Segoe UI" w:cs="Segoe UI"/>
          <w:color w:val="000000"/>
          <w:sz w:val="22"/>
          <w:szCs w:val="22"/>
        </w:rPr>
        <w:t xml:space="preserve">between </w:t>
      </w:r>
      <w:r w:rsidR="00ED7B8C">
        <w:rPr>
          <w:rFonts w:ascii="Segoe UI" w:hAnsi="Segoe UI" w:cs="Segoe UI"/>
          <w:color w:val="000000"/>
          <w:sz w:val="22"/>
          <w:szCs w:val="22"/>
        </w:rPr>
        <w:t>0</w:t>
      </w:r>
      <w:r>
        <w:rPr>
          <w:rFonts w:ascii="Segoe UI" w:hAnsi="Segoe UI" w:cs="Segoe UI"/>
          <w:color w:val="000000"/>
          <w:sz w:val="22"/>
          <w:szCs w:val="22"/>
        </w:rPr>
        <w:t>.46-</w:t>
      </w:r>
      <w:r w:rsidR="00ED7B8C">
        <w:rPr>
          <w:rFonts w:ascii="Segoe UI" w:hAnsi="Segoe UI" w:cs="Segoe UI"/>
          <w:color w:val="000000"/>
          <w:sz w:val="22"/>
          <w:szCs w:val="22"/>
        </w:rPr>
        <w:t>0</w:t>
      </w:r>
      <w:r>
        <w:rPr>
          <w:rFonts w:ascii="Segoe UI" w:hAnsi="Segoe UI" w:cs="Segoe UI"/>
          <w:color w:val="000000"/>
          <w:sz w:val="22"/>
          <w:szCs w:val="22"/>
        </w:rPr>
        <w:t>.47</w:t>
      </w:r>
      <w:r w:rsidR="00ED7B8C">
        <w:rPr>
          <w:rFonts w:ascii="Segoe UI" w:hAnsi="Segoe UI" w:cs="Segoe UI"/>
          <w:color w:val="000000"/>
          <w:sz w:val="22"/>
          <w:szCs w:val="22"/>
        </w:rPr>
        <w:t xml:space="preserve"> for the Test Set.  RASE and AAE were all relatively low across all models and cross-validation groups, hovering near 0.01.  The Stepwise Forward model </w:t>
      </w:r>
      <w:r w:rsidR="00733F2E">
        <w:rPr>
          <w:rFonts w:ascii="Segoe UI" w:hAnsi="Segoe UI" w:cs="Segoe UI"/>
          <w:color w:val="000000"/>
          <w:sz w:val="22"/>
          <w:szCs w:val="22"/>
        </w:rPr>
        <w:t>performed marginally better in this group.</w:t>
      </w:r>
    </w:p>
    <w:p w14:paraId="2F68C2D8" w14:textId="77777777" w:rsidR="00ED7B8C" w:rsidRDefault="00ED7B8C">
      <w:pPr>
        <w:spacing w:after="160" w:line="259" w:lineRule="auto"/>
        <w:rPr>
          <w:rFonts w:ascii="Segoe UI" w:hAnsi="Segoe UI" w:cs="Segoe UI"/>
          <w:b/>
          <w:bCs/>
          <w:color w:val="000000"/>
          <w:sz w:val="22"/>
          <w:szCs w:val="22"/>
        </w:rPr>
      </w:pPr>
      <w:r>
        <w:rPr>
          <w:rFonts w:ascii="Segoe UI" w:hAnsi="Segoe UI" w:cs="Segoe UI"/>
          <w:b/>
          <w:bCs/>
          <w:color w:val="000000"/>
          <w:sz w:val="22"/>
          <w:szCs w:val="22"/>
        </w:rPr>
        <w:br w:type="page"/>
      </w:r>
    </w:p>
    <w:p w14:paraId="706EE49E" w14:textId="60B37260" w:rsidR="00BD768D" w:rsidRPr="001B2AF8" w:rsidRDefault="00BD768D" w:rsidP="001B2AF8">
      <w:pPr>
        <w:keepNext/>
        <w:autoSpaceDE w:val="0"/>
        <w:autoSpaceDN w:val="0"/>
        <w:adjustRightInd w:val="0"/>
        <w:spacing w:line="360" w:lineRule="auto"/>
        <w:rPr>
          <w:rFonts w:ascii="Segoe UI" w:hAnsi="Segoe UI" w:cs="Segoe UI"/>
          <w:b/>
          <w:bCs/>
          <w:color w:val="000000"/>
          <w:sz w:val="22"/>
          <w:szCs w:val="22"/>
        </w:rPr>
      </w:pPr>
      <w:r>
        <w:rPr>
          <w:rFonts w:ascii="Segoe UI" w:hAnsi="Segoe UI" w:cs="Segoe UI"/>
          <w:b/>
          <w:bCs/>
          <w:color w:val="000000"/>
          <w:sz w:val="22"/>
          <w:szCs w:val="22"/>
        </w:rPr>
        <w:lastRenderedPageBreak/>
        <w:t>Measures of Fit for RUSO (Mid-Pandemic)</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40"/>
        <w:gridCol w:w="3305"/>
        <w:gridCol w:w="1505"/>
        <w:gridCol w:w="1070"/>
        <w:gridCol w:w="935"/>
        <w:gridCol w:w="755"/>
        <w:gridCol w:w="755"/>
        <w:gridCol w:w="755"/>
      </w:tblGrid>
      <w:tr w:rsidR="00BD768D" w14:paraId="431D3579" w14:textId="77777777" w:rsidTr="00BD768D">
        <w:trPr>
          <w:trHeight w:val="359"/>
          <w:tblHeader/>
        </w:trPr>
        <w:tc>
          <w:tcPr>
            <w:tcW w:w="1040" w:type="dxa"/>
            <w:vMerge w:val="restart"/>
            <w:shd w:val="clear" w:color="auto" w:fill="D9D9D9"/>
          </w:tcPr>
          <w:p w14:paraId="69458352" w14:textId="77777777" w:rsidR="00BD768D" w:rsidRDefault="00BD768D" w:rsidP="00ED7B8C">
            <w:pPr>
              <w:autoSpaceDE w:val="0"/>
              <w:autoSpaceDN w:val="0"/>
              <w:adjustRightInd w:val="0"/>
              <w:spacing w:line="360" w:lineRule="auto"/>
              <w:rPr>
                <w:rFonts w:ascii="Segoe UI" w:hAnsi="Segoe UI" w:cs="Segoe UI"/>
                <w:b/>
                <w:bCs/>
                <w:color w:val="000000"/>
                <w:sz w:val="18"/>
                <w:szCs w:val="18"/>
              </w:rPr>
            </w:pPr>
            <w:r>
              <w:rPr>
                <w:rFonts w:ascii="Segoe UI" w:hAnsi="Segoe UI" w:cs="Segoe UI"/>
                <w:b/>
                <w:bCs/>
                <w:color w:val="000000"/>
                <w:sz w:val="18"/>
                <w:szCs w:val="18"/>
              </w:rPr>
              <w:t>Holdback</w:t>
            </w:r>
          </w:p>
        </w:tc>
        <w:tc>
          <w:tcPr>
            <w:tcW w:w="3305" w:type="dxa"/>
            <w:vMerge w:val="restart"/>
            <w:shd w:val="clear" w:color="auto" w:fill="D9D9D9"/>
          </w:tcPr>
          <w:p w14:paraId="2ACBDFCB" w14:textId="77777777" w:rsidR="00BD768D" w:rsidRDefault="00BD768D" w:rsidP="00ED7B8C">
            <w:pPr>
              <w:autoSpaceDE w:val="0"/>
              <w:autoSpaceDN w:val="0"/>
              <w:adjustRightInd w:val="0"/>
              <w:spacing w:line="360" w:lineRule="auto"/>
              <w:rPr>
                <w:rFonts w:ascii="Segoe UI" w:hAnsi="Segoe UI" w:cs="Segoe UI"/>
                <w:b/>
                <w:bCs/>
                <w:color w:val="000000"/>
                <w:sz w:val="18"/>
                <w:szCs w:val="18"/>
              </w:rPr>
            </w:pPr>
            <w:r>
              <w:rPr>
                <w:rFonts w:ascii="Segoe UI" w:hAnsi="Segoe UI" w:cs="Segoe UI"/>
                <w:b/>
                <w:bCs/>
                <w:color w:val="000000"/>
                <w:sz w:val="18"/>
                <w:szCs w:val="18"/>
              </w:rPr>
              <w:t>Predictor</w:t>
            </w:r>
          </w:p>
        </w:tc>
        <w:tc>
          <w:tcPr>
            <w:tcW w:w="1505" w:type="dxa"/>
            <w:vMerge w:val="restart"/>
            <w:shd w:val="clear" w:color="auto" w:fill="D9D9D9"/>
          </w:tcPr>
          <w:p w14:paraId="6A554403" w14:textId="77777777" w:rsidR="00BD768D" w:rsidRDefault="00BD768D" w:rsidP="00ED7B8C">
            <w:pPr>
              <w:autoSpaceDE w:val="0"/>
              <w:autoSpaceDN w:val="0"/>
              <w:adjustRightInd w:val="0"/>
              <w:spacing w:line="360" w:lineRule="auto"/>
              <w:rPr>
                <w:rFonts w:ascii="Segoe UI" w:hAnsi="Segoe UI" w:cs="Segoe UI"/>
                <w:b/>
                <w:bCs/>
                <w:color w:val="000000"/>
                <w:sz w:val="18"/>
                <w:szCs w:val="18"/>
              </w:rPr>
            </w:pPr>
            <w:r>
              <w:rPr>
                <w:rFonts w:ascii="Segoe UI" w:hAnsi="Segoe UI" w:cs="Segoe UI"/>
                <w:b/>
                <w:bCs/>
                <w:color w:val="000000"/>
                <w:sz w:val="18"/>
                <w:szCs w:val="18"/>
              </w:rPr>
              <w:t>Creator</w:t>
            </w:r>
          </w:p>
        </w:tc>
        <w:tc>
          <w:tcPr>
            <w:tcW w:w="1070" w:type="dxa"/>
            <w:vMerge w:val="restart"/>
            <w:shd w:val="clear" w:color="auto" w:fill="D9D9D9"/>
          </w:tcPr>
          <w:p w14:paraId="641F1C0D" w14:textId="77777777" w:rsidR="00BD768D" w:rsidRDefault="00BD768D" w:rsidP="00ED7B8C">
            <w:pPr>
              <w:autoSpaceDE w:val="0"/>
              <w:autoSpaceDN w:val="0"/>
              <w:adjustRightInd w:val="0"/>
              <w:spacing w:line="360" w:lineRule="auto"/>
              <w:rPr>
                <w:rFonts w:ascii="Segoe UI" w:hAnsi="Segoe UI" w:cs="Segoe UI"/>
                <w:b/>
                <w:bCs/>
                <w:color w:val="000000"/>
                <w:sz w:val="18"/>
                <w:szCs w:val="18"/>
              </w:rPr>
            </w:pPr>
          </w:p>
        </w:tc>
        <w:tc>
          <w:tcPr>
            <w:tcW w:w="935" w:type="dxa"/>
            <w:vMerge w:val="restart"/>
            <w:shd w:val="clear" w:color="auto" w:fill="D9D9D9"/>
          </w:tcPr>
          <w:p w14:paraId="18840D52" w14:textId="77777777" w:rsidR="00BD768D" w:rsidRDefault="00BD768D" w:rsidP="00ED7B8C">
            <w:pPr>
              <w:autoSpaceDE w:val="0"/>
              <w:autoSpaceDN w:val="0"/>
              <w:adjustRightInd w:val="0"/>
              <w:spacing w:line="360" w:lineRule="auto"/>
              <w:jc w:val="right"/>
              <w:rPr>
                <w:rFonts w:ascii="Segoe UI" w:hAnsi="Segoe UI" w:cs="Segoe UI"/>
                <w:b/>
                <w:bCs/>
                <w:color w:val="000000"/>
                <w:sz w:val="18"/>
                <w:szCs w:val="18"/>
              </w:rPr>
            </w:pPr>
            <w:r>
              <w:rPr>
                <w:rFonts w:ascii="Segoe UI" w:hAnsi="Segoe UI" w:cs="Segoe UI"/>
                <w:b/>
                <w:bCs/>
                <w:color w:val="000000"/>
                <w:sz w:val="18"/>
                <w:szCs w:val="18"/>
              </w:rPr>
              <w:t>RSquare</w:t>
            </w:r>
          </w:p>
        </w:tc>
        <w:tc>
          <w:tcPr>
            <w:tcW w:w="755" w:type="dxa"/>
            <w:vMerge w:val="restart"/>
            <w:shd w:val="clear" w:color="auto" w:fill="D9D9D9"/>
          </w:tcPr>
          <w:p w14:paraId="1CFFBA2A" w14:textId="77777777" w:rsidR="00BD768D" w:rsidRDefault="00BD768D" w:rsidP="00ED7B8C">
            <w:pPr>
              <w:autoSpaceDE w:val="0"/>
              <w:autoSpaceDN w:val="0"/>
              <w:adjustRightInd w:val="0"/>
              <w:spacing w:line="360" w:lineRule="auto"/>
              <w:jc w:val="right"/>
              <w:rPr>
                <w:rFonts w:ascii="Segoe UI" w:hAnsi="Segoe UI" w:cs="Segoe UI"/>
                <w:b/>
                <w:bCs/>
                <w:color w:val="000000"/>
                <w:sz w:val="18"/>
                <w:szCs w:val="18"/>
              </w:rPr>
            </w:pPr>
            <w:r>
              <w:rPr>
                <w:rFonts w:ascii="Segoe UI" w:hAnsi="Segoe UI" w:cs="Segoe UI"/>
                <w:b/>
                <w:bCs/>
                <w:color w:val="000000"/>
                <w:sz w:val="18"/>
                <w:szCs w:val="18"/>
              </w:rPr>
              <w:t>RASE</w:t>
            </w:r>
          </w:p>
        </w:tc>
        <w:tc>
          <w:tcPr>
            <w:tcW w:w="755" w:type="dxa"/>
            <w:vMerge w:val="restart"/>
            <w:shd w:val="clear" w:color="auto" w:fill="D9D9D9"/>
          </w:tcPr>
          <w:p w14:paraId="199599A7" w14:textId="77777777" w:rsidR="00BD768D" w:rsidRDefault="00BD768D" w:rsidP="00ED7B8C">
            <w:pPr>
              <w:autoSpaceDE w:val="0"/>
              <w:autoSpaceDN w:val="0"/>
              <w:adjustRightInd w:val="0"/>
              <w:spacing w:line="360" w:lineRule="auto"/>
              <w:jc w:val="right"/>
              <w:rPr>
                <w:rFonts w:ascii="Segoe UI" w:hAnsi="Segoe UI" w:cs="Segoe UI"/>
                <w:b/>
                <w:bCs/>
                <w:color w:val="000000"/>
                <w:sz w:val="18"/>
                <w:szCs w:val="18"/>
              </w:rPr>
            </w:pPr>
            <w:r>
              <w:rPr>
                <w:rFonts w:ascii="Segoe UI" w:hAnsi="Segoe UI" w:cs="Segoe UI"/>
                <w:b/>
                <w:bCs/>
                <w:color w:val="000000"/>
                <w:sz w:val="18"/>
                <w:szCs w:val="18"/>
              </w:rPr>
              <w:t>AAE</w:t>
            </w:r>
          </w:p>
        </w:tc>
        <w:tc>
          <w:tcPr>
            <w:tcW w:w="755" w:type="dxa"/>
            <w:vMerge w:val="restart"/>
            <w:shd w:val="clear" w:color="auto" w:fill="D9D9D9"/>
          </w:tcPr>
          <w:p w14:paraId="1B345E95" w14:textId="77777777" w:rsidR="00BD768D" w:rsidRDefault="00BD768D" w:rsidP="00ED7B8C">
            <w:pPr>
              <w:autoSpaceDE w:val="0"/>
              <w:autoSpaceDN w:val="0"/>
              <w:adjustRightInd w:val="0"/>
              <w:spacing w:line="360" w:lineRule="auto"/>
              <w:jc w:val="right"/>
              <w:rPr>
                <w:rFonts w:ascii="Segoe UI" w:hAnsi="Segoe UI" w:cs="Segoe UI"/>
                <w:b/>
                <w:bCs/>
                <w:color w:val="000000"/>
                <w:sz w:val="18"/>
                <w:szCs w:val="18"/>
              </w:rPr>
            </w:pPr>
            <w:r>
              <w:rPr>
                <w:rFonts w:ascii="Segoe UI" w:hAnsi="Segoe UI" w:cs="Segoe UI"/>
                <w:b/>
                <w:bCs/>
                <w:color w:val="000000"/>
                <w:sz w:val="18"/>
                <w:szCs w:val="18"/>
              </w:rPr>
              <w:t>Freq</w:t>
            </w:r>
          </w:p>
        </w:tc>
      </w:tr>
      <w:tr w:rsidR="00BD768D" w14:paraId="050E5310" w14:textId="77777777" w:rsidTr="00BD768D">
        <w:trPr>
          <w:trHeight w:val="359"/>
        </w:trPr>
        <w:tc>
          <w:tcPr>
            <w:tcW w:w="1040" w:type="dxa"/>
            <w:vMerge w:val="restart"/>
          </w:tcPr>
          <w:p w14:paraId="52993767"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0</w:t>
            </w:r>
          </w:p>
        </w:tc>
        <w:tc>
          <w:tcPr>
            <w:tcW w:w="3305" w:type="dxa"/>
            <w:vMerge w:val="restart"/>
          </w:tcPr>
          <w:p w14:paraId="5AEF3917"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Pred Formula RUSO OLS</w:t>
            </w:r>
          </w:p>
        </w:tc>
        <w:tc>
          <w:tcPr>
            <w:tcW w:w="1505" w:type="dxa"/>
            <w:vMerge w:val="restart"/>
          </w:tcPr>
          <w:p w14:paraId="266E1CEB"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Fit Least Squares</w:t>
            </w:r>
          </w:p>
        </w:tc>
        <w:tc>
          <w:tcPr>
            <w:tcW w:w="1070" w:type="dxa"/>
            <w:vMerge w:val="restart"/>
          </w:tcPr>
          <w:p w14:paraId="69583CFC" w14:textId="51565BC3"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577DADE" wp14:editId="2ED58B86">
                  <wp:extent cx="518160" cy="1295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 cy="129540"/>
                          </a:xfrm>
                          <a:prstGeom prst="rect">
                            <a:avLst/>
                          </a:prstGeom>
                          <a:noFill/>
                          <a:ln>
                            <a:noFill/>
                          </a:ln>
                        </pic:spPr>
                      </pic:pic>
                    </a:graphicData>
                  </a:graphic>
                </wp:inline>
              </w:drawing>
            </w:r>
          </w:p>
        </w:tc>
        <w:tc>
          <w:tcPr>
            <w:tcW w:w="935" w:type="dxa"/>
            <w:vMerge w:val="restart"/>
          </w:tcPr>
          <w:p w14:paraId="792872AD"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0.7064</w:t>
            </w:r>
          </w:p>
        </w:tc>
        <w:tc>
          <w:tcPr>
            <w:tcW w:w="755" w:type="dxa"/>
            <w:vMerge w:val="restart"/>
          </w:tcPr>
          <w:p w14:paraId="1FC43C9A"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0.0280</w:t>
            </w:r>
          </w:p>
        </w:tc>
        <w:tc>
          <w:tcPr>
            <w:tcW w:w="755" w:type="dxa"/>
            <w:vMerge w:val="restart"/>
          </w:tcPr>
          <w:p w14:paraId="4655AD32"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0.0201</w:t>
            </w:r>
          </w:p>
        </w:tc>
        <w:tc>
          <w:tcPr>
            <w:tcW w:w="755" w:type="dxa"/>
            <w:vMerge w:val="restart"/>
          </w:tcPr>
          <w:p w14:paraId="5FE23B6B"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193</w:t>
            </w:r>
          </w:p>
        </w:tc>
      </w:tr>
      <w:tr w:rsidR="00BD768D" w14:paraId="7D6C6AEA" w14:textId="77777777" w:rsidTr="00BD768D">
        <w:trPr>
          <w:trHeight w:val="359"/>
        </w:trPr>
        <w:tc>
          <w:tcPr>
            <w:tcW w:w="1040" w:type="dxa"/>
            <w:vMerge w:val="restart"/>
          </w:tcPr>
          <w:p w14:paraId="11954277"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0</w:t>
            </w:r>
          </w:p>
        </w:tc>
        <w:tc>
          <w:tcPr>
            <w:tcW w:w="3305" w:type="dxa"/>
            <w:vMerge w:val="restart"/>
          </w:tcPr>
          <w:p w14:paraId="262384CE"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Pred Formula RUSO Stepwise Backward</w:t>
            </w:r>
          </w:p>
        </w:tc>
        <w:tc>
          <w:tcPr>
            <w:tcW w:w="1505" w:type="dxa"/>
            <w:vMerge w:val="restart"/>
          </w:tcPr>
          <w:p w14:paraId="3BAAA7CE"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Fit Least Squares</w:t>
            </w:r>
          </w:p>
        </w:tc>
        <w:tc>
          <w:tcPr>
            <w:tcW w:w="1070" w:type="dxa"/>
            <w:vMerge w:val="restart"/>
          </w:tcPr>
          <w:p w14:paraId="1CF462EE" w14:textId="2C6BF042"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21473EE" wp14:editId="759D3E4C">
                  <wp:extent cx="518160" cy="1295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 cy="129540"/>
                          </a:xfrm>
                          <a:prstGeom prst="rect">
                            <a:avLst/>
                          </a:prstGeom>
                          <a:noFill/>
                          <a:ln>
                            <a:noFill/>
                          </a:ln>
                        </pic:spPr>
                      </pic:pic>
                    </a:graphicData>
                  </a:graphic>
                </wp:inline>
              </w:drawing>
            </w:r>
          </w:p>
        </w:tc>
        <w:tc>
          <w:tcPr>
            <w:tcW w:w="935" w:type="dxa"/>
            <w:vMerge w:val="restart"/>
          </w:tcPr>
          <w:p w14:paraId="6683F6D0"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0.7064</w:t>
            </w:r>
          </w:p>
        </w:tc>
        <w:tc>
          <w:tcPr>
            <w:tcW w:w="755" w:type="dxa"/>
            <w:vMerge w:val="restart"/>
          </w:tcPr>
          <w:p w14:paraId="6FA065CC"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0.0280</w:t>
            </w:r>
          </w:p>
        </w:tc>
        <w:tc>
          <w:tcPr>
            <w:tcW w:w="755" w:type="dxa"/>
            <w:vMerge w:val="restart"/>
          </w:tcPr>
          <w:p w14:paraId="776E33F3"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0.0200</w:t>
            </w:r>
          </w:p>
        </w:tc>
        <w:tc>
          <w:tcPr>
            <w:tcW w:w="755" w:type="dxa"/>
            <w:vMerge w:val="restart"/>
          </w:tcPr>
          <w:p w14:paraId="59CBE065"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193</w:t>
            </w:r>
          </w:p>
        </w:tc>
      </w:tr>
      <w:tr w:rsidR="00BD768D" w14:paraId="65C8F848" w14:textId="77777777" w:rsidTr="00BD768D">
        <w:trPr>
          <w:trHeight w:val="359"/>
        </w:trPr>
        <w:tc>
          <w:tcPr>
            <w:tcW w:w="1040" w:type="dxa"/>
            <w:vMerge w:val="restart"/>
          </w:tcPr>
          <w:p w14:paraId="434E863F"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0</w:t>
            </w:r>
          </w:p>
        </w:tc>
        <w:tc>
          <w:tcPr>
            <w:tcW w:w="3305" w:type="dxa"/>
            <w:vMerge w:val="restart"/>
          </w:tcPr>
          <w:p w14:paraId="368106D0"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Pred Formula RUSO Stepwise Forward</w:t>
            </w:r>
          </w:p>
        </w:tc>
        <w:tc>
          <w:tcPr>
            <w:tcW w:w="1505" w:type="dxa"/>
            <w:vMerge w:val="restart"/>
          </w:tcPr>
          <w:p w14:paraId="0EEF30EF"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Fit Least Squares</w:t>
            </w:r>
          </w:p>
        </w:tc>
        <w:tc>
          <w:tcPr>
            <w:tcW w:w="1070" w:type="dxa"/>
            <w:vMerge w:val="restart"/>
          </w:tcPr>
          <w:p w14:paraId="0934EC5C" w14:textId="2B9CD7F4"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5B03FEA" wp14:editId="34513CF8">
                  <wp:extent cx="518160" cy="129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 cy="129540"/>
                          </a:xfrm>
                          <a:prstGeom prst="rect">
                            <a:avLst/>
                          </a:prstGeom>
                          <a:noFill/>
                          <a:ln>
                            <a:noFill/>
                          </a:ln>
                        </pic:spPr>
                      </pic:pic>
                    </a:graphicData>
                  </a:graphic>
                </wp:inline>
              </w:drawing>
            </w:r>
          </w:p>
        </w:tc>
        <w:tc>
          <w:tcPr>
            <w:tcW w:w="935" w:type="dxa"/>
            <w:vMerge w:val="restart"/>
          </w:tcPr>
          <w:p w14:paraId="4E5C4D5A"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0.3134</w:t>
            </w:r>
          </w:p>
        </w:tc>
        <w:tc>
          <w:tcPr>
            <w:tcW w:w="755" w:type="dxa"/>
            <w:vMerge w:val="restart"/>
          </w:tcPr>
          <w:p w14:paraId="46105DEC"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0.0427</w:t>
            </w:r>
          </w:p>
        </w:tc>
        <w:tc>
          <w:tcPr>
            <w:tcW w:w="755" w:type="dxa"/>
            <w:vMerge w:val="restart"/>
          </w:tcPr>
          <w:p w14:paraId="7CEFF39B"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0.0259</w:t>
            </w:r>
          </w:p>
        </w:tc>
        <w:tc>
          <w:tcPr>
            <w:tcW w:w="755" w:type="dxa"/>
            <w:vMerge w:val="restart"/>
          </w:tcPr>
          <w:p w14:paraId="1C618F73"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194</w:t>
            </w:r>
          </w:p>
        </w:tc>
      </w:tr>
      <w:tr w:rsidR="00BD768D" w14:paraId="38833A43" w14:textId="77777777" w:rsidTr="00BD768D">
        <w:trPr>
          <w:trHeight w:val="359"/>
        </w:trPr>
        <w:tc>
          <w:tcPr>
            <w:tcW w:w="1040" w:type="dxa"/>
            <w:vMerge w:val="restart"/>
          </w:tcPr>
          <w:p w14:paraId="69E9C343"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1</w:t>
            </w:r>
          </w:p>
        </w:tc>
        <w:tc>
          <w:tcPr>
            <w:tcW w:w="3305" w:type="dxa"/>
            <w:vMerge w:val="restart"/>
          </w:tcPr>
          <w:p w14:paraId="47F4CAC4"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Pred Formula RUSO OLS</w:t>
            </w:r>
          </w:p>
        </w:tc>
        <w:tc>
          <w:tcPr>
            <w:tcW w:w="1505" w:type="dxa"/>
            <w:vMerge w:val="restart"/>
          </w:tcPr>
          <w:p w14:paraId="15138A7C"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Fit Least Squares</w:t>
            </w:r>
          </w:p>
        </w:tc>
        <w:tc>
          <w:tcPr>
            <w:tcW w:w="1070" w:type="dxa"/>
            <w:vMerge w:val="restart"/>
          </w:tcPr>
          <w:p w14:paraId="29B48340" w14:textId="73B4B53A"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590AE4D" wp14:editId="369E5878">
                  <wp:extent cx="518160" cy="129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 cy="129540"/>
                          </a:xfrm>
                          <a:prstGeom prst="rect">
                            <a:avLst/>
                          </a:prstGeom>
                          <a:noFill/>
                          <a:ln>
                            <a:noFill/>
                          </a:ln>
                        </pic:spPr>
                      </pic:pic>
                    </a:graphicData>
                  </a:graphic>
                </wp:inline>
              </w:drawing>
            </w:r>
          </w:p>
        </w:tc>
        <w:tc>
          <w:tcPr>
            <w:tcW w:w="935" w:type="dxa"/>
            <w:vMerge w:val="restart"/>
          </w:tcPr>
          <w:p w14:paraId="0D1BFDAD"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 xml:space="preserve"> -1.244</w:t>
            </w:r>
          </w:p>
        </w:tc>
        <w:tc>
          <w:tcPr>
            <w:tcW w:w="755" w:type="dxa"/>
            <w:vMerge w:val="restart"/>
          </w:tcPr>
          <w:p w14:paraId="05DF9E02"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0.0295</w:t>
            </w:r>
          </w:p>
        </w:tc>
        <w:tc>
          <w:tcPr>
            <w:tcW w:w="755" w:type="dxa"/>
            <w:vMerge w:val="restart"/>
          </w:tcPr>
          <w:p w14:paraId="6EBD6321"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0.0242</w:t>
            </w:r>
          </w:p>
        </w:tc>
        <w:tc>
          <w:tcPr>
            <w:tcW w:w="755" w:type="dxa"/>
            <w:vMerge w:val="restart"/>
          </w:tcPr>
          <w:p w14:paraId="7290CFDD"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65</w:t>
            </w:r>
          </w:p>
        </w:tc>
      </w:tr>
      <w:tr w:rsidR="00BD768D" w14:paraId="6B334FDE" w14:textId="77777777" w:rsidTr="00BD768D">
        <w:trPr>
          <w:trHeight w:val="359"/>
        </w:trPr>
        <w:tc>
          <w:tcPr>
            <w:tcW w:w="1040" w:type="dxa"/>
            <w:vMerge w:val="restart"/>
          </w:tcPr>
          <w:p w14:paraId="1D5EE240"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1</w:t>
            </w:r>
          </w:p>
        </w:tc>
        <w:tc>
          <w:tcPr>
            <w:tcW w:w="3305" w:type="dxa"/>
            <w:vMerge w:val="restart"/>
          </w:tcPr>
          <w:p w14:paraId="5C1A76C8"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Pred Formula RUSO Stepwise Backward</w:t>
            </w:r>
          </w:p>
        </w:tc>
        <w:tc>
          <w:tcPr>
            <w:tcW w:w="1505" w:type="dxa"/>
            <w:vMerge w:val="restart"/>
          </w:tcPr>
          <w:p w14:paraId="7E4BC612"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Fit Least Squares</w:t>
            </w:r>
          </w:p>
        </w:tc>
        <w:tc>
          <w:tcPr>
            <w:tcW w:w="1070" w:type="dxa"/>
            <w:vMerge w:val="restart"/>
          </w:tcPr>
          <w:p w14:paraId="3BFAA490" w14:textId="73225DE3"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A7BA5F3" wp14:editId="197330C3">
                  <wp:extent cx="518160" cy="129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 cy="129540"/>
                          </a:xfrm>
                          <a:prstGeom prst="rect">
                            <a:avLst/>
                          </a:prstGeom>
                          <a:noFill/>
                          <a:ln>
                            <a:noFill/>
                          </a:ln>
                        </pic:spPr>
                      </pic:pic>
                    </a:graphicData>
                  </a:graphic>
                </wp:inline>
              </w:drawing>
            </w:r>
          </w:p>
        </w:tc>
        <w:tc>
          <w:tcPr>
            <w:tcW w:w="935" w:type="dxa"/>
            <w:vMerge w:val="restart"/>
          </w:tcPr>
          <w:p w14:paraId="19880441"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 xml:space="preserve"> -1.234</w:t>
            </w:r>
          </w:p>
        </w:tc>
        <w:tc>
          <w:tcPr>
            <w:tcW w:w="755" w:type="dxa"/>
            <w:vMerge w:val="restart"/>
          </w:tcPr>
          <w:p w14:paraId="1217E039"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0.0294</w:t>
            </w:r>
          </w:p>
        </w:tc>
        <w:tc>
          <w:tcPr>
            <w:tcW w:w="755" w:type="dxa"/>
            <w:vMerge w:val="restart"/>
          </w:tcPr>
          <w:p w14:paraId="39019D6F"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0.0242</w:t>
            </w:r>
          </w:p>
        </w:tc>
        <w:tc>
          <w:tcPr>
            <w:tcW w:w="755" w:type="dxa"/>
            <w:vMerge w:val="restart"/>
          </w:tcPr>
          <w:p w14:paraId="0E01840B"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65</w:t>
            </w:r>
          </w:p>
        </w:tc>
      </w:tr>
      <w:tr w:rsidR="00BD768D" w14:paraId="745AA121" w14:textId="77777777" w:rsidTr="00BD768D">
        <w:trPr>
          <w:trHeight w:val="359"/>
        </w:trPr>
        <w:tc>
          <w:tcPr>
            <w:tcW w:w="1040" w:type="dxa"/>
            <w:vMerge w:val="restart"/>
          </w:tcPr>
          <w:p w14:paraId="2A8BE87E"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1</w:t>
            </w:r>
          </w:p>
        </w:tc>
        <w:tc>
          <w:tcPr>
            <w:tcW w:w="3305" w:type="dxa"/>
            <w:vMerge w:val="restart"/>
          </w:tcPr>
          <w:p w14:paraId="5462F287"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Pred Formula RUSO Stepwise Forward</w:t>
            </w:r>
          </w:p>
        </w:tc>
        <w:tc>
          <w:tcPr>
            <w:tcW w:w="1505" w:type="dxa"/>
            <w:vMerge w:val="restart"/>
          </w:tcPr>
          <w:p w14:paraId="72FF0D31"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Fit Least Squares</w:t>
            </w:r>
          </w:p>
        </w:tc>
        <w:tc>
          <w:tcPr>
            <w:tcW w:w="1070" w:type="dxa"/>
            <w:vMerge w:val="restart"/>
          </w:tcPr>
          <w:p w14:paraId="3DA9FD13" w14:textId="79055989"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49A3D5D" wp14:editId="2C775505">
                  <wp:extent cx="518160" cy="129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 cy="129540"/>
                          </a:xfrm>
                          <a:prstGeom prst="rect">
                            <a:avLst/>
                          </a:prstGeom>
                          <a:noFill/>
                          <a:ln>
                            <a:noFill/>
                          </a:ln>
                        </pic:spPr>
                      </pic:pic>
                    </a:graphicData>
                  </a:graphic>
                </wp:inline>
              </w:drawing>
            </w:r>
          </w:p>
        </w:tc>
        <w:tc>
          <w:tcPr>
            <w:tcW w:w="935" w:type="dxa"/>
            <w:vMerge w:val="restart"/>
          </w:tcPr>
          <w:p w14:paraId="3D5E8783"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0.1112</w:t>
            </w:r>
          </w:p>
        </w:tc>
        <w:tc>
          <w:tcPr>
            <w:tcW w:w="755" w:type="dxa"/>
            <w:vMerge w:val="restart"/>
          </w:tcPr>
          <w:p w14:paraId="6E817C9C"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0.0185</w:t>
            </w:r>
          </w:p>
        </w:tc>
        <w:tc>
          <w:tcPr>
            <w:tcW w:w="755" w:type="dxa"/>
            <w:vMerge w:val="restart"/>
          </w:tcPr>
          <w:p w14:paraId="78966C92"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0.0148</w:t>
            </w:r>
          </w:p>
        </w:tc>
        <w:tc>
          <w:tcPr>
            <w:tcW w:w="755" w:type="dxa"/>
            <w:vMerge w:val="restart"/>
          </w:tcPr>
          <w:p w14:paraId="3DD01FA4"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65</w:t>
            </w:r>
          </w:p>
        </w:tc>
      </w:tr>
      <w:tr w:rsidR="00BD768D" w14:paraId="29624FBF" w14:textId="77777777" w:rsidTr="00BD768D">
        <w:trPr>
          <w:trHeight w:val="359"/>
        </w:trPr>
        <w:tc>
          <w:tcPr>
            <w:tcW w:w="1040" w:type="dxa"/>
            <w:vMerge w:val="restart"/>
          </w:tcPr>
          <w:p w14:paraId="53E464ED"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2</w:t>
            </w:r>
          </w:p>
        </w:tc>
        <w:tc>
          <w:tcPr>
            <w:tcW w:w="3305" w:type="dxa"/>
            <w:vMerge w:val="restart"/>
          </w:tcPr>
          <w:p w14:paraId="7C00AE56"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Pred Formula RUSO OLS</w:t>
            </w:r>
          </w:p>
        </w:tc>
        <w:tc>
          <w:tcPr>
            <w:tcW w:w="1505" w:type="dxa"/>
            <w:vMerge w:val="restart"/>
          </w:tcPr>
          <w:p w14:paraId="412D1C11"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Fit Least Squares</w:t>
            </w:r>
          </w:p>
        </w:tc>
        <w:tc>
          <w:tcPr>
            <w:tcW w:w="1070" w:type="dxa"/>
            <w:vMerge w:val="restart"/>
          </w:tcPr>
          <w:p w14:paraId="7A9A97B5" w14:textId="0229DB78"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C30C359" wp14:editId="7E1B8E2A">
                  <wp:extent cx="518160" cy="129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 cy="129540"/>
                          </a:xfrm>
                          <a:prstGeom prst="rect">
                            <a:avLst/>
                          </a:prstGeom>
                          <a:noFill/>
                          <a:ln>
                            <a:noFill/>
                          </a:ln>
                        </pic:spPr>
                      </pic:pic>
                    </a:graphicData>
                  </a:graphic>
                </wp:inline>
              </w:drawing>
            </w:r>
          </w:p>
        </w:tc>
        <w:tc>
          <w:tcPr>
            <w:tcW w:w="935" w:type="dxa"/>
            <w:vMerge w:val="restart"/>
          </w:tcPr>
          <w:p w14:paraId="17BAEB4D"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 xml:space="preserve"> -0.908</w:t>
            </w:r>
          </w:p>
        </w:tc>
        <w:tc>
          <w:tcPr>
            <w:tcW w:w="755" w:type="dxa"/>
            <w:vMerge w:val="restart"/>
          </w:tcPr>
          <w:p w14:paraId="78E195DA"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0.0311</w:t>
            </w:r>
          </w:p>
        </w:tc>
        <w:tc>
          <w:tcPr>
            <w:tcW w:w="755" w:type="dxa"/>
            <w:vMerge w:val="restart"/>
          </w:tcPr>
          <w:p w14:paraId="013EC4D6"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0.0240</w:t>
            </w:r>
          </w:p>
        </w:tc>
        <w:tc>
          <w:tcPr>
            <w:tcW w:w="755" w:type="dxa"/>
            <w:vMerge w:val="restart"/>
          </w:tcPr>
          <w:p w14:paraId="6011E3F0"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67</w:t>
            </w:r>
          </w:p>
        </w:tc>
      </w:tr>
      <w:tr w:rsidR="00BD768D" w14:paraId="67614434" w14:textId="77777777" w:rsidTr="00BD768D">
        <w:trPr>
          <w:trHeight w:val="359"/>
        </w:trPr>
        <w:tc>
          <w:tcPr>
            <w:tcW w:w="1040" w:type="dxa"/>
            <w:vMerge w:val="restart"/>
          </w:tcPr>
          <w:p w14:paraId="3B9A245C"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2</w:t>
            </w:r>
          </w:p>
        </w:tc>
        <w:tc>
          <w:tcPr>
            <w:tcW w:w="3305" w:type="dxa"/>
            <w:vMerge w:val="restart"/>
          </w:tcPr>
          <w:p w14:paraId="2371AC53"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Pred Formula RUSO Stepwise Backward</w:t>
            </w:r>
          </w:p>
        </w:tc>
        <w:tc>
          <w:tcPr>
            <w:tcW w:w="1505" w:type="dxa"/>
            <w:vMerge w:val="restart"/>
          </w:tcPr>
          <w:p w14:paraId="5AECA9E4"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Fit Least Squares</w:t>
            </w:r>
          </w:p>
        </w:tc>
        <w:tc>
          <w:tcPr>
            <w:tcW w:w="1070" w:type="dxa"/>
            <w:vMerge w:val="restart"/>
          </w:tcPr>
          <w:p w14:paraId="443E8371" w14:textId="47180A20"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5C2E766" wp14:editId="3509769C">
                  <wp:extent cx="518160" cy="129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0" cy="129540"/>
                          </a:xfrm>
                          <a:prstGeom prst="rect">
                            <a:avLst/>
                          </a:prstGeom>
                          <a:noFill/>
                          <a:ln>
                            <a:noFill/>
                          </a:ln>
                        </pic:spPr>
                      </pic:pic>
                    </a:graphicData>
                  </a:graphic>
                </wp:inline>
              </w:drawing>
            </w:r>
          </w:p>
        </w:tc>
        <w:tc>
          <w:tcPr>
            <w:tcW w:w="935" w:type="dxa"/>
            <w:vMerge w:val="restart"/>
          </w:tcPr>
          <w:p w14:paraId="2D456A4E"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 xml:space="preserve"> -0.906</w:t>
            </w:r>
          </w:p>
        </w:tc>
        <w:tc>
          <w:tcPr>
            <w:tcW w:w="755" w:type="dxa"/>
            <w:vMerge w:val="restart"/>
          </w:tcPr>
          <w:p w14:paraId="5B0C0D86"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0.0311</w:t>
            </w:r>
          </w:p>
        </w:tc>
        <w:tc>
          <w:tcPr>
            <w:tcW w:w="755" w:type="dxa"/>
            <w:vMerge w:val="restart"/>
          </w:tcPr>
          <w:p w14:paraId="786FA9B0"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0.0240</w:t>
            </w:r>
          </w:p>
        </w:tc>
        <w:tc>
          <w:tcPr>
            <w:tcW w:w="755" w:type="dxa"/>
            <w:vMerge w:val="restart"/>
          </w:tcPr>
          <w:p w14:paraId="6ECDC73C"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67</w:t>
            </w:r>
          </w:p>
        </w:tc>
      </w:tr>
      <w:tr w:rsidR="00BD768D" w14:paraId="7060C10B" w14:textId="77777777" w:rsidTr="00BD768D">
        <w:trPr>
          <w:trHeight w:val="239"/>
        </w:trPr>
        <w:tc>
          <w:tcPr>
            <w:tcW w:w="1040" w:type="dxa"/>
          </w:tcPr>
          <w:p w14:paraId="19825F07"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2</w:t>
            </w:r>
          </w:p>
        </w:tc>
        <w:tc>
          <w:tcPr>
            <w:tcW w:w="3305" w:type="dxa"/>
          </w:tcPr>
          <w:p w14:paraId="398444BE"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Pred Formula RUSO Stepwise Forward</w:t>
            </w:r>
          </w:p>
        </w:tc>
        <w:tc>
          <w:tcPr>
            <w:tcW w:w="1505" w:type="dxa"/>
          </w:tcPr>
          <w:p w14:paraId="224E0584" w14:textId="77777777"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color w:val="000000"/>
                <w:sz w:val="18"/>
                <w:szCs w:val="18"/>
              </w:rPr>
              <w:t>Fit Least Squares</w:t>
            </w:r>
          </w:p>
        </w:tc>
        <w:tc>
          <w:tcPr>
            <w:tcW w:w="1070" w:type="dxa"/>
          </w:tcPr>
          <w:p w14:paraId="26366049" w14:textId="3184D0FD" w:rsidR="00BD768D" w:rsidRDefault="00BD768D" w:rsidP="00ED7B8C">
            <w:pPr>
              <w:autoSpaceDE w:val="0"/>
              <w:autoSpaceDN w:val="0"/>
              <w:adjustRightInd w:val="0"/>
              <w:spacing w:line="36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1342B7F" wp14:editId="28507427">
                  <wp:extent cx="518160" cy="129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60" cy="129540"/>
                          </a:xfrm>
                          <a:prstGeom prst="rect">
                            <a:avLst/>
                          </a:prstGeom>
                          <a:noFill/>
                          <a:ln>
                            <a:noFill/>
                          </a:ln>
                        </pic:spPr>
                      </pic:pic>
                    </a:graphicData>
                  </a:graphic>
                </wp:inline>
              </w:drawing>
            </w:r>
          </w:p>
        </w:tc>
        <w:tc>
          <w:tcPr>
            <w:tcW w:w="935" w:type="dxa"/>
          </w:tcPr>
          <w:p w14:paraId="0F18A75D"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0.3316</w:t>
            </w:r>
          </w:p>
        </w:tc>
        <w:tc>
          <w:tcPr>
            <w:tcW w:w="755" w:type="dxa"/>
          </w:tcPr>
          <w:p w14:paraId="3FD96244"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0.0184</w:t>
            </w:r>
          </w:p>
        </w:tc>
        <w:tc>
          <w:tcPr>
            <w:tcW w:w="755" w:type="dxa"/>
          </w:tcPr>
          <w:p w14:paraId="119BAF7C"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0.0150</w:t>
            </w:r>
          </w:p>
        </w:tc>
        <w:tc>
          <w:tcPr>
            <w:tcW w:w="755" w:type="dxa"/>
          </w:tcPr>
          <w:p w14:paraId="1CA7E74A" w14:textId="77777777" w:rsidR="00BD768D" w:rsidRDefault="00BD768D" w:rsidP="00ED7B8C">
            <w:pPr>
              <w:autoSpaceDE w:val="0"/>
              <w:autoSpaceDN w:val="0"/>
              <w:adjustRightInd w:val="0"/>
              <w:spacing w:line="360" w:lineRule="auto"/>
              <w:jc w:val="right"/>
              <w:rPr>
                <w:rFonts w:ascii="Segoe UI" w:hAnsi="Segoe UI" w:cs="Segoe UI"/>
                <w:color w:val="000000"/>
                <w:sz w:val="18"/>
                <w:szCs w:val="18"/>
              </w:rPr>
            </w:pPr>
            <w:r>
              <w:rPr>
                <w:rFonts w:ascii="Segoe UI" w:hAnsi="Segoe UI" w:cs="Segoe UI"/>
                <w:color w:val="000000"/>
                <w:sz w:val="18"/>
                <w:szCs w:val="18"/>
              </w:rPr>
              <w:t>67</w:t>
            </w:r>
          </w:p>
        </w:tc>
      </w:tr>
    </w:tbl>
    <w:p w14:paraId="0C1F4C75" w14:textId="50904DB9" w:rsidR="00BD768D" w:rsidRPr="00ED7B8C" w:rsidRDefault="00ED7B8C" w:rsidP="00ED7B8C">
      <w:pPr>
        <w:keepNext/>
        <w:autoSpaceDE w:val="0"/>
        <w:autoSpaceDN w:val="0"/>
        <w:adjustRightInd w:val="0"/>
        <w:spacing w:line="360" w:lineRule="auto"/>
        <w:rPr>
          <w:rFonts w:ascii="Segoe UI" w:hAnsi="Segoe UI" w:cs="Segoe UI"/>
          <w:color w:val="000000"/>
          <w:sz w:val="22"/>
          <w:szCs w:val="22"/>
        </w:rPr>
      </w:pPr>
      <w:r>
        <w:rPr>
          <w:rFonts w:ascii="Segoe UI" w:hAnsi="Segoe UI" w:cs="Segoe UI"/>
          <w:color w:val="000000"/>
          <w:sz w:val="22"/>
          <w:szCs w:val="22"/>
        </w:rPr>
        <w:br/>
        <w:t xml:space="preserve">The three models did not perform as uniformly with the Mid-Pandemic dataset.  The OLS and Stepwise Backward models performed quite well on the Training Set, both having an RSquare value of 0.7064.  The Stepwise Forward model did not perform as well on the Training Set.  </w:t>
      </w:r>
      <w:r w:rsidR="00211655">
        <w:rPr>
          <w:rFonts w:ascii="Segoe UI" w:hAnsi="Segoe UI" w:cs="Segoe UI"/>
          <w:color w:val="000000"/>
          <w:sz w:val="22"/>
          <w:szCs w:val="22"/>
        </w:rPr>
        <w:t>N</w:t>
      </w:r>
      <w:r>
        <w:rPr>
          <w:rFonts w:ascii="Segoe UI" w:hAnsi="Segoe UI" w:cs="Segoe UI"/>
          <w:color w:val="000000"/>
          <w:sz w:val="22"/>
          <w:szCs w:val="22"/>
        </w:rPr>
        <w:t xml:space="preserve">one of the models fared as well with the Validation Set.  </w:t>
      </w:r>
      <w:r w:rsidR="00283E09">
        <w:rPr>
          <w:rFonts w:ascii="Segoe UI" w:hAnsi="Segoe UI" w:cs="Segoe UI"/>
          <w:color w:val="000000"/>
          <w:sz w:val="22"/>
          <w:szCs w:val="22"/>
        </w:rPr>
        <w:t>The RASE and AAE metrics revealed a larger error in these predictions, ranging from 0.01 to 0.0</w:t>
      </w:r>
      <w:r w:rsidR="00211655">
        <w:rPr>
          <w:rFonts w:ascii="Segoe UI" w:hAnsi="Segoe UI" w:cs="Segoe UI"/>
          <w:color w:val="000000"/>
          <w:sz w:val="22"/>
          <w:szCs w:val="22"/>
        </w:rPr>
        <w:t>3</w:t>
      </w:r>
      <w:r w:rsidR="00283E09">
        <w:rPr>
          <w:rFonts w:ascii="Segoe UI" w:hAnsi="Segoe UI" w:cs="Segoe UI"/>
          <w:color w:val="000000"/>
          <w:sz w:val="22"/>
          <w:szCs w:val="22"/>
        </w:rPr>
        <w:t xml:space="preserve">.  </w:t>
      </w:r>
      <w:r>
        <w:rPr>
          <w:rFonts w:ascii="Segoe UI" w:hAnsi="Segoe UI" w:cs="Segoe UI"/>
          <w:color w:val="000000"/>
          <w:sz w:val="22"/>
          <w:szCs w:val="22"/>
        </w:rPr>
        <w:t xml:space="preserve">In the end, </w:t>
      </w:r>
      <w:r w:rsidR="00BD768D" w:rsidRPr="00BD768D">
        <w:rPr>
          <w:rFonts w:cstheme="minorHAnsi"/>
        </w:rPr>
        <w:t>Stepwise Forward Regression</w:t>
      </w:r>
      <w:r w:rsidR="00BD768D">
        <w:rPr>
          <w:rFonts w:cstheme="minorHAnsi"/>
        </w:rPr>
        <w:t xml:space="preserve"> </w:t>
      </w:r>
      <w:r w:rsidR="00413FA7">
        <w:rPr>
          <w:rFonts w:cstheme="minorHAnsi"/>
        </w:rPr>
        <w:t>proved to be the best model</w:t>
      </w:r>
      <w:r w:rsidR="00733F2E">
        <w:rPr>
          <w:rFonts w:cstheme="minorHAnsi"/>
        </w:rPr>
        <w:t xml:space="preserve"> in this case,</w:t>
      </w:r>
      <w:r w:rsidR="00093835">
        <w:rPr>
          <w:rFonts w:cstheme="minorHAnsi"/>
        </w:rPr>
        <w:t xml:space="preserve"> </w:t>
      </w:r>
      <w:r w:rsidR="00733F2E">
        <w:rPr>
          <w:rFonts w:cstheme="minorHAnsi"/>
        </w:rPr>
        <w:t xml:space="preserve">performing </w:t>
      </w:r>
      <w:r w:rsidR="00BD768D">
        <w:rPr>
          <w:rFonts w:cstheme="minorHAnsi"/>
        </w:rPr>
        <w:t xml:space="preserve">significantly better </w:t>
      </w:r>
      <w:r w:rsidR="00733F2E">
        <w:rPr>
          <w:rFonts w:cstheme="minorHAnsi"/>
        </w:rPr>
        <w:t xml:space="preserve">than the other two </w:t>
      </w:r>
      <w:r w:rsidR="00BD768D">
        <w:rPr>
          <w:rFonts w:cstheme="minorHAnsi"/>
        </w:rPr>
        <w:t xml:space="preserve">on the Mid-Pandemic </w:t>
      </w:r>
      <w:r w:rsidR="00413FA7">
        <w:rPr>
          <w:rFonts w:cstheme="minorHAnsi"/>
        </w:rPr>
        <w:t>Test S</w:t>
      </w:r>
      <w:r w:rsidR="00B92499">
        <w:rPr>
          <w:rFonts w:cstheme="minorHAnsi"/>
        </w:rPr>
        <w:t>et.</w:t>
      </w:r>
    </w:p>
    <w:p w14:paraId="4ACF520B" w14:textId="4E10C649" w:rsidR="004D2647" w:rsidRPr="001B2AF8" w:rsidRDefault="00F16718" w:rsidP="00ED7B8C">
      <w:pPr>
        <w:pStyle w:val="ListParagraph"/>
        <w:spacing w:before="100" w:line="360" w:lineRule="auto"/>
        <w:ind w:left="0"/>
        <w:jc w:val="center"/>
        <w:rPr>
          <w:rFonts w:asciiTheme="minorHAnsi" w:hAnsiTheme="minorHAnsi" w:cstheme="minorHAnsi"/>
          <w:b/>
          <w:bCs/>
          <w:szCs w:val="24"/>
          <w:u w:val="single"/>
        </w:rPr>
      </w:pPr>
      <w:r w:rsidRPr="001B2AF8">
        <w:rPr>
          <w:rFonts w:asciiTheme="minorHAnsi" w:hAnsiTheme="minorHAnsi" w:cstheme="minorHAnsi"/>
          <w:b/>
          <w:bCs/>
          <w:szCs w:val="24"/>
          <w:u w:val="single"/>
        </w:rPr>
        <w:t>Interpretation</w:t>
      </w:r>
    </w:p>
    <w:p w14:paraId="7DC39608" w14:textId="2FA87DFC" w:rsidR="006F09C1" w:rsidRDefault="0071388A" w:rsidP="00ED7B8C">
      <w:pPr>
        <w:pStyle w:val="ListParagraph"/>
        <w:spacing w:before="100" w:line="360" w:lineRule="auto"/>
        <w:ind w:left="0"/>
        <w:rPr>
          <w:rFonts w:asciiTheme="minorHAnsi" w:hAnsiTheme="minorHAnsi" w:cstheme="minorHAnsi"/>
          <w:szCs w:val="24"/>
        </w:rPr>
      </w:pPr>
      <w:r w:rsidRPr="0071388A">
        <w:rPr>
          <w:rFonts w:asciiTheme="minorHAnsi" w:hAnsiTheme="minorHAnsi" w:cstheme="minorHAnsi"/>
          <w:szCs w:val="24"/>
        </w:rPr>
        <w:tab/>
      </w:r>
      <w:r w:rsidR="00B92499">
        <w:rPr>
          <w:rFonts w:asciiTheme="minorHAnsi" w:hAnsiTheme="minorHAnsi" w:cstheme="minorHAnsi"/>
          <w:szCs w:val="24"/>
        </w:rPr>
        <w:t>After choosing Stepwise Forward Regression as the model</w:t>
      </w:r>
      <w:r w:rsidR="00F17F17">
        <w:rPr>
          <w:rFonts w:asciiTheme="minorHAnsi" w:hAnsiTheme="minorHAnsi" w:cstheme="minorHAnsi"/>
          <w:szCs w:val="24"/>
        </w:rPr>
        <w:t xml:space="preserve"> for both datasets</w:t>
      </w:r>
      <w:r w:rsidR="00B92499">
        <w:rPr>
          <w:rFonts w:asciiTheme="minorHAnsi" w:hAnsiTheme="minorHAnsi" w:cstheme="minorHAnsi"/>
          <w:szCs w:val="24"/>
        </w:rPr>
        <w:t>,</w:t>
      </w:r>
      <w:r w:rsidR="00F17F17">
        <w:rPr>
          <w:rFonts w:asciiTheme="minorHAnsi" w:hAnsiTheme="minorHAnsi" w:cstheme="minorHAnsi"/>
          <w:szCs w:val="24"/>
        </w:rPr>
        <w:t xml:space="preserve"> variable importance analysis provided additional insights.  In the Pre-Covid dataset, a number of variables were shown to have an impact on the price of oil.  </w:t>
      </w:r>
      <w:r w:rsidR="006F09C1">
        <w:rPr>
          <w:rFonts w:asciiTheme="minorHAnsi" w:hAnsiTheme="minorHAnsi" w:cstheme="minorHAnsi"/>
          <w:szCs w:val="24"/>
        </w:rPr>
        <w:t>RXLE, RFXC, and RSPY were the top three predictor variables, with parameter estimates of 1.26, 0.99, and -1.59, respectively.</w:t>
      </w:r>
    </w:p>
    <w:p w14:paraId="2484174C" w14:textId="51A6F79A" w:rsidR="002B58E7" w:rsidRDefault="006F09C1" w:rsidP="006F09C1">
      <w:pPr>
        <w:pStyle w:val="ListParagraph"/>
        <w:spacing w:before="100" w:line="360" w:lineRule="auto"/>
        <w:ind w:left="0"/>
        <w:rPr>
          <w:rFonts w:asciiTheme="minorHAnsi" w:hAnsiTheme="minorHAnsi" w:cstheme="minorHAnsi"/>
          <w:szCs w:val="24"/>
        </w:rPr>
      </w:pPr>
      <w:r>
        <w:rPr>
          <w:rFonts w:asciiTheme="minorHAnsi" w:hAnsiTheme="minorHAnsi" w:cstheme="minorHAnsi"/>
          <w:szCs w:val="24"/>
        </w:rPr>
        <w:tab/>
        <w:t xml:space="preserve">The variable importance analysis of the Mid-Pandemic dataset showed, however, that RXLE was the only predictor variable still in-effect.  </w:t>
      </w:r>
      <w:r w:rsidR="002B58E7">
        <w:rPr>
          <w:rFonts w:asciiTheme="minorHAnsi" w:hAnsiTheme="minorHAnsi" w:cstheme="minorHAnsi"/>
          <w:szCs w:val="24"/>
        </w:rPr>
        <w:t xml:space="preserve">Its parameter estimate in this dataset only came to 0.71.  </w:t>
      </w:r>
      <w:r>
        <w:rPr>
          <w:rFonts w:asciiTheme="minorHAnsi" w:hAnsiTheme="minorHAnsi" w:cstheme="minorHAnsi"/>
          <w:szCs w:val="24"/>
        </w:rPr>
        <w:t>RXLE is an exchange-traded fund, focused on certain elements of the Energy Sector (</w:t>
      </w:r>
      <w:hyperlink r:id="rId23" w:history="1">
        <w:r w:rsidRPr="00657944">
          <w:rPr>
            <w:rStyle w:val="Hyperlink"/>
            <w:rFonts w:asciiTheme="minorHAnsi" w:hAnsiTheme="minorHAnsi" w:cstheme="minorHAnsi"/>
            <w:szCs w:val="24"/>
          </w:rPr>
          <w:t>https://finance.yahoo.com/quote/XLE</w:t>
        </w:r>
      </w:hyperlink>
      <w:r>
        <w:rPr>
          <w:rFonts w:asciiTheme="minorHAnsi" w:hAnsiTheme="minorHAnsi" w:cstheme="minorHAnsi"/>
          <w:szCs w:val="24"/>
        </w:rPr>
        <w:t>).  This makes sense, due to the energy sector’s dependence on oil as a resource.</w:t>
      </w:r>
    </w:p>
    <w:p w14:paraId="301357FF" w14:textId="0274D729" w:rsidR="00D315B1" w:rsidRPr="00D315B1" w:rsidRDefault="002B58E7" w:rsidP="00B24ED0">
      <w:pPr>
        <w:pStyle w:val="ListParagraph"/>
        <w:spacing w:before="100" w:line="360" w:lineRule="auto"/>
        <w:ind w:left="0"/>
        <w:rPr>
          <w:rFonts w:asciiTheme="minorHAnsi" w:hAnsiTheme="minorHAnsi" w:cstheme="minorHAnsi"/>
          <w:szCs w:val="24"/>
        </w:rPr>
      </w:pPr>
      <w:r>
        <w:rPr>
          <w:rFonts w:asciiTheme="minorHAnsi" w:hAnsiTheme="minorHAnsi" w:cstheme="minorHAnsi"/>
          <w:szCs w:val="24"/>
        </w:rPr>
        <w:tab/>
        <w:t xml:space="preserve">It is striking to see the comparison between the Pre-Covid 19 and Mid-Pandemic dataset profilers.  Adjusting any of the predictor variables of the Pre-Covid 19 dataset shows an impact </w:t>
      </w:r>
      <w:r>
        <w:rPr>
          <w:rFonts w:asciiTheme="minorHAnsi" w:hAnsiTheme="minorHAnsi" w:cstheme="minorHAnsi"/>
          <w:szCs w:val="24"/>
        </w:rPr>
        <w:lastRenderedPageBreak/>
        <w:t>to other variables in the model, including the RUSO response variable.  Having only one predictor variable in the Mid-Pandemic model results in any variation to RXLE simply impacting RUSO</w:t>
      </w:r>
      <w:r w:rsidR="00D315B1">
        <w:rPr>
          <w:rFonts w:asciiTheme="minorHAnsi" w:hAnsiTheme="minorHAnsi" w:cstheme="minorHAnsi"/>
          <w:szCs w:val="24"/>
        </w:rPr>
        <w:t>.</w:t>
      </w:r>
    </w:p>
    <w:sectPr w:rsidR="00D315B1" w:rsidRPr="00D315B1" w:rsidSect="00ED7B8C">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C23A6"/>
    <w:multiLevelType w:val="hybridMultilevel"/>
    <w:tmpl w:val="0C38356A"/>
    <w:lvl w:ilvl="0" w:tplc="8DDC98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286334"/>
    <w:multiLevelType w:val="hybridMultilevel"/>
    <w:tmpl w:val="C714E252"/>
    <w:lvl w:ilvl="0" w:tplc="DF80BE2A">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E7"/>
    <w:rsid w:val="00041A2D"/>
    <w:rsid w:val="00093835"/>
    <w:rsid w:val="000A7F30"/>
    <w:rsid w:val="00105B4D"/>
    <w:rsid w:val="001B2AF8"/>
    <w:rsid w:val="001B32CF"/>
    <w:rsid w:val="00211655"/>
    <w:rsid w:val="002168DE"/>
    <w:rsid w:val="002760C5"/>
    <w:rsid w:val="00283E09"/>
    <w:rsid w:val="0028632D"/>
    <w:rsid w:val="0028785D"/>
    <w:rsid w:val="002B4DAF"/>
    <w:rsid w:val="002B58E7"/>
    <w:rsid w:val="00314495"/>
    <w:rsid w:val="00354EA3"/>
    <w:rsid w:val="003A3B87"/>
    <w:rsid w:val="00413FA7"/>
    <w:rsid w:val="004C7328"/>
    <w:rsid w:val="004D1056"/>
    <w:rsid w:val="004D2647"/>
    <w:rsid w:val="005E43F9"/>
    <w:rsid w:val="00632256"/>
    <w:rsid w:val="00677778"/>
    <w:rsid w:val="006D08E1"/>
    <w:rsid w:val="006F09C1"/>
    <w:rsid w:val="0071388A"/>
    <w:rsid w:val="00733F2E"/>
    <w:rsid w:val="008102F4"/>
    <w:rsid w:val="008549B4"/>
    <w:rsid w:val="008E2466"/>
    <w:rsid w:val="008F5105"/>
    <w:rsid w:val="009061DC"/>
    <w:rsid w:val="00910563"/>
    <w:rsid w:val="009317E5"/>
    <w:rsid w:val="009976C8"/>
    <w:rsid w:val="00B11BE7"/>
    <w:rsid w:val="00B24ED0"/>
    <w:rsid w:val="00B92499"/>
    <w:rsid w:val="00BA2411"/>
    <w:rsid w:val="00BD768D"/>
    <w:rsid w:val="00D315B1"/>
    <w:rsid w:val="00D86DE4"/>
    <w:rsid w:val="00D87B8B"/>
    <w:rsid w:val="00DE0C9D"/>
    <w:rsid w:val="00DF5686"/>
    <w:rsid w:val="00E95F0C"/>
    <w:rsid w:val="00EA0CFD"/>
    <w:rsid w:val="00ED7B8C"/>
    <w:rsid w:val="00EE3CA9"/>
    <w:rsid w:val="00F05544"/>
    <w:rsid w:val="00F16718"/>
    <w:rsid w:val="00F17F17"/>
    <w:rsid w:val="00F275D3"/>
    <w:rsid w:val="00F7796E"/>
    <w:rsid w:val="00FA1A6E"/>
    <w:rsid w:val="00FC3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EF88"/>
  <w15:chartTrackingRefBased/>
  <w15:docId w15:val="{A3EE2D47-297B-4032-8249-B323EF41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BE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11BE7"/>
    <w:pPr>
      <w:spacing w:after="160" w:line="259" w:lineRule="auto"/>
      <w:ind w:left="720"/>
      <w:contextualSpacing/>
    </w:pPr>
    <w:rPr>
      <w:rFonts w:ascii="Arial" w:hAnsi="Arial" w:cs="Arial"/>
      <w:szCs w:val="22"/>
    </w:rPr>
  </w:style>
  <w:style w:type="paragraph" w:styleId="NormalWeb">
    <w:name w:val="Normal (Web)"/>
    <w:basedOn w:val="Normal"/>
    <w:uiPriority w:val="99"/>
    <w:semiHidden/>
    <w:unhideWhenUsed/>
    <w:rsid w:val="00B11BE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11BE7"/>
    <w:rPr>
      <w:i/>
      <w:iCs/>
    </w:rPr>
  </w:style>
  <w:style w:type="character" w:styleId="Hyperlink">
    <w:name w:val="Hyperlink"/>
    <w:basedOn w:val="DefaultParagraphFont"/>
    <w:uiPriority w:val="99"/>
    <w:unhideWhenUsed/>
    <w:rsid w:val="006F09C1"/>
    <w:rPr>
      <w:color w:val="0563C1" w:themeColor="hyperlink"/>
      <w:u w:val="single"/>
    </w:rPr>
  </w:style>
  <w:style w:type="character" w:styleId="UnresolvedMention">
    <w:name w:val="Unresolved Mention"/>
    <w:basedOn w:val="DefaultParagraphFont"/>
    <w:uiPriority w:val="99"/>
    <w:semiHidden/>
    <w:unhideWhenUsed/>
    <w:rsid w:val="006F0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25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hyperlink" Target="https://finance.yahoo.com/quote/XLE" TargetMode="Externa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5</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Sanchez</dc:creator>
  <cp:keywords/>
  <dc:description/>
  <cp:lastModifiedBy>Dan Sanchez</cp:lastModifiedBy>
  <cp:revision>30</cp:revision>
  <dcterms:created xsi:type="dcterms:W3CDTF">2021-05-13T18:59:00Z</dcterms:created>
  <dcterms:modified xsi:type="dcterms:W3CDTF">2021-05-23T02:00:00Z</dcterms:modified>
</cp:coreProperties>
</file>