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866E4" w14:textId="77777777" w:rsidR="008F78AD" w:rsidRPr="009B20E7" w:rsidRDefault="008F78AD" w:rsidP="008F78AD">
      <w:pPr>
        <w:spacing w:after="0" w:line="360" w:lineRule="auto"/>
        <w:rPr>
          <w:rFonts w:cstheme="minorHAnsi"/>
          <w:sz w:val="24"/>
          <w:szCs w:val="24"/>
        </w:rPr>
      </w:pPr>
      <w:r w:rsidRPr="009B20E7">
        <w:rPr>
          <w:rFonts w:cstheme="minorHAnsi"/>
          <w:sz w:val="24"/>
          <w:szCs w:val="24"/>
        </w:rPr>
        <w:t>Daniel Sanchez</w:t>
      </w:r>
    </w:p>
    <w:p w14:paraId="1490137F" w14:textId="77777777" w:rsidR="008F78AD" w:rsidRPr="009B20E7" w:rsidRDefault="008F78AD" w:rsidP="008F78AD">
      <w:pPr>
        <w:spacing w:after="0" w:line="360" w:lineRule="auto"/>
        <w:rPr>
          <w:rFonts w:cstheme="minorHAnsi"/>
          <w:sz w:val="24"/>
          <w:szCs w:val="24"/>
        </w:rPr>
      </w:pPr>
      <w:r w:rsidRPr="009B20E7">
        <w:rPr>
          <w:rFonts w:cstheme="minorHAnsi"/>
          <w:sz w:val="24"/>
          <w:szCs w:val="24"/>
        </w:rPr>
        <w:t>BAN 525</w:t>
      </w:r>
    </w:p>
    <w:p w14:paraId="76489A5E" w14:textId="77777777" w:rsidR="008F78AD" w:rsidRPr="009B20E7" w:rsidRDefault="008F78AD" w:rsidP="008F78AD">
      <w:pPr>
        <w:spacing w:after="0" w:line="360" w:lineRule="auto"/>
        <w:rPr>
          <w:rFonts w:cstheme="minorHAnsi"/>
          <w:sz w:val="24"/>
          <w:szCs w:val="24"/>
        </w:rPr>
      </w:pPr>
      <w:r w:rsidRPr="009B20E7">
        <w:rPr>
          <w:rFonts w:cstheme="minorHAnsi"/>
          <w:sz w:val="24"/>
          <w:szCs w:val="24"/>
        </w:rPr>
        <w:t xml:space="preserve">Dr. Cetin </w:t>
      </w:r>
      <w:proofErr w:type="spellStart"/>
      <w:r w:rsidRPr="009B20E7">
        <w:rPr>
          <w:rFonts w:cstheme="minorHAnsi"/>
          <w:sz w:val="24"/>
          <w:szCs w:val="24"/>
        </w:rPr>
        <w:t>Ciner</w:t>
      </w:r>
      <w:proofErr w:type="spellEnd"/>
    </w:p>
    <w:p w14:paraId="5A5700EE" w14:textId="77777777" w:rsidR="008F78AD" w:rsidRPr="009B20E7" w:rsidRDefault="008F78AD" w:rsidP="008F78AD">
      <w:pPr>
        <w:spacing w:after="0" w:line="360" w:lineRule="auto"/>
        <w:rPr>
          <w:rFonts w:cstheme="minorHAnsi"/>
          <w:sz w:val="24"/>
          <w:szCs w:val="24"/>
        </w:rPr>
      </w:pPr>
      <w:r w:rsidRPr="009B20E7">
        <w:rPr>
          <w:rFonts w:cstheme="minorHAnsi"/>
          <w:sz w:val="24"/>
          <w:szCs w:val="24"/>
        </w:rPr>
        <w:t>Module 4: Assignment 1 - Random Forest and Forecasting Stock Prices after Covid-19</w:t>
      </w:r>
    </w:p>
    <w:p w14:paraId="56CBA32B" w14:textId="77777777" w:rsidR="008F78AD" w:rsidRPr="009B20E7" w:rsidRDefault="008F78AD" w:rsidP="008F78AD">
      <w:pPr>
        <w:spacing w:after="0" w:line="360" w:lineRule="auto"/>
        <w:rPr>
          <w:rFonts w:cstheme="minorHAnsi"/>
          <w:sz w:val="24"/>
          <w:szCs w:val="24"/>
        </w:rPr>
      </w:pPr>
      <w:r w:rsidRPr="009B20E7">
        <w:rPr>
          <w:rFonts w:cstheme="minorHAnsi"/>
          <w:sz w:val="24"/>
          <w:szCs w:val="24"/>
        </w:rPr>
        <w:t>June 6</w:t>
      </w:r>
      <w:r w:rsidRPr="009B20E7">
        <w:rPr>
          <w:rFonts w:cstheme="minorHAnsi"/>
          <w:sz w:val="24"/>
          <w:szCs w:val="24"/>
          <w:vertAlign w:val="superscript"/>
        </w:rPr>
        <w:t>th</w:t>
      </w:r>
      <w:r w:rsidRPr="009B20E7">
        <w:rPr>
          <w:rFonts w:cstheme="minorHAnsi"/>
          <w:sz w:val="24"/>
          <w:szCs w:val="24"/>
        </w:rPr>
        <w:t>, 2021</w:t>
      </w:r>
    </w:p>
    <w:p w14:paraId="78910A7A" w14:textId="6C11B148" w:rsidR="00E46274" w:rsidRPr="009B20E7" w:rsidRDefault="00E46274" w:rsidP="008F78AD">
      <w:pPr>
        <w:spacing w:after="0" w:line="360" w:lineRule="auto"/>
        <w:jc w:val="center"/>
        <w:rPr>
          <w:rFonts w:cstheme="minorHAnsi"/>
          <w:b/>
          <w:bCs/>
          <w:sz w:val="24"/>
          <w:szCs w:val="24"/>
        </w:rPr>
      </w:pPr>
      <w:r w:rsidRPr="009B20E7">
        <w:rPr>
          <w:rFonts w:cstheme="minorHAnsi"/>
          <w:b/>
          <w:bCs/>
          <w:sz w:val="24"/>
          <w:szCs w:val="24"/>
        </w:rPr>
        <w:t>Introduction</w:t>
      </w:r>
    </w:p>
    <w:p w14:paraId="219F3696" w14:textId="2CFEC18A" w:rsidR="005306A8" w:rsidRPr="009B20E7" w:rsidRDefault="003C5625" w:rsidP="008F78AD">
      <w:pPr>
        <w:spacing w:after="0" w:line="360" w:lineRule="auto"/>
        <w:rPr>
          <w:rFonts w:cstheme="minorHAnsi"/>
          <w:sz w:val="24"/>
          <w:szCs w:val="24"/>
        </w:rPr>
      </w:pPr>
      <w:r w:rsidRPr="009B20E7">
        <w:rPr>
          <w:rFonts w:cstheme="minorHAnsi"/>
          <w:sz w:val="24"/>
          <w:szCs w:val="24"/>
        </w:rPr>
        <w:tab/>
      </w:r>
      <w:r w:rsidR="00DB3F85" w:rsidRPr="009B20E7">
        <w:rPr>
          <w:rFonts w:cstheme="minorHAnsi"/>
          <w:sz w:val="24"/>
          <w:szCs w:val="24"/>
        </w:rPr>
        <w:t>Alarming, unprecedented, frightening, novel</w:t>
      </w:r>
      <w:r w:rsidR="00653965" w:rsidRPr="009B20E7">
        <w:rPr>
          <w:rFonts w:cstheme="minorHAnsi"/>
          <w:sz w:val="24"/>
          <w:szCs w:val="24"/>
        </w:rPr>
        <w:t>. COVID</w:t>
      </w:r>
      <w:r w:rsidR="00DB3F85" w:rsidRPr="009B20E7">
        <w:rPr>
          <w:rFonts w:cstheme="minorHAnsi"/>
          <w:sz w:val="24"/>
          <w:szCs w:val="24"/>
        </w:rPr>
        <w:t>-19, t</w:t>
      </w:r>
      <w:r w:rsidRPr="009B20E7">
        <w:rPr>
          <w:rFonts w:cstheme="minorHAnsi"/>
          <w:sz w:val="24"/>
          <w:szCs w:val="24"/>
        </w:rPr>
        <w:t xml:space="preserve">he </w:t>
      </w:r>
      <w:r w:rsidR="00DB3F85" w:rsidRPr="009B20E7">
        <w:rPr>
          <w:rFonts w:cstheme="minorHAnsi"/>
          <w:sz w:val="24"/>
          <w:szCs w:val="24"/>
        </w:rPr>
        <w:t xml:space="preserve">deadliest </w:t>
      </w:r>
      <w:r w:rsidRPr="009B20E7">
        <w:rPr>
          <w:rFonts w:cstheme="minorHAnsi"/>
          <w:sz w:val="24"/>
          <w:szCs w:val="24"/>
        </w:rPr>
        <w:t xml:space="preserve">pandemic </w:t>
      </w:r>
      <w:r w:rsidR="00DB3F85" w:rsidRPr="009B20E7">
        <w:rPr>
          <w:rFonts w:cstheme="minorHAnsi"/>
          <w:sz w:val="24"/>
          <w:szCs w:val="24"/>
        </w:rPr>
        <w:t>in over a century, has gripped individual households, businesses large and small, as well as the global economy.</w:t>
      </w:r>
      <w:r w:rsidR="001208DB">
        <w:rPr>
          <w:rFonts w:cstheme="minorHAnsi"/>
          <w:sz w:val="24"/>
          <w:szCs w:val="24"/>
        </w:rPr>
        <w:t xml:space="preserve"> </w:t>
      </w:r>
      <w:r w:rsidR="00653965" w:rsidRPr="009B20E7">
        <w:rPr>
          <w:rFonts w:cstheme="minorHAnsi"/>
          <w:sz w:val="24"/>
          <w:szCs w:val="24"/>
        </w:rPr>
        <w:t xml:space="preserve">Such a </w:t>
      </w:r>
      <w:r w:rsidR="00DB3F85" w:rsidRPr="009B20E7">
        <w:rPr>
          <w:rFonts w:cstheme="minorHAnsi"/>
          <w:sz w:val="24"/>
          <w:szCs w:val="24"/>
        </w:rPr>
        <w:t>widespread</w:t>
      </w:r>
      <w:r w:rsidR="00653965" w:rsidRPr="009B20E7">
        <w:rPr>
          <w:rFonts w:cstheme="minorHAnsi"/>
          <w:sz w:val="24"/>
          <w:szCs w:val="24"/>
        </w:rPr>
        <w:t xml:space="preserve"> </w:t>
      </w:r>
      <w:r w:rsidR="00DB3F85" w:rsidRPr="009B20E7">
        <w:rPr>
          <w:rFonts w:cstheme="minorHAnsi"/>
          <w:sz w:val="24"/>
          <w:szCs w:val="24"/>
        </w:rPr>
        <w:t>disruption</w:t>
      </w:r>
      <w:r w:rsidR="00653965" w:rsidRPr="009B20E7">
        <w:rPr>
          <w:rFonts w:cstheme="minorHAnsi"/>
          <w:sz w:val="24"/>
          <w:szCs w:val="24"/>
        </w:rPr>
        <w:t xml:space="preserve"> is </w:t>
      </w:r>
      <w:r w:rsidR="005306A8" w:rsidRPr="009B20E7">
        <w:rPr>
          <w:rFonts w:cstheme="minorHAnsi"/>
          <w:sz w:val="24"/>
          <w:szCs w:val="24"/>
        </w:rPr>
        <w:t>bound</w:t>
      </w:r>
      <w:r w:rsidR="00653965" w:rsidRPr="009B20E7">
        <w:rPr>
          <w:rFonts w:cstheme="minorHAnsi"/>
          <w:sz w:val="24"/>
          <w:szCs w:val="24"/>
        </w:rPr>
        <w:t xml:space="preserve"> to have </w:t>
      </w:r>
      <w:r w:rsidR="00D1044B">
        <w:rPr>
          <w:rFonts w:cstheme="minorHAnsi"/>
          <w:sz w:val="24"/>
          <w:szCs w:val="24"/>
        </w:rPr>
        <w:t>long-</w:t>
      </w:r>
      <w:r w:rsidR="00653965" w:rsidRPr="009B20E7">
        <w:rPr>
          <w:rFonts w:cstheme="minorHAnsi"/>
          <w:sz w:val="24"/>
          <w:szCs w:val="24"/>
        </w:rPr>
        <w:t>lasting effects, financial and otherwise. Planning for the future in times of uncertainty requires a more focused, nuanced approach.</w:t>
      </w:r>
      <w:r w:rsidR="001208DB">
        <w:rPr>
          <w:rFonts w:cstheme="minorHAnsi"/>
          <w:sz w:val="24"/>
          <w:szCs w:val="24"/>
        </w:rPr>
        <w:t xml:space="preserve"> </w:t>
      </w:r>
      <w:r w:rsidR="00653965" w:rsidRPr="009B20E7">
        <w:rPr>
          <w:rFonts w:cstheme="minorHAnsi"/>
          <w:sz w:val="24"/>
          <w:szCs w:val="24"/>
        </w:rPr>
        <w:t xml:space="preserve">The Federal Reserve announcement in March 2020 </w:t>
      </w:r>
      <w:r w:rsidR="00E36FBF" w:rsidRPr="009B20E7">
        <w:rPr>
          <w:rFonts w:cstheme="minorHAnsi"/>
          <w:sz w:val="24"/>
          <w:szCs w:val="24"/>
        </w:rPr>
        <w:t xml:space="preserve">to </w:t>
      </w:r>
      <w:r w:rsidR="005306A8" w:rsidRPr="009B20E7">
        <w:rPr>
          <w:rFonts w:cstheme="minorHAnsi"/>
          <w:sz w:val="24"/>
          <w:szCs w:val="24"/>
        </w:rPr>
        <w:t xml:space="preserve">shore-up financial markets with </w:t>
      </w:r>
      <w:r w:rsidR="00D43C56" w:rsidRPr="009B20E7">
        <w:rPr>
          <w:rFonts w:cstheme="minorHAnsi"/>
          <w:sz w:val="24"/>
          <w:szCs w:val="24"/>
        </w:rPr>
        <w:t xml:space="preserve">large-scale </w:t>
      </w:r>
      <w:r w:rsidR="005306A8" w:rsidRPr="009B20E7">
        <w:rPr>
          <w:rFonts w:cstheme="minorHAnsi"/>
          <w:sz w:val="24"/>
          <w:szCs w:val="24"/>
        </w:rPr>
        <w:t xml:space="preserve">purchases of corporate bonds </w:t>
      </w:r>
      <w:r w:rsidR="00653965" w:rsidRPr="009B20E7">
        <w:rPr>
          <w:rFonts w:cstheme="minorHAnsi"/>
          <w:sz w:val="24"/>
          <w:szCs w:val="24"/>
        </w:rPr>
        <w:t>reflected such a shift in investment strateg</w:t>
      </w:r>
      <w:r w:rsidR="005306A8" w:rsidRPr="009B20E7">
        <w:rPr>
          <w:rFonts w:cstheme="minorHAnsi"/>
          <w:sz w:val="24"/>
          <w:szCs w:val="24"/>
        </w:rPr>
        <w:t>y.</w:t>
      </w:r>
    </w:p>
    <w:p w14:paraId="3F0403C1" w14:textId="1D189BEE" w:rsidR="003E1FF4" w:rsidRPr="009B20E7" w:rsidRDefault="005306A8" w:rsidP="008F78AD">
      <w:pPr>
        <w:spacing w:after="0" w:line="360" w:lineRule="auto"/>
        <w:rPr>
          <w:rFonts w:cstheme="minorHAnsi"/>
          <w:sz w:val="24"/>
          <w:szCs w:val="24"/>
        </w:rPr>
      </w:pPr>
      <w:r w:rsidRPr="009B20E7">
        <w:rPr>
          <w:rFonts w:cstheme="minorHAnsi"/>
          <w:sz w:val="24"/>
          <w:szCs w:val="24"/>
        </w:rPr>
        <w:tab/>
      </w:r>
      <w:r w:rsidR="00653965" w:rsidRPr="009B20E7">
        <w:rPr>
          <w:rFonts w:cstheme="minorHAnsi"/>
          <w:sz w:val="24"/>
          <w:szCs w:val="24"/>
        </w:rPr>
        <w:t xml:space="preserve">In order to fully understand and evaluate this decision, we can </w:t>
      </w:r>
      <w:r w:rsidRPr="009B20E7">
        <w:rPr>
          <w:rFonts w:cstheme="minorHAnsi"/>
          <w:sz w:val="24"/>
          <w:szCs w:val="24"/>
        </w:rPr>
        <w:t xml:space="preserve">examine </w:t>
      </w:r>
      <w:r w:rsidR="00653965" w:rsidRPr="009B20E7">
        <w:rPr>
          <w:rFonts w:cstheme="minorHAnsi"/>
          <w:sz w:val="24"/>
          <w:szCs w:val="24"/>
        </w:rPr>
        <w:t xml:space="preserve">the stock market conditions </w:t>
      </w:r>
      <w:r w:rsidRPr="009B20E7">
        <w:rPr>
          <w:rFonts w:cstheme="minorHAnsi"/>
          <w:sz w:val="24"/>
          <w:szCs w:val="24"/>
        </w:rPr>
        <w:t>surrounding the Federal Reserve’s intervention.</w:t>
      </w:r>
      <w:r w:rsidR="001208DB">
        <w:rPr>
          <w:rFonts w:cstheme="minorHAnsi"/>
          <w:sz w:val="24"/>
          <w:szCs w:val="24"/>
        </w:rPr>
        <w:t xml:space="preserve"> </w:t>
      </w:r>
      <w:r w:rsidRPr="009B20E7">
        <w:rPr>
          <w:rFonts w:cstheme="minorHAnsi"/>
          <w:sz w:val="24"/>
          <w:szCs w:val="24"/>
        </w:rPr>
        <w:t>The data set for this analysis contains stock market information between January 2</w:t>
      </w:r>
      <w:r w:rsidRPr="009B20E7">
        <w:rPr>
          <w:rFonts w:cstheme="minorHAnsi"/>
          <w:sz w:val="24"/>
          <w:szCs w:val="24"/>
          <w:vertAlign w:val="superscript"/>
        </w:rPr>
        <w:t>nd</w:t>
      </w:r>
      <w:r w:rsidRPr="009B20E7">
        <w:rPr>
          <w:rFonts w:cstheme="minorHAnsi"/>
          <w:sz w:val="24"/>
          <w:szCs w:val="24"/>
        </w:rPr>
        <w:t xml:space="preserve">, </w:t>
      </w:r>
      <w:proofErr w:type="gramStart"/>
      <w:r w:rsidR="00D43C56" w:rsidRPr="009B20E7">
        <w:rPr>
          <w:rFonts w:cstheme="minorHAnsi"/>
          <w:sz w:val="24"/>
          <w:szCs w:val="24"/>
        </w:rPr>
        <w:t>2020</w:t>
      </w:r>
      <w:proofErr w:type="gramEnd"/>
      <w:r w:rsidR="00D43C56" w:rsidRPr="009B20E7">
        <w:rPr>
          <w:rFonts w:cstheme="minorHAnsi"/>
          <w:sz w:val="24"/>
          <w:szCs w:val="24"/>
        </w:rPr>
        <w:t xml:space="preserve"> </w:t>
      </w:r>
      <w:r w:rsidRPr="009B20E7">
        <w:rPr>
          <w:rFonts w:cstheme="minorHAnsi"/>
          <w:sz w:val="24"/>
          <w:szCs w:val="24"/>
        </w:rPr>
        <w:t>and April 23</w:t>
      </w:r>
      <w:r w:rsidRPr="009B20E7">
        <w:rPr>
          <w:rFonts w:cstheme="minorHAnsi"/>
          <w:sz w:val="24"/>
          <w:szCs w:val="24"/>
          <w:vertAlign w:val="superscript"/>
        </w:rPr>
        <w:t>rd</w:t>
      </w:r>
      <w:r w:rsidRPr="009B20E7">
        <w:rPr>
          <w:rFonts w:cstheme="minorHAnsi"/>
          <w:sz w:val="24"/>
          <w:szCs w:val="24"/>
        </w:rPr>
        <w:t xml:space="preserve">, 2021. There are 20 variables </w:t>
      </w:r>
      <w:r w:rsidR="008F78AD" w:rsidRPr="009B20E7">
        <w:rPr>
          <w:rFonts w:cstheme="minorHAnsi"/>
          <w:sz w:val="24"/>
          <w:szCs w:val="24"/>
        </w:rPr>
        <w:t>represented</w:t>
      </w:r>
      <w:r w:rsidR="00B13757">
        <w:rPr>
          <w:rFonts w:cstheme="minorHAnsi"/>
          <w:sz w:val="24"/>
          <w:szCs w:val="24"/>
        </w:rPr>
        <w:t>; features include</w:t>
      </w:r>
      <w:r w:rsidR="008F78AD" w:rsidRPr="009B20E7">
        <w:rPr>
          <w:rFonts w:cstheme="minorHAnsi"/>
          <w:sz w:val="24"/>
          <w:szCs w:val="24"/>
        </w:rPr>
        <w:t xml:space="preserve"> stock prices, U.S. Treasury bond prices, as well as exchange rates.</w:t>
      </w:r>
      <w:r w:rsidR="00D1044B">
        <w:rPr>
          <w:rFonts w:cstheme="minorHAnsi"/>
          <w:sz w:val="24"/>
          <w:szCs w:val="24"/>
        </w:rPr>
        <w:t xml:space="preserve"> </w:t>
      </w:r>
      <w:r w:rsidR="00B13757">
        <w:rPr>
          <w:rFonts w:cstheme="minorHAnsi"/>
          <w:sz w:val="24"/>
          <w:szCs w:val="24"/>
        </w:rPr>
        <w:t>The c</w:t>
      </w:r>
      <w:r w:rsidR="00D1044B">
        <w:rPr>
          <w:rFonts w:cstheme="minorHAnsi"/>
          <w:sz w:val="24"/>
          <w:szCs w:val="24"/>
        </w:rPr>
        <w:t>orr</w:t>
      </w:r>
      <w:r w:rsidRPr="009B20E7">
        <w:rPr>
          <w:rFonts w:cstheme="minorHAnsi"/>
          <w:sz w:val="24"/>
          <w:szCs w:val="24"/>
        </w:rPr>
        <w:t>esponding one-week lagged values</w:t>
      </w:r>
      <w:r w:rsidR="003E1FF4" w:rsidRPr="009B20E7">
        <w:rPr>
          <w:rFonts w:cstheme="minorHAnsi"/>
          <w:sz w:val="24"/>
          <w:szCs w:val="24"/>
        </w:rPr>
        <w:t xml:space="preserve"> of these variables are also included</w:t>
      </w:r>
      <w:r w:rsidRPr="009B20E7">
        <w:rPr>
          <w:rFonts w:cstheme="minorHAnsi"/>
          <w:sz w:val="24"/>
          <w:szCs w:val="24"/>
        </w:rPr>
        <w:t>.</w:t>
      </w:r>
    </w:p>
    <w:p w14:paraId="63C4FC4E" w14:textId="21E9E001" w:rsidR="00D43C56" w:rsidRPr="009B20E7" w:rsidRDefault="003E1FF4" w:rsidP="00D43C56">
      <w:pPr>
        <w:spacing w:after="0" w:line="360" w:lineRule="auto"/>
        <w:rPr>
          <w:rFonts w:cstheme="minorHAnsi"/>
          <w:sz w:val="24"/>
          <w:szCs w:val="24"/>
        </w:rPr>
      </w:pPr>
      <w:r w:rsidRPr="009B20E7">
        <w:rPr>
          <w:rFonts w:cstheme="minorHAnsi"/>
          <w:sz w:val="24"/>
          <w:szCs w:val="24"/>
        </w:rPr>
        <w:tab/>
      </w:r>
      <w:r w:rsidR="008F78AD" w:rsidRPr="009B20E7">
        <w:rPr>
          <w:rFonts w:cstheme="minorHAnsi"/>
          <w:sz w:val="24"/>
          <w:szCs w:val="24"/>
        </w:rPr>
        <w:t xml:space="preserve">This report will feature two </w:t>
      </w:r>
      <w:r w:rsidR="006160A7" w:rsidRPr="009B20E7">
        <w:rPr>
          <w:rFonts w:cstheme="minorHAnsi"/>
          <w:sz w:val="24"/>
          <w:szCs w:val="24"/>
        </w:rPr>
        <w:t xml:space="preserve">juxtaposed </w:t>
      </w:r>
      <w:r w:rsidR="008F78AD" w:rsidRPr="009B20E7">
        <w:rPr>
          <w:rFonts w:cstheme="minorHAnsi"/>
          <w:sz w:val="24"/>
          <w:szCs w:val="24"/>
        </w:rPr>
        <w:t xml:space="preserve">analyses </w:t>
      </w:r>
      <w:r w:rsidR="006160A7" w:rsidRPr="009B20E7">
        <w:rPr>
          <w:rFonts w:cstheme="minorHAnsi"/>
          <w:sz w:val="24"/>
          <w:szCs w:val="24"/>
        </w:rPr>
        <w:t xml:space="preserve">of </w:t>
      </w:r>
      <w:r w:rsidR="008F78AD" w:rsidRPr="009B20E7">
        <w:rPr>
          <w:rFonts w:cstheme="minorHAnsi"/>
          <w:sz w:val="24"/>
          <w:szCs w:val="24"/>
        </w:rPr>
        <w:t>RSPY and Sign of RSPY.</w:t>
      </w:r>
      <w:r w:rsidR="00521B33" w:rsidRPr="009B20E7">
        <w:rPr>
          <w:rFonts w:cstheme="minorHAnsi"/>
          <w:sz w:val="24"/>
          <w:szCs w:val="24"/>
        </w:rPr>
        <w:t xml:space="preserve"> These </w:t>
      </w:r>
      <w:r w:rsidR="00B13757">
        <w:rPr>
          <w:rFonts w:cstheme="minorHAnsi"/>
          <w:sz w:val="24"/>
          <w:szCs w:val="24"/>
        </w:rPr>
        <w:t xml:space="preserve">variables of interest </w:t>
      </w:r>
      <w:r w:rsidR="00521B33" w:rsidRPr="009B20E7">
        <w:rPr>
          <w:rFonts w:cstheme="minorHAnsi"/>
          <w:sz w:val="24"/>
          <w:szCs w:val="24"/>
        </w:rPr>
        <w:t xml:space="preserve">both represent the S&amp;P 500 index in different ways. </w:t>
      </w:r>
      <w:r w:rsidRPr="009B20E7">
        <w:rPr>
          <w:rFonts w:cstheme="minorHAnsi"/>
          <w:sz w:val="24"/>
          <w:szCs w:val="24"/>
        </w:rPr>
        <w:t xml:space="preserve">Analyzing the predictors of RSPY will help determine whether we can predict </w:t>
      </w:r>
      <w:r w:rsidR="00521B33" w:rsidRPr="009B20E7">
        <w:rPr>
          <w:rFonts w:cstheme="minorHAnsi"/>
          <w:sz w:val="24"/>
          <w:szCs w:val="24"/>
        </w:rPr>
        <w:t xml:space="preserve">large company </w:t>
      </w:r>
      <w:r w:rsidRPr="009B20E7">
        <w:rPr>
          <w:rFonts w:cstheme="minorHAnsi"/>
          <w:sz w:val="24"/>
          <w:szCs w:val="24"/>
        </w:rPr>
        <w:t xml:space="preserve">stock </w:t>
      </w:r>
      <w:r w:rsidR="00AA11CE" w:rsidRPr="009B20E7">
        <w:rPr>
          <w:rFonts w:cstheme="minorHAnsi"/>
          <w:sz w:val="24"/>
          <w:szCs w:val="24"/>
        </w:rPr>
        <w:t>returns</w:t>
      </w:r>
      <w:r w:rsidRPr="009B20E7">
        <w:rPr>
          <w:rFonts w:cstheme="minorHAnsi"/>
          <w:sz w:val="24"/>
          <w:szCs w:val="24"/>
        </w:rPr>
        <w:t xml:space="preserve"> based on this data</w:t>
      </w:r>
      <w:r w:rsidR="00B13757">
        <w:rPr>
          <w:rFonts w:cstheme="minorHAnsi"/>
          <w:sz w:val="24"/>
          <w:szCs w:val="24"/>
        </w:rPr>
        <w:t xml:space="preserve"> </w:t>
      </w:r>
      <w:r w:rsidRPr="009B20E7">
        <w:rPr>
          <w:rFonts w:cstheme="minorHAnsi"/>
          <w:sz w:val="24"/>
          <w:szCs w:val="24"/>
        </w:rPr>
        <w:t xml:space="preserve">set. </w:t>
      </w:r>
      <w:r w:rsidR="000C0E4D">
        <w:rPr>
          <w:rFonts w:cstheme="minorHAnsi"/>
          <w:sz w:val="24"/>
          <w:szCs w:val="24"/>
        </w:rPr>
        <w:t>On the other hand, a</w:t>
      </w:r>
      <w:r w:rsidR="00AA11CE" w:rsidRPr="009B20E7">
        <w:rPr>
          <w:rFonts w:cstheme="minorHAnsi"/>
          <w:sz w:val="24"/>
          <w:szCs w:val="24"/>
        </w:rPr>
        <w:t xml:space="preserve">nalyzing </w:t>
      </w:r>
      <w:r w:rsidR="00B13757">
        <w:rPr>
          <w:rFonts w:cstheme="minorHAnsi"/>
          <w:sz w:val="24"/>
          <w:szCs w:val="24"/>
        </w:rPr>
        <w:t xml:space="preserve">the binary variable </w:t>
      </w:r>
      <w:r w:rsidR="00AA11CE" w:rsidRPr="009B20E7">
        <w:rPr>
          <w:rFonts w:cstheme="minorHAnsi"/>
          <w:sz w:val="24"/>
          <w:szCs w:val="24"/>
        </w:rPr>
        <w:t xml:space="preserve">Sign of RSPY will </w:t>
      </w:r>
      <w:r w:rsidR="000C0E4D">
        <w:rPr>
          <w:rFonts w:cstheme="minorHAnsi"/>
          <w:sz w:val="24"/>
          <w:szCs w:val="24"/>
        </w:rPr>
        <w:t xml:space="preserve">solve </w:t>
      </w:r>
      <w:r w:rsidR="00AA11CE" w:rsidRPr="009B20E7">
        <w:rPr>
          <w:rFonts w:cstheme="minorHAnsi"/>
          <w:sz w:val="24"/>
          <w:szCs w:val="24"/>
        </w:rPr>
        <w:t>a classification problem.</w:t>
      </w:r>
      <w:r w:rsidR="001208DB">
        <w:rPr>
          <w:rFonts w:cstheme="minorHAnsi"/>
          <w:sz w:val="24"/>
          <w:szCs w:val="24"/>
        </w:rPr>
        <w:t xml:space="preserve"> </w:t>
      </w:r>
      <w:r w:rsidR="00B13757">
        <w:rPr>
          <w:rFonts w:cstheme="minorHAnsi"/>
          <w:sz w:val="24"/>
          <w:szCs w:val="24"/>
        </w:rPr>
        <w:t xml:space="preserve">Analyzing </w:t>
      </w:r>
      <w:r w:rsidR="006160A7" w:rsidRPr="009B20E7">
        <w:rPr>
          <w:rFonts w:cstheme="minorHAnsi"/>
          <w:sz w:val="24"/>
          <w:szCs w:val="24"/>
        </w:rPr>
        <w:t xml:space="preserve">Sign of RSPY </w:t>
      </w:r>
      <w:r w:rsidRPr="009B20E7">
        <w:rPr>
          <w:rFonts w:cstheme="minorHAnsi"/>
          <w:sz w:val="24"/>
          <w:szCs w:val="24"/>
        </w:rPr>
        <w:t xml:space="preserve">will more explicitly forecast </w:t>
      </w:r>
      <w:r w:rsidR="00F155EC" w:rsidRPr="009B20E7">
        <w:rPr>
          <w:rFonts w:cstheme="minorHAnsi"/>
          <w:sz w:val="24"/>
          <w:szCs w:val="24"/>
        </w:rPr>
        <w:t xml:space="preserve">a </w:t>
      </w:r>
      <w:r w:rsidRPr="009B20E7">
        <w:rPr>
          <w:rFonts w:cstheme="minorHAnsi"/>
          <w:sz w:val="24"/>
          <w:szCs w:val="24"/>
        </w:rPr>
        <w:t xml:space="preserve">recommendation to </w:t>
      </w:r>
      <w:r w:rsidR="00521B33" w:rsidRPr="009B20E7">
        <w:rPr>
          <w:rFonts w:cstheme="minorHAnsi"/>
          <w:sz w:val="24"/>
          <w:szCs w:val="24"/>
        </w:rPr>
        <w:t xml:space="preserve">either </w:t>
      </w:r>
      <w:r w:rsidRPr="009B20E7">
        <w:rPr>
          <w:rFonts w:cstheme="minorHAnsi"/>
          <w:sz w:val="24"/>
          <w:szCs w:val="24"/>
        </w:rPr>
        <w:t>buy</w:t>
      </w:r>
      <w:r w:rsidR="00AA11CE" w:rsidRPr="009B20E7">
        <w:rPr>
          <w:rFonts w:cstheme="minorHAnsi"/>
          <w:sz w:val="24"/>
          <w:szCs w:val="24"/>
        </w:rPr>
        <w:t xml:space="preserve"> (1) </w:t>
      </w:r>
      <w:r w:rsidRPr="009B20E7">
        <w:rPr>
          <w:rFonts w:cstheme="minorHAnsi"/>
          <w:sz w:val="24"/>
          <w:szCs w:val="24"/>
        </w:rPr>
        <w:t>or sell</w:t>
      </w:r>
      <w:r w:rsidR="00AA11CE" w:rsidRPr="009B20E7">
        <w:rPr>
          <w:rFonts w:cstheme="minorHAnsi"/>
          <w:sz w:val="24"/>
          <w:szCs w:val="24"/>
        </w:rPr>
        <w:t xml:space="preserve"> (0)</w:t>
      </w:r>
      <w:r w:rsidRPr="009B20E7">
        <w:rPr>
          <w:rFonts w:cstheme="minorHAnsi"/>
          <w:sz w:val="24"/>
          <w:szCs w:val="24"/>
        </w:rPr>
        <w:t>.</w:t>
      </w:r>
      <w:r w:rsidR="003B412C" w:rsidRPr="009B20E7">
        <w:rPr>
          <w:rFonts w:cstheme="minorHAnsi"/>
          <w:sz w:val="24"/>
          <w:szCs w:val="24"/>
        </w:rPr>
        <w:t xml:space="preserve"> </w:t>
      </w:r>
      <w:r w:rsidR="00946A7A" w:rsidRPr="009B20E7">
        <w:rPr>
          <w:rFonts w:cstheme="minorHAnsi"/>
          <w:sz w:val="24"/>
          <w:szCs w:val="24"/>
        </w:rPr>
        <w:br/>
      </w:r>
      <w:r w:rsidR="00D43C56" w:rsidRPr="009B20E7">
        <w:rPr>
          <w:rFonts w:cstheme="minorHAnsi"/>
          <w:sz w:val="24"/>
          <w:szCs w:val="24"/>
        </w:rPr>
        <w:tab/>
        <w:t>The analysis in this report has been performed in JMP Pro 16, using the following methods:</w:t>
      </w:r>
    </w:p>
    <w:p w14:paraId="2D20B6C5" w14:textId="05B6B425" w:rsidR="00D43C56" w:rsidRPr="009B20E7" w:rsidRDefault="00D43C56" w:rsidP="00D43C56">
      <w:pPr>
        <w:spacing w:after="0" w:line="240" w:lineRule="auto"/>
        <w:rPr>
          <w:rFonts w:cstheme="minorHAnsi"/>
          <w:sz w:val="24"/>
          <w:szCs w:val="24"/>
        </w:rPr>
      </w:pPr>
      <w:r w:rsidRPr="009B20E7">
        <w:rPr>
          <w:rFonts w:cstheme="minorHAnsi"/>
          <w:sz w:val="24"/>
          <w:szCs w:val="24"/>
        </w:rPr>
        <w:tab/>
        <w:t xml:space="preserve">1.) </w:t>
      </w:r>
      <w:r w:rsidR="00946A7A" w:rsidRPr="009B20E7">
        <w:rPr>
          <w:rFonts w:cstheme="minorHAnsi"/>
          <w:sz w:val="24"/>
          <w:szCs w:val="24"/>
        </w:rPr>
        <w:t>Ordinary Least Square (OLS)</w:t>
      </w:r>
      <w:r w:rsidR="006160A7" w:rsidRPr="009B20E7">
        <w:rPr>
          <w:rFonts w:cstheme="minorHAnsi"/>
          <w:sz w:val="24"/>
          <w:szCs w:val="24"/>
        </w:rPr>
        <w:t xml:space="preserve"> - for RSPY</w:t>
      </w:r>
    </w:p>
    <w:p w14:paraId="0749BBED" w14:textId="2D3F21E5" w:rsidR="00D43C56" w:rsidRPr="009B20E7" w:rsidRDefault="00D43C56" w:rsidP="00D43C56">
      <w:pPr>
        <w:spacing w:after="0" w:line="240" w:lineRule="auto"/>
        <w:rPr>
          <w:rFonts w:cstheme="minorHAnsi"/>
          <w:sz w:val="24"/>
          <w:szCs w:val="24"/>
        </w:rPr>
      </w:pPr>
      <w:r w:rsidRPr="009B20E7">
        <w:rPr>
          <w:rFonts w:cstheme="minorHAnsi"/>
          <w:sz w:val="24"/>
          <w:szCs w:val="24"/>
        </w:rPr>
        <w:tab/>
        <w:t>2.) Nominal Logistic Regression</w:t>
      </w:r>
      <w:r w:rsidR="006160A7" w:rsidRPr="009B20E7">
        <w:rPr>
          <w:rFonts w:cstheme="minorHAnsi"/>
          <w:sz w:val="24"/>
          <w:szCs w:val="24"/>
        </w:rPr>
        <w:t xml:space="preserve"> - for Sign of RSPY</w:t>
      </w:r>
    </w:p>
    <w:p w14:paraId="1FE7B28C" w14:textId="412826E3" w:rsidR="00D43C56" w:rsidRPr="009B20E7" w:rsidRDefault="00D43C56" w:rsidP="00D43C56">
      <w:pPr>
        <w:spacing w:after="0" w:line="240" w:lineRule="auto"/>
        <w:rPr>
          <w:rFonts w:cstheme="minorHAnsi"/>
          <w:sz w:val="24"/>
          <w:szCs w:val="24"/>
        </w:rPr>
      </w:pPr>
      <w:r w:rsidRPr="009B20E7">
        <w:rPr>
          <w:rFonts w:cstheme="minorHAnsi"/>
          <w:sz w:val="24"/>
          <w:szCs w:val="24"/>
        </w:rPr>
        <w:tab/>
        <w:t>3.) S</w:t>
      </w:r>
      <w:r w:rsidR="00946A7A" w:rsidRPr="009B20E7">
        <w:rPr>
          <w:rFonts w:cstheme="minorHAnsi"/>
          <w:sz w:val="24"/>
          <w:szCs w:val="24"/>
        </w:rPr>
        <w:t>tandard Decision Tree</w:t>
      </w:r>
    </w:p>
    <w:p w14:paraId="27A0160C" w14:textId="12DED31E" w:rsidR="00E46274" w:rsidRPr="009B20E7" w:rsidRDefault="00D43C56" w:rsidP="00D43C56">
      <w:pPr>
        <w:spacing w:after="0" w:line="240" w:lineRule="auto"/>
        <w:rPr>
          <w:rFonts w:cstheme="minorHAnsi"/>
          <w:sz w:val="24"/>
          <w:szCs w:val="24"/>
        </w:rPr>
      </w:pPr>
      <w:r w:rsidRPr="009B20E7">
        <w:rPr>
          <w:rFonts w:cstheme="minorHAnsi"/>
          <w:sz w:val="24"/>
          <w:szCs w:val="24"/>
        </w:rPr>
        <w:tab/>
        <w:t xml:space="preserve">4.) </w:t>
      </w:r>
      <w:r w:rsidR="00461B2B" w:rsidRPr="009B20E7">
        <w:rPr>
          <w:rFonts w:cstheme="minorHAnsi"/>
          <w:sz w:val="24"/>
          <w:szCs w:val="24"/>
        </w:rPr>
        <w:t xml:space="preserve">Random </w:t>
      </w:r>
      <w:r w:rsidR="00946A7A" w:rsidRPr="009B20E7">
        <w:rPr>
          <w:rFonts w:cstheme="minorHAnsi"/>
          <w:sz w:val="24"/>
          <w:szCs w:val="24"/>
        </w:rPr>
        <w:t>Forest</w:t>
      </w:r>
    </w:p>
    <w:p w14:paraId="4065AA1E" w14:textId="77777777" w:rsidR="003B412C" w:rsidRPr="009B20E7" w:rsidRDefault="003B412C" w:rsidP="00E46274">
      <w:pPr>
        <w:spacing w:after="0" w:line="360" w:lineRule="auto"/>
        <w:jc w:val="center"/>
        <w:rPr>
          <w:rFonts w:cstheme="minorHAnsi"/>
          <w:b/>
          <w:bCs/>
          <w:sz w:val="24"/>
          <w:szCs w:val="24"/>
        </w:rPr>
      </w:pPr>
    </w:p>
    <w:p w14:paraId="4B82F4A6" w14:textId="15B868BF" w:rsidR="003B412C" w:rsidRPr="009B20E7" w:rsidRDefault="003B412C" w:rsidP="00E46274">
      <w:pPr>
        <w:spacing w:after="0" w:line="360" w:lineRule="auto"/>
        <w:jc w:val="center"/>
        <w:rPr>
          <w:rFonts w:cstheme="minorHAnsi"/>
          <w:b/>
          <w:bCs/>
          <w:sz w:val="24"/>
          <w:szCs w:val="24"/>
        </w:rPr>
      </w:pPr>
    </w:p>
    <w:p w14:paraId="50E64220" w14:textId="184288B3" w:rsidR="00E46274" w:rsidRPr="00B756CE" w:rsidRDefault="00E46274" w:rsidP="00E46274">
      <w:pPr>
        <w:spacing w:after="0" w:line="360" w:lineRule="auto"/>
        <w:jc w:val="center"/>
        <w:rPr>
          <w:rFonts w:cstheme="minorHAnsi"/>
          <w:b/>
          <w:bCs/>
          <w:sz w:val="24"/>
          <w:szCs w:val="24"/>
        </w:rPr>
      </w:pPr>
      <w:r w:rsidRPr="00B756CE">
        <w:rPr>
          <w:rFonts w:cstheme="minorHAnsi"/>
          <w:b/>
          <w:bCs/>
          <w:sz w:val="24"/>
          <w:szCs w:val="24"/>
        </w:rPr>
        <w:lastRenderedPageBreak/>
        <w:t>Analysis and Model Comparison</w:t>
      </w:r>
    </w:p>
    <w:p w14:paraId="1CD3E98F" w14:textId="77777777" w:rsidR="00B756CE" w:rsidRPr="00B756CE" w:rsidRDefault="00424E10" w:rsidP="00B756CE">
      <w:pPr>
        <w:spacing w:after="0" w:line="360" w:lineRule="auto"/>
        <w:rPr>
          <w:rFonts w:cstheme="minorHAnsi"/>
          <w:sz w:val="24"/>
          <w:szCs w:val="24"/>
        </w:rPr>
      </w:pPr>
      <w:r w:rsidRPr="00B756CE">
        <w:rPr>
          <w:rFonts w:cstheme="minorHAnsi"/>
          <w:i/>
          <w:iCs/>
          <w:sz w:val="24"/>
          <w:szCs w:val="24"/>
          <w:u w:val="single"/>
        </w:rPr>
        <w:t>Ordinary Least Squares(OLS):</w:t>
      </w:r>
      <w:r w:rsidRPr="00B756CE">
        <w:rPr>
          <w:rFonts w:cstheme="minorHAnsi"/>
          <w:sz w:val="24"/>
          <w:szCs w:val="24"/>
        </w:rPr>
        <w:t xml:space="preserve"> This method will be used as a benchmark for the analysis of the continuous variable</w:t>
      </w:r>
      <w:r w:rsidR="000C0E4D" w:rsidRPr="00B756CE">
        <w:rPr>
          <w:rFonts w:cstheme="minorHAnsi"/>
          <w:sz w:val="24"/>
          <w:szCs w:val="24"/>
        </w:rPr>
        <w:t>,</w:t>
      </w:r>
      <w:r w:rsidRPr="00B756CE">
        <w:rPr>
          <w:rFonts w:cstheme="minorHAnsi"/>
          <w:sz w:val="24"/>
          <w:szCs w:val="24"/>
        </w:rPr>
        <w:t xml:space="preserve"> RSPY.</w:t>
      </w:r>
      <w:r w:rsidR="001208DB" w:rsidRPr="00B756CE">
        <w:rPr>
          <w:rFonts w:cstheme="minorHAnsi"/>
          <w:sz w:val="24"/>
          <w:szCs w:val="24"/>
        </w:rPr>
        <w:t xml:space="preserve"> </w:t>
      </w:r>
      <w:r w:rsidRPr="00B756CE">
        <w:rPr>
          <w:rFonts w:cstheme="minorHAnsi"/>
          <w:sz w:val="24"/>
          <w:szCs w:val="24"/>
        </w:rPr>
        <w:t>OLS fits a model by minimizing the squared differences between observed and predicted values.</w:t>
      </w:r>
      <w:r w:rsidR="001208DB" w:rsidRPr="00B756CE">
        <w:rPr>
          <w:rFonts w:cstheme="minorHAnsi"/>
          <w:sz w:val="24"/>
          <w:szCs w:val="24"/>
        </w:rPr>
        <w:t xml:space="preserve"> </w:t>
      </w:r>
      <w:r w:rsidRPr="00B756CE">
        <w:rPr>
          <w:rFonts w:cstheme="minorHAnsi"/>
          <w:sz w:val="24"/>
          <w:szCs w:val="24"/>
        </w:rPr>
        <w:t>Since all of the model effects are included in the final model, overfitting can become an issue.</w:t>
      </w:r>
    </w:p>
    <w:p w14:paraId="1558F4B5" w14:textId="7DBED3E5" w:rsidR="00805B2C" w:rsidRPr="00B756CE" w:rsidRDefault="00424E10" w:rsidP="00B756CE">
      <w:pPr>
        <w:spacing w:after="0" w:line="360" w:lineRule="auto"/>
        <w:rPr>
          <w:rFonts w:cstheme="minorHAnsi"/>
          <w:sz w:val="24"/>
          <w:szCs w:val="24"/>
        </w:rPr>
      </w:pPr>
      <w:r w:rsidRPr="00B756CE">
        <w:rPr>
          <w:rFonts w:cstheme="minorHAnsi"/>
          <w:i/>
          <w:iCs/>
          <w:color w:val="2D3B45"/>
          <w:sz w:val="24"/>
          <w:szCs w:val="24"/>
          <w:u w:val="single"/>
          <w:shd w:val="clear" w:color="auto" w:fill="FFFFFF"/>
        </w:rPr>
        <w:t>Nominal</w:t>
      </w:r>
      <w:r w:rsidR="00805B2C" w:rsidRPr="00B756CE">
        <w:rPr>
          <w:rFonts w:cstheme="minorHAnsi"/>
          <w:i/>
          <w:iCs/>
          <w:color w:val="2D3B45"/>
          <w:sz w:val="24"/>
          <w:szCs w:val="24"/>
          <w:u w:val="single"/>
          <w:shd w:val="clear" w:color="auto" w:fill="FFFFFF"/>
        </w:rPr>
        <w:t xml:space="preserve"> Logistic Regression</w:t>
      </w:r>
      <w:r w:rsidR="00805B2C" w:rsidRPr="00B756CE">
        <w:rPr>
          <w:rFonts w:cstheme="minorHAnsi"/>
          <w:color w:val="2D3B45"/>
          <w:sz w:val="24"/>
          <w:szCs w:val="24"/>
          <w:u w:val="single"/>
          <w:shd w:val="clear" w:color="auto" w:fill="FFFFFF"/>
        </w:rPr>
        <w:t>:</w:t>
      </w:r>
      <w:r w:rsidR="00805B2C" w:rsidRPr="00B756CE">
        <w:rPr>
          <w:rFonts w:cstheme="minorHAnsi"/>
          <w:color w:val="2D3B45"/>
          <w:sz w:val="24"/>
          <w:szCs w:val="24"/>
          <w:shd w:val="clear" w:color="auto" w:fill="FFFFFF"/>
        </w:rPr>
        <w:t xml:space="preserve"> This </w:t>
      </w:r>
      <w:r w:rsidRPr="00B756CE">
        <w:rPr>
          <w:rFonts w:cstheme="minorHAnsi"/>
          <w:color w:val="2D3B45"/>
          <w:sz w:val="24"/>
          <w:szCs w:val="24"/>
          <w:shd w:val="clear" w:color="auto" w:fill="FFFFFF"/>
        </w:rPr>
        <w:t xml:space="preserve">method will </w:t>
      </w:r>
      <w:r w:rsidR="00805B2C" w:rsidRPr="00B756CE">
        <w:rPr>
          <w:rFonts w:cstheme="minorHAnsi"/>
          <w:color w:val="2D3B45"/>
          <w:sz w:val="24"/>
          <w:szCs w:val="24"/>
          <w:shd w:val="clear" w:color="auto" w:fill="FFFFFF"/>
        </w:rPr>
        <w:t>be used as a benchmark for the</w:t>
      </w:r>
      <w:r w:rsidRPr="00B756CE">
        <w:rPr>
          <w:rFonts w:cstheme="minorHAnsi"/>
          <w:color w:val="2D3B45"/>
          <w:sz w:val="24"/>
          <w:szCs w:val="24"/>
          <w:shd w:val="clear" w:color="auto" w:fill="FFFFFF"/>
        </w:rPr>
        <w:t xml:space="preserve"> </w:t>
      </w:r>
      <w:r w:rsidR="00805B2C" w:rsidRPr="00B756CE">
        <w:rPr>
          <w:rFonts w:cstheme="minorHAnsi"/>
          <w:color w:val="2D3B45"/>
          <w:sz w:val="24"/>
          <w:szCs w:val="24"/>
          <w:shd w:val="clear" w:color="auto" w:fill="FFFFFF"/>
        </w:rPr>
        <w:t>analysis</w:t>
      </w:r>
      <w:r w:rsidRPr="00B756CE">
        <w:rPr>
          <w:rFonts w:cstheme="minorHAnsi"/>
          <w:color w:val="2D3B45"/>
          <w:sz w:val="24"/>
          <w:szCs w:val="24"/>
          <w:shd w:val="clear" w:color="auto" w:fill="FFFFFF"/>
        </w:rPr>
        <w:t xml:space="preserve"> of the binary variable</w:t>
      </w:r>
      <w:r w:rsidR="000C0E4D" w:rsidRPr="00B756CE">
        <w:rPr>
          <w:rFonts w:cstheme="minorHAnsi"/>
          <w:color w:val="2D3B45"/>
          <w:sz w:val="24"/>
          <w:szCs w:val="24"/>
          <w:shd w:val="clear" w:color="auto" w:fill="FFFFFF"/>
        </w:rPr>
        <w:t>,</w:t>
      </w:r>
      <w:r w:rsidRPr="00B756CE">
        <w:rPr>
          <w:rFonts w:cstheme="minorHAnsi"/>
          <w:color w:val="2D3B45"/>
          <w:sz w:val="24"/>
          <w:szCs w:val="24"/>
          <w:shd w:val="clear" w:color="auto" w:fill="FFFFFF"/>
        </w:rPr>
        <w:t xml:space="preserve"> Sign of RSPY</w:t>
      </w:r>
      <w:r w:rsidR="00805B2C" w:rsidRPr="00B756CE">
        <w:rPr>
          <w:rFonts w:cstheme="minorHAnsi"/>
          <w:color w:val="2D3B45"/>
          <w:sz w:val="24"/>
          <w:szCs w:val="24"/>
          <w:shd w:val="clear" w:color="auto" w:fill="FFFFFF"/>
        </w:rPr>
        <w:t>.</w:t>
      </w:r>
      <w:r w:rsidR="001208DB" w:rsidRPr="00B756CE">
        <w:rPr>
          <w:rFonts w:cstheme="minorHAnsi"/>
          <w:color w:val="2D3B45"/>
          <w:sz w:val="24"/>
          <w:szCs w:val="24"/>
          <w:shd w:val="clear" w:color="auto" w:fill="FFFFFF"/>
        </w:rPr>
        <w:t xml:space="preserve"> </w:t>
      </w:r>
      <w:r w:rsidR="00805B2C" w:rsidRPr="00B756CE">
        <w:rPr>
          <w:rFonts w:cstheme="minorHAnsi"/>
          <w:color w:val="2D3B45"/>
          <w:sz w:val="24"/>
          <w:szCs w:val="24"/>
          <w:shd w:val="clear" w:color="auto" w:fill="FFFFFF"/>
        </w:rPr>
        <w:t xml:space="preserve">By retaining all of the data set variables in its results, this method </w:t>
      </w:r>
      <w:r w:rsidRPr="00B756CE">
        <w:rPr>
          <w:rFonts w:cstheme="minorHAnsi"/>
          <w:color w:val="2D3B45"/>
          <w:sz w:val="24"/>
          <w:szCs w:val="24"/>
          <w:shd w:val="clear" w:color="auto" w:fill="FFFFFF"/>
        </w:rPr>
        <w:t xml:space="preserve">also </w:t>
      </w:r>
      <w:r w:rsidR="00805B2C" w:rsidRPr="00B756CE">
        <w:rPr>
          <w:rFonts w:cstheme="minorHAnsi"/>
          <w:color w:val="2D3B45"/>
          <w:sz w:val="24"/>
          <w:szCs w:val="24"/>
          <w:shd w:val="clear" w:color="auto" w:fill="FFFFFF"/>
        </w:rPr>
        <w:t>tends to overfit models to the training set.</w:t>
      </w:r>
    </w:p>
    <w:p w14:paraId="25C68E5D" w14:textId="4BD61600" w:rsidR="00BF73F1" w:rsidRPr="00B756CE" w:rsidRDefault="00BF73F1" w:rsidP="00805B2C">
      <w:pPr>
        <w:pStyle w:val="ListParagraph"/>
        <w:spacing w:before="100" w:line="360" w:lineRule="auto"/>
        <w:ind w:left="0"/>
        <w:rPr>
          <w:rFonts w:asciiTheme="minorHAnsi" w:hAnsiTheme="minorHAnsi" w:cstheme="minorHAnsi"/>
          <w:color w:val="2D3B45"/>
          <w:szCs w:val="24"/>
          <w:shd w:val="clear" w:color="auto" w:fill="FFFFFF"/>
        </w:rPr>
      </w:pPr>
      <w:r w:rsidRPr="00B756CE">
        <w:rPr>
          <w:rFonts w:asciiTheme="minorHAnsi" w:hAnsiTheme="minorHAnsi" w:cstheme="minorHAnsi"/>
          <w:i/>
          <w:iCs/>
          <w:color w:val="2D3B45"/>
          <w:szCs w:val="24"/>
          <w:u w:val="single"/>
          <w:shd w:val="clear" w:color="auto" w:fill="FFFFFF"/>
        </w:rPr>
        <w:t>Standard Decision Tree</w:t>
      </w:r>
      <w:r w:rsidR="00C5253C" w:rsidRPr="00B756CE">
        <w:rPr>
          <w:rFonts w:asciiTheme="minorHAnsi" w:hAnsiTheme="minorHAnsi" w:cstheme="minorHAnsi"/>
          <w:i/>
          <w:iCs/>
          <w:color w:val="2D3B45"/>
          <w:szCs w:val="24"/>
          <w:u w:val="single"/>
          <w:shd w:val="clear" w:color="auto" w:fill="FFFFFF"/>
        </w:rPr>
        <w:t>:</w:t>
      </w:r>
      <w:r w:rsidR="00C5253C" w:rsidRPr="00B756CE"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 </w:t>
      </w:r>
      <w:r w:rsidR="009B20E7" w:rsidRPr="00B756CE">
        <w:rPr>
          <w:rFonts w:asciiTheme="minorHAnsi" w:hAnsiTheme="minorHAnsi" w:cstheme="minorHAnsi"/>
          <w:color w:val="2D3B45"/>
          <w:szCs w:val="24"/>
          <w:shd w:val="clear" w:color="auto" w:fill="FFFFFF"/>
        </w:rPr>
        <w:t>This method creates a tree by separating the variables at each node</w:t>
      </w:r>
      <w:r w:rsidR="00B13757">
        <w:rPr>
          <w:rFonts w:asciiTheme="minorHAnsi" w:hAnsiTheme="minorHAnsi" w:cstheme="minorHAnsi"/>
          <w:color w:val="2D3B45"/>
          <w:szCs w:val="24"/>
          <w:shd w:val="clear" w:color="auto" w:fill="FFFFFF"/>
        </w:rPr>
        <w:t>, according to</w:t>
      </w:r>
      <w:r w:rsidR="000C0E4D" w:rsidRPr="00B756CE"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 </w:t>
      </w:r>
      <w:r w:rsidR="009B20E7" w:rsidRPr="00B756CE">
        <w:rPr>
          <w:rFonts w:asciiTheme="minorHAnsi" w:hAnsiTheme="minorHAnsi" w:cstheme="minorHAnsi"/>
          <w:color w:val="2D3B45"/>
          <w:szCs w:val="24"/>
          <w:shd w:val="clear" w:color="auto" w:fill="FFFFFF"/>
        </w:rPr>
        <w:t>the largest disparity.</w:t>
      </w:r>
      <w:r w:rsidR="001208DB" w:rsidRPr="00B756CE"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 </w:t>
      </w:r>
      <w:r w:rsidR="009B20E7" w:rsidRPr="00B756CE">
        <w:rPr>
          <w:rFonts w:asciiTheme="minorHAnsi" w:hAnsiTheme="minorHAnsi" w:cstheme="minorHAnsi"/>
          <w:color w:val="2D3B45"/>
          <w:szCs w:val="24"/>
          <w:shd w:val="clear" w:color="auto" w:fill="FFFFFF"/>
        </w:rPr>
        <w:t>This greedy approach does not always provide an optimal solution.</w:t>
      </w:r>
      <w:r w:rsidR="001208DB" w:rsidRPr="00B756CE"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 </w:t>
      </w:r>
      <w:r w:rsidR="00C5253C" w:rsidRPr="00B756CE"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This method is </w:t>
      </w:r>
      <w:r w:rsidR="00223262" w:rsidRPr="00B756CE"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simply included </w:t>
      </w:r>
      <w:r w:rsidR="000C0E4D" w:rsidRPr="00B756CE"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in the analysis </w:t>
      </w:r>
      <w:r w:rsidR="00223262" w:rsidRPr="00B756CE"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to be </w:t>
      </w:r>
      <w:r w:rsidR="00C5253C" w:rsidRPr="00B756CE"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compared with </w:t>
      </w:r>
      <w:r w:rsidR="0089100F" w:rsidRPr="00B756CE"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the </w:t>
      </w:r>
      <w:r w:rsidR="00C5253C" w:rsidRPr="00B756CE">
        <w:rPr>
          <w:rFonts w:asciiTheme="minorHAnsi" w:hAnsiTheme="minorHAnsi" w:cstheme="minorHAnsi"/>
          <w:color w:val="2D3B45"/>
          <w:szCs w:val="24"/>
          <w:shd w:val="clear" w:color="auto" w:fill="FFFFFF"/>
        </w:rPr>
        <w:t>Random Forest model.</w:t>
      </w:r>
    </w:p>
    <w:p w14:paraId="109A7D6B" w14:textId="3F919666" w:rsidR="00BF73F1" w:rsidRPr="00B756CE" w:rsidRDefault="00BF73F1" w:rsidP="00805B2C">
      <w:pPr>
        <w:pStyle w:val="ListParagraph"/>
        <w:spacing w:before="100" w:line="360" w:lineRule="auto"/>
        <w:ind w:left="0"/>
        <w:rPr>
          <w:rFonts w:asciiTheme="minorHAnsi" w:hAnsiTheme="minorHAnsi" w:cstheme="minorHAnsi"/>
          <w:color w:val="2D3B45"/>
          <w:szCs w:val="24"/>
          <w:shd w:val="clear" w:color="auto" w:fill="FFFFFF"/>
        </w:rPr>
      </w:pPr>
      <w:r w:rsidRPr="00B756CE">
        <w:rPr>
          <w:rFonts w:asciiTheme="minorHAnsi" w:hAnsiTheme="minorHAnsi" w:cstheme="minorHAnsi"/>
          <w:i/>
          <w:iCs/>
          <w:color w:val="2D3B45"/>
          <w:szCs w:val="24"/>
          <w:u w:val="single"/>
          <w:shd w:val="clear" w:color="auto" w:fill="FFFFFF"/>
        </w:rPr>
        <w:t>Random Forest:</w:t>
      </w:r>
      <w:r w:rsidRPr="00B756CE"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 </w:t>
      </w:r>
      <w:r w:rsidR="00223262" w:rsidRPr="00B756CE"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This method creates many decision trees, using a subset of variables to </w:t>
      </w:r>
      <w:r w:rsidR="00B13757"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enforce an element </w:t>
      </w:r>
      <w:r w:rsidR="00223262" w:rsidRPr="00B756CE">
        <w:rPr>
          <w:rFonts w:asciiTheme="minorHAnsi" w:hAnsiTheme="minorHAnsi" w:cstheme="minorHAnsi"/>
          <w:color w:val="2D3B45"/>
          <w:szCs w:val="24"/>
          <w:shd w:val="clear" w:color="auto" w:fill="FFFFFF"/>
        </w:rPr>
        <w:t>of randomness.</w:t>
      </w:r>
      <w:r w:rsidR="001208DB" w:rsidRPr="00B756CE"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 </w:t>
      </w:r>
      <w:r w:rsidR="00223262" w:rsidRPr="00B756CE"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The resulting array of uncorrelated decision trees make predictions, and the one that makes the most accurate predictions is the </w:t>
      </w:r>
      <w:r w:rsidR="00A30978" w:rsidRPr="00B756CE">
        <w:rPr>
          <w:rFonts w:asciiTheme="minorHAnsi" w:hAnsiTheme="minorHAnsi" w:cstheme="minorHAnsi"/>
          <w:color w:val="2D3B45"/>
          <w:szCs w:val="24"/>
          <w:shd w:val="clear" w:color="auto" w:fill="FFFFFF"/>
        </w:rPr>
        <w:t>model</w:t>
      </w:r>
      <w:r w:rsidR="00223262" w:rsidRPr="00B756CE">
        <w:rPr>
          <w:rFonts w:asciiTheme="minorHAnsi" w:hAnsiTheme="minorHAnsi" w:cstheme="minorHAnsi"/>
          <w:color w:val="2D3B45"/>
          <w:szCs w:val="24"/>
          <w:shd w:val="clear" w:color="auto" w:fill="FFFFFF"/>
        </w:rPr>
        <w:t xml:space="preserve"> that is chosen.</w:t>
      </w:r>
    </w:p>
    <w:p w14:paraId="631DF051" w14:textId="2CC9D0B5" w:rsidR="009B20E7" w:rsidRPr="00B756CE" w:rsidRDefault="005C0243" w:rsidP="009B20E7">
      <w:pPr>
        <w:pStyle w:val="ListParagraph"/>
        <w:spacing w:before="100" w:line="360" w:lineRule="auto"/>
        <w:ind w:left="0"/>
        <w:rPr>
          <w:rFonts w:asciiTheme="minorHAnsi" w:hAnsiTheme="minorHAnsi" w:cstheme="minorHAnsi"/>
          <w:szCs w:val="24"/>
        </w:rPr>
      </w:pPr>
      <w:r w:rsidRPr="00B756CE">
        <w:rPr>
          <w:rFonts w:asciiTheme="minorHAnsi" w:hAnsiTheme="minorHAnsi" w:cstheme="minorHAnsi"/>
          <w:szCs w:val="24"/>
        </w:rPr>
        <w:tab/>
        <w:t>The cross-validation procedure applied to this analysis accounts for the time-series nature of the data set.</w:t>
      </w:r>
      <w:r w:rsidR="001208DB" w:rsidRPr="00B756CE">
        <w:rPr>
          <w:rFonts w:asciiTheme="minorHAnsi" w:hAnsiTheme="minorHAnsi" w:cstheme="minorHAnsi"/>
          <w:szCs w:val="24"/>
        </w:rPr>
        <w:t xml:space="preserve"> </w:t>
      </w:r>
      <w:r w:rsidRPr="00B756CE">
        <w:rPr>
          <w:rFonts w:asciiTheme="minorHAnsi" w:hAnsiTheme="minorHAnsi" w:cstheme="minorHAnsi"/>
          <w:szCs w:val="24"/>
        </w:rPr>
        <w:t>The data is split into three sections chronologically (as opposed to being randomized).</w:t>
      </w:r>
      <w:r w:rsidR="001208DB" w:rsidRPr="00B756CE">
        <w:rPr>
          <w:rFonts w:asciiTheme="minorHAnsi" w:hAnsiTheme="minorHAnsi" w:cstheme="minorHAnsi"/>
          <w:szCs w:val="24"/>
        </w:rPr>
        <w:t xml:space="preserve"> </w:t>
      </w:r>
      <w:r w:rsidRPr="00B756CE">
        <w:rPr>
          <w:rFonts w:asciiTheme="minorHAnsi" w:hAnsiTheme="minorHAnsi" w:cstheme="minorHAnsi"/>
          <w:szCs w:val="24"/>
        </w:rPr>
        <w:t>Implementing a 60-20-20 split, the first 195 rows are used to train the models, the next 66 rows are tied to validation, and the final 66 rows are set aside for testing. This forward-looking approach to cross-validation helps to ensure that the model considers the sequential nature of the data</w:t>
      </w:r>
      <w:r w:rsidR="00A30978" w:rsidRPr="00B756CE">
        <w:rPr>
          <w:rFonts w:asciiTheme="minorHAnsi" w:hAnsiTheme="minorHAnsi" w:cstheme="minorHAnsi"/>
          <w:szCs w:val="24"/>
        </w:rPr>
        <w:t xml:space="preserve"> </w:t>
      </w:r>
      <w:r w:rsidRPr="00B756CE">
        <w:rPr>
          <w:rFonts w:asciiTheme="minorHAnsi" w:hAnsiTheme="minorHAnsi" w:cstheme="minorHAnsi"/>
          <w:szCs w:val="24"/>
        </w:rPr>
        <w:t>set.</w:t>
      </w:r>
    </w:p>
    <w:p w14:paraId="789E63FB" w14:textId="223D1E79" w:rsidR="00A30978" w:rsidRPr="00B756CE" w:rsidRDefault="006160A7" w:rsidP="00A30978">
      <w:pPr>
        <w:pStyle w:val="ListParagraph"/>
        <w:spacing w:before="100" w:line="360" w:lineRule="auto"/>
        <w:ind w:left="0"/>
        <w:rPr>
          <w:rFonts w:asciiTheme="minorHAnsi" w:hAnsiTheme="minorHAnsi" w:cstheme="minorHAnsi"/>
          <w:szCs w:val="24"/>
        </w:rPr>
      </w:pPr>
      <w:r w:rsidRPr="00B756CE">
        <w:rPr>
          <w:rFonts w:asciiTheme="minorHAnsi" w:hAnsiTheme="minorHAnsi" w:cstheme="minorHAnsi"/>
          <w:szCs w:val="24"/>
        </w:rPr>
        <w:tab/>
      </w:r>
      <w:r w:rsidR="005D2089" w:rsidRPr="00B756CE">
        <w:rPr>
          <w:rFonts w:asciiTheme="minorHAnsi" w:hAnsiTheme="minorHAnsi" w:cstheme="minorHAnsi"/>
          <w:szCs w:val="24"/>
        </w:rPr>
        <w:t xml:space="preserve">Both analyses were conducted in a similar </w:t>
      </w:r>
      <w:r w:rsidR="00A30978" w:rsidRPr="00B756CE">
        <w:rPr>
          <w:rFonts w:asciiTheme="minorHAnsi" w:hAnsiTheme="minorHAnsi" w:cstheme="minorHAnsi"/>
          <w:szCs w:val="24"/>
        </w:rPr>
        <w:t>manner</w:t>
      </w:r>
      <w:r w:rsidR="005D2089" w:rsidRPr="00B756CE">
        <w:rPr>
          <w:rFonts w:asciiTheme="minorHAnsi" w:hAnsiTheme="minorHAnsi" w:cstheme="minorHAnsi"/>
          <w:szCs w:val="24"/>
        </w:rPr>
        <w:t>.</w:t>
      </w:r>
      <w:r w:rsidR="001208DB" w:rsidRPr="00B756CE">
        <w:rPr>
          <w:rFonts w:asciiTheme="minorHAnsi" w:hAnsiTheme="minorHAnsi" w:cstheme="minorHAnsi"/>
          <w:szCs w:val="24"/>
        </w:rPr>
        <w:t xml:space="preserve"> </w:t>
      </w:r>
      <w:r w:rsidR="00A30978" w:rsidRPr="00B756CE">
        <w:rPr>
          <w:rFonts w:asciiTheme="minorHAnsi" w:hAnsiTheme="minorHAnsi" w:cstheme="minorHAnsi"/>
          <w:szCs w:val="24"/>
        </w:rPr>
        <w:t>T</w:t>
      </w:r>
      <w:r w:rsidRPr="00B756CE">
        <w:rPr>
          <w:rFonts w:asciiTheme="minorHAnsi" w:hAnsiTheme="minorHAnsi" w:cstheme="minorHAnsi"/>
          <w:szCs w:val="24"/>
        </w:rPr>
        <w:t xml:space="preserve">he first analysis aimed to predict the returns of the S&amp;P 500, </w:t>
      </w:r>
      <w:r w:rsidR="00A30978" w:rsidRPr="00B756CE">
        <w:rPr>
          <w:rFonts w:asciiTheme="minorHAnsi" w:hAnsiTheme="minorHAnsi" w:cstheme="minorHAnsi"/>
          <w:szCs w:val="24"/>
        </w:rPr>
        <w:t xml:space="preserve">and </w:t>
      </w:r>
      <w:r w:rsidRPr="00B756CE">
        <w:rPr>
          <w:rFonts w:asciiTheme="minorHAnsi" w:hAnsiTheme="minorHAnsi" w:cstheme="minorHAnsi"/>
          <w:szCs w:val="24"/>
        </w:rPr>
        <w:t>RSPY was selected as the response variable.</w:t>
      </w:r>
      <w:r w:rsidR="001208DB" w:rsidRPr="00B756CE">
        <w:rPr>
          <w:rFonts w:asciiTheme="minorHAnsi" w:hAnsiTheme="minorHAnsi" w:cstheme="minorHAnsi"/>
          <w:szCs w:val="24"/>
        </w:rPr>
        <w:t xml:space="preserve"> </w:t>
      </w:r>
      <w:r w:rsidR="00A30978" w:rsidRPr="00B756CE">
        <w:rPr>
          <w:rFonts w:asciiTheme="minorHAnsi" w:hAnsiTheme="minorHAnsi" w:cstheme="minorHAnsi"/>
          <w:szCs w:val="24"/>
        </w:rPr>
        <w:t>The second analysis looked to predict the recommendation to buy, and Sign of RSPY was selected as the response variable (with the target level of “1”).</w:t>
      </w:r>
      <w:r w:rsidR="001208DB" w:rsidRPr="00B756CE">
        <w:rPr>
          <w:rFonts w:asciiTheme="minorHAnsi" w:hAnsiTheme="minorHAnsi" w:cstheme="minorHAnsi"/>
          <w:szCs w:val="24"/>
        </w:rPr>
        <w:t xml:space="preserve"> </w:t>
      </w:r>
      <w:r w:rsidR="00A30978" w:rsidRPr="00B756CE">
        <w:rPr>
          <w:rFonts w:asciiTheme="minorHAnsi" w:hAnsiTheme="minorHAnsi" w:cstheme="minorHAnsi"/>
          <w:szCs w:val="24"/>
        </w:rPr>
        <w:t>In both analyses, a</w:t>
      </w:r>
      <w:r w:rsidRPr="00B756CE">
        <w:rPr>
          <w:rFonts w:asciiTheme="minorHAnsi" w:hAnsiTheme="minorHAnsi" w:cstheme="minorHAnsi"/>
          <w:szCs w:val="24"/>
        </w:rPr>
        <w:t xml:space="preserve">ll of the other variables </w:t>
      </w:r>
      <w:r w:rsidR="00A30978" w:rsidRPr="00B756CE">
        <w:rPr>
          <w:rFonts w:asciiTheme="minorHAnsi" w:hAnsiTheme="minorHAnsi" w:cstheme="minorHAnsi"/>
          <w:szCs w:val="24"/>
        </w:rPr>
        <w:t xml:space="preserve">in the data set </w:t>
      </w:r>
      <w:r w:rsidRPr="00B756CE">
        <w:rPr>
          <w:rFonts w:asciiTheme="minorHAnsi" w:hAnsiTheme="minorHAnsi" w:cstheme="minorHAnsi"/>
          <w:szCs w:val="24"/>
        </w:rPr>
        <w:t xml:space="preserve">(both contemporaneous and lagging) were included as </w:t>
      </w:r>
      <w:r w:rsidR="00A30978" w:rsidRPr="00B756CE">
        <w:rPr>
          <w:rFonts w:asciiTheme="minorHAnsi" w:hAnsiTheme="minorHAnsi" w:cstheme="minorHAnsi"/>
          <w:szCs w:val="24"/>
        </w:rPr>
        <w:t xml:space="preserve">candidate </w:t>
      </w:r>
      <w:r w:rsidRPr="00B756CE">
        <w:rPr>
          <w:rFonts w:asciiTheme="minorHAnsi" w:hAnsiTheme="minorHAnsi" w:cstheme="minorHAnsi"/>
          <w:szCs w:val="24"/>
        </w:rPr>
        <w:t>predictors.</w:t>
      </w:r>
    </w:p>
    <w:p w14:paraId="1685407C" w14:textId="507C4BD0" w:rsidR="0089100F" w:rsidRPr="00B756CE" w:rsidRDefault="00644093" w:rsidP="00A30978">
      <w:pPr>
        <w:pStyle w:val="ListParagraph"/>
        <w:spacing w:before="100" w:line="360" w:lineRule="auto"/>
        <w:ind w:left="0"/>
        <w:rPr>
          <w:rFonts w:asciiTheme="minorHAnsi" w:hAnsiTheme="minorHAnsi" w:cstheme="minorHAnsi"/>
          <w:szCs w:val="24"/>
        </w:rPr>
      </w:pPr>
      <w:r w:rsidRPr="00B756CE">
        <w:rPr>
          <w:rFonts w:asciiTheme="minorHAnsi" w:hAnsiTheme="minorHAnsi" w:cstheme="minorHAnsi"/>
          <w:szCs w:val="24"/>
        </w:rPr>
        <w:tab/>
      </w:r>
      <w:r w:rsidR="006160A7" w:rsidRPr="00B756CE">
        <w:rPr>
          <w:rFonts w:asciiTheme="minorHAnsi" w:hAnsiTheme="minorHAnsi" w:cstheme="minorHAnsi"/>
          <w:szCs w:val="24"/>
        </w:rPr>
        <w:t xml:space="preserve">Using JMP Pro 16, this analysis was conducted </w:t>
      </w:r>
      <w:r w:rsidR="00CC16B7" w:rsidRPr="00B756CE">
        <w:rPr>
          <w:rFonts w:asciiTheme="minorHAnsi" w:hAnsiTheme="minorHAnsi" w:cstheme="minorHAnsi"/>
          <w:szCs w:val="24"/>
        </w:rPr>
        <w:t>with</w:t>
      </w:r>
      <w:r w:rsidR="006160A7" w:rsidRPr="00B756CE">
        <w:rPr>
          <w:rFonts w:asciiTheme="minorHAnsi" w:hAnsiTheme="minorHAnsi" w:cstheme="minorHAnsi"/>
          <w:szCs w:val="24"/>
        </w:rPr>
        <w:t xml:space="preserve"> </w:t>
      </w:r>
      <w:r w:rsidR="0089100F" w:rsidRPr="00B756CE">
        <w:rPr>
          <w:rFonts w:asciiTheme="minorHAnsi" w:hAnsiTheme="minorHAnsi" w:cstheme="minorHAnsi"/>
          <w:szCs w:val="24"/>
        </w:rPr>
        <w:t xml:space="preserve">the assigned </w:t>
      </w:r>
      <w:r w:rsidR="006160A7" w:rsidRPr="00B756CE">
        <w:rPr>
          <w:rFonts w:asciiTheme="minorHAnsi" w:hAnsiTheme="minorHAnsi" w:cstheme="minorHAnsi"/>
          <w:szCs w:val="24"/>
        </w:rPr>
        <w:t>methods.</w:t>
      </w:r>
      <w:r w:rsidR="001208DB" w:rsidRPr="00B756CE">
        <w:rPr>
          <w:rFonts w:asciiTheme="minorHAnsi" w:hAnsiTheme="minorHAnsi" w:cstheme="minorHAnsi"/>
          <w:szCs w:val="24"/>
        </w:rPr>
        <w:t xml:space="preserve"> </w:t>
      </w:r>
      <w:r w:rsidR="006160A7" w:rsidRPr="00B756CE">
        <w:rPr>
          <w:rFonts w:asciiTheme="minorHAnsi" w:hAnsiTheme="minorHAnsi" w:cstheme="minorHAnsi"/>
          <w:szCs w:val="24"/>
        </w:rPr>
        <w:t xml:space="preserve">As predictions from each model were generated, they were saved and stored in new columns in </w:t>
      </w:r>
      <w:r w:rsidR="006160A7" w:rsidRPr="00B756CE">
        <w:rPr>
          <w:rFonts w:asciiTheme="minorHAnsi" w:hAnsiTheme="minorHAnsi" w:cstheme="minorHAnsi"/>
          <w:szCs w:val="24"/>
        </w:rPr>
        <w:lastRenderedPageBreak/>
        <w:t>the data set.</w:t>
      </w:r>
      <w:r w:rsidR="001208DB" w:rsidRPr="00B756CE">
        <w:rPr>
          <w:rFonts w:asciiTheme="minorHAnsi" w:hAnsiTheme="minorHAnsi" w:cstheme="minorHAnsi"/>
          <w:szCs w:val="24"/>
        </w:rPr>
        <w:t xml:space="preserve"> </w:t>
      </w:r>
      <w:r w:rsidR="006160A7" w:rsidRPr="00B756CE">
        <w:rPr>
          <w:rFonts w:asciiTheme="minorHAnsi" w:hAnsiTheme="minorHAnsi" w:cstheme="minorHAnsi"/>
          <w:szCs w:val="24"/>
        </w:rPr>
        <w:t xml:space="preserve">The figure below </w:t>
      </w:r>
      <w:r w:rsidR="00223262" w:rsidRPr="00B756CE">
        <w:rPr>
          <w:rFonts w:asciiTheme="minorHAnsi" w:hAnsiTheme="minorHAnsi" w:cstheme="minorHAnsi"/>
          <w:szCs w:val="24"/>
        </w:rPr>
        <w:t>displays</w:t>
      </w:r>
      <w:r w:rsidR="006160A7" w:rsidRPr="00B756CE">
        <w:rPr>
          <w:rFonts w:asciiTheme="minorHAnsi" w:hAnsiTheme="minorHAnsi" w:cstheme="minorHAnsi"/>
          <w:szCs w:val="24"/>
        </w:rPr>
        <w:t xml:space="preserve"> </w:t>
      </w:r>
      <w:r w:rsidR="00223262" w:rsidRPr="00B756CE">
        <w:rPr>
          <w:rFonts w:asciiTheme="minorHAnsi" w:hAnsiTheme="minorHAnsi" w:cstheme="minorHAnsi"/>
          <w:szCs w:val="24"/>
        </w:rPr>
        <w:t xml:space="preserve">a </w:t>
      </w:r>
      <w:r w:rsidR="006160A7" w:rsidRPr="00B756CE">
        <w:rPr>
          <w:rFonts w:asciiTheme="minorHAnsi" w:hAnsiTheme="minorHAnsi" w:cstheme="minorHAnsi"/>
          <w:szCs w:val="24"/>
        </w:rPr>
        <w:t>comparison of how all models performed with the test data.</w:t>
      </w:r>
    </w:p>
    <w:p w14:paraId="79AE77E0" w14:textId="53B1E7C0" w:rsidR="00914EFE" w:rsidRDefault="00914EFE" w:rsidP="00914EFE">
      <w:pPr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Model Comparisons</w:t>
      </w:r>
    </w:p>
    <w:p w14:paraId="6B149D9E" w14:textId="77777777" w:rsidR="00914EFE" w:rsidRDefault="00914EFE" w:rsidP="00914EFE">
      <w:pPr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2FF2EDA7" w14:textId="79202ADB" w:rsidR="00406CBF" w:rsidRPr="00620A0E" w:rsidRDefault="00914EFE" w:rsidP="00914EFE">
      <w:pPr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RSPY </w:t>
      </w:r>
      <w:r w:rsidRPr="00620A0E">
        <w:rPr>
          <w:rFonts w:cstheme="minorHAnsi"/>
          <w:b/>
          <w:bCs/>
          <w:color w:val="000000"/>
          <w:sz w:val="24"/>
          <w:szCs w:val="24"/>
        </w:rPr>
        <w:t>Model Comparison</w:t>
      </w:r>
      <w:r w:rsidR="00CC16B7">
        <w:rPr>
          <w:rFonts w:cstheme="minorHAnsi"/>
          <w:b/>
          <w:bCs/>
          <w:color w:val="000000"/>
          <w:sz w:val="24"/>
          <w:szCs w:val="24"/>
        </w:rPr>
        <w:t xml:space="preserve"> - Test Data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05"/>
        <w:gridCol w:w="1070"/>
        <w:gridCol w:w="935"/>
        <w:gridCol w:w="755"/>
        <w:gridCol w:w="755"/>
      </w:tblGrid>
      <w:tr w:rsidR="00B75206" w14:paraId="3580CB93" w14:textId="77777777" w:rsidTr="00914EFE">
        <w:trPr>
          <w:trHeight w:val="239"/>
          <w:tblHeader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</w:tcPr>
          <w:p w14:paraId="2EB3F9A0" w14:textId="77777777" w:rsidR="00B75206" w:rsidRDefault="00B75206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Creator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497C46A4" w14:textId="77777777" w:rsidR="00B75206" w:rsidRDefault="00B75206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3FAEE169" w14:textId="77777777" w:rsidR="00B75206" w:rsidRDefault="00B75206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RSquare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330A5F33" w14:textId="77777777" w:rsidR="00B75206" w:rsidRDefault="00B75206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RASE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F2EA24" w14:textId="77777777" w:rsidR="00B75206" w:rsidRDefault="00B75206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AAE</w:t>
            </w:r>
          </w:p>
        </w:tc>
      </w:tr>
      <w:tr w:rsidR="00B75206" w14:paraId="0768D5DA" w14:textId="77777777" w:rsidTr="00914EFE">
        <w:trPr>
          <w:trHeight w:val="239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1BC4675" w14:textId="77777777" w:rsidR="00B75206" w:rsidRDefault="00B75206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Fit Least Squares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E7BE95" w14:textId="52ABB389" w:rsidR="00B75206" w:rsidRDefault="00B75206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2C21B5D1" wp14:editId="47ACFE7C">
                  <wp:extent cx="516255" cy="12700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2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87504B" w14:textId="77777777" w:rsidR="00B75206" w:rsidRDefault="00B75206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0.3624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2011F5" w14:textId="77777777" w:rsidR="00B75206" w:rsidRDefault="00B75206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0.0076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65DAD23" w14:textId="77777777" w:rsidR="00B75206" w:rsidRDefault="00B75206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0.0058</w:t>
            </w:r>
          </w:p>
        </w:tc>
      </w:tr>
      <w:tr w:rsidR="00B75206" w14:paraId="1F6F35D2" w14:textId="77777777" w:rsidTr="00914EFE">
        <w:trPr>
          <w:trHeight w:val="239"/>
        </w:trPr>
        <w:tc>
          <w:tcPr>
            <w:tcW w:w="1505" w:type="dxa"/>
            <w:tcBorders>
              <w:top w:val="nil"/>
              <w:left w:val="single" w:sz="4" w:space="0" w:color="auto"/>
              <w:right w:val="nil"/>
            </w:tcBorders>
          </w:tcPr>
          <w:p w14:paraId="594B0DD6" w14:textId="02C5DE45" w:rsidR="00B75206" w:rsidRDefault="00B75206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Decision Tree</w:t>
            </w:r>
          </w:p>
        </w:tc>
        <w:tc>
          <w:tcPr>
            <w:tcW w:w="1070" w:type="dxa"/>
            <w:tcBorders>
              <w:top w:val="nil"/>
              <w:left w:val="nil"/>
              <w:right w:val="nil"/>
            </w:tcBorders>
          </w:tcPr>
          <w:p w14:paraId="2F5EAFE6" w14:textId="37C7D374" w:rsidR="00B75206" w:rsidRDefault="00B75206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2448EF04" wp14:editId="7CB7F1E5">
                  <wp:extent cx="516255" cy="12700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2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5E8EC645" w14:textId="77777777" w:rsidR="00B75206" w:rsidRDefault="00B75206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0.2772</w:t>
            </w:r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</w:tcPr>
          <w:p w14:paraId="26593C5B" w14:textId="77777777" w:rsidR="00B75206" w:rsidRDefault="00B75206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0.0081</w:t>
            </w:r>
          </w:p>
        </w:tc>
        <w:tc>
          <w:tcPr>
            <w:tcW w:w="755" w:type="dxa"/>
            <w:tcBorders>
              <w:top w:val="nil"/>
              <w:left w:val="nil"/>
              <w:right w:val="single" w:sz="4" w:space="0" w:color="auto"/>
            </w:tcBorders>
          </w:tcPr>
          <w:p w14:paraId="486D2921" w14:textId="77777777" w:rsidR="00B75206" w:rsidRDefault="00B75206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0.0064</w:t>
            </w:r>
          </w:p>
        </w:tc>
      </w:tr>
      <w:tr w:rsidR="00B75206" w14:paraId="325AC9F7" w14:textId="77777777" w:rsidTr="00914EFE">
        <w:trPr>
          <w:trHeight w:val="239"/>
        </w:trPr>
        <w:tc>
          <w:tcPr>
            <w:tcW w:w="15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06899B" w14:textId="2CAB0A59" w:rsidR="00B75206" w:rsidRDefault="0089100F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Random</w:t>
            </w:r>
            <w:r w:rsidR="00B75206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Forest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D9C537" w14:textId="6D619EC9" w:rsidR="00B75206" w:rsidRDefault="00B75206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1D0628FF" wp14:editId="4F4035ED">
                  <wp:extent cx="516255" cy="1270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2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6FBAE0" w14:textId="77777777" w:rsidR="00B75206" w:rsidRPr="000C2F9C" w:rsidRDefault="00B75206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0C2F9C">
              <w:rPr>
                <w:rFonts w:ascii="Segoe UI" w:hAnsi="Segoe UI" w:cs="Segoe UI"/>
                <w:b/>
                <w:bCs/>
                <w:i/>
                <w:iCs/>
                <w:color w:val="000000"/>
                <w:sz w:val="18"/>
                <w:szCs w:val="18"/>
              </w:rPr>
              <w:t>0.5564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6112CC" w14:textId="77777777" w:rsidR="00B75206" w:rsidRPr="000C2F9C" w:rsidRDefault="00B75206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0C2F9C">
              <w:rPr>
                <w:rFonts w:ascii="Segoe UI" w:hAnsi="Segoe UI" w:cs="Segoe UI"/>
                <w:b/>
                <w:bCs/>
                <w:i/>
                <w:iCs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1AD37C" w14:textId="77777777" w:rsidR="00B75206" w:rsidRPr="000C2F9C" w:rsidRDefault="00B75206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0C2F9C">
              <w:rPr>
                <w:rFonts w:ascii="Segoe UI" w:hAnsi="Segoe UI" w:cs="Segoe UI"/>
                <w:b/>
                <w:bCs/>
                <w:i/>
                <w:iCs/>
                <w:color w:val="000000"/>
                <w:sz w:val="18"/>
                <w:szCs w:val="18"/>
              </w:rPr>
              <w:t>0.0048</w:t>
            </w:r>
          </w:p>
        </w:tc>
      </w:tr>
    </w:tbl>
    <w:p w14:paraId="361F368F" w14:textId="21B975CC" w:rsidR="00B4293F" w:rsidRDefault="00B4293F" w:rsidP="00914EFE">
      <w:pPr>
        <w:keepNext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</w:rPr>
      </w:pPr>
    </w:p>
    <w:p w14:paraId="6C27D8D3" w14:textId="4A430B56" w:rsidR="006E5C21" w:rsidRPr="00CC16B7" w:rsidRDefault="006E5C21" w:rsidP="00914EFE">
      <w:pPr>
        <w:keepNext/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12"/>
          <w:szCs w:val="12"/>
        </w:rPr>
      </w:pPr>
      <w:r w:rsidRPr="009B20E7">
        <w:rPr>
          <w:rFonts w:cstheme="minorHAnsi"/>
          <w:b/>
          <w:bCs/>
          <w:color w:val="000000"/>
          <w:sz w:val="24"/>
          <w:szCs w:val="24"/>
        </w:rPr>
        <w:tab/>
      </w:r>
      <w:r w:rsidRPr="009B20E7">
        <w:rPr>
          <w:rFonts w:cstheme="minorHAnsi"/>
          <w:color w:val="000000"/>
          <w:sz w:val="24"/>
          <w:szCs w:val="24"/>
        </w:rPr>
        <w:t xml:space="preserve">The ideal </w:t>
      </w:r>
      <w:r w:rsidR="00810DAB" w:rsidRPr="009B20E7">
        <w:rPr>
          <w:rFonts w:cstheme="minorHAnsi"/>
          <w:color w:val="000000"/>
          <w:sz w:val="24"/>
          <w:szCs w:val="24"/>
        </w:rPr>
        <w:t xml:space="preserve">RSPY predictive </w:t>
      </w:r>
      <w:r w:rsidRPr="009B20E7">
        <w:rPr>
          <w:rFonts w:cstheme="minorHAnsi"/>
          <w:color w:val="000000"/>
          <w:sz w:val="24"/>
          <w:szCs w:val="24"/>
        </w:rPr>
        <w:t>model in this comparison has the highest RSquare value, with the lowest RASE and AAE values. Random Forest was the highest performer in this group.</w:t>
      </w:r>
      <w:r w:rsidR="001208DB">
        <w:rPr>
          <w:rFonts w:cstheme="minorHAnsi"/>
          <w:color w:val="000000"/>
          <w:sz w:val="24"/>
          <w:szCs w:val="24"/>
        </w:rPr>
        <w:t xml:space="preserve"> </w:t>
      </w:r>
      <w:r w:rsidRPr="009B20E7">
        <w:rPr>
          <w:rFonts w:cstheme="minorHAnsi"/>
          <w:color w:val="000000"/>
          <w:sz w:val="24"/>
          <w:szCs w:val="24"/>
        </w:rPr>
        <w:t>Its RSquare value of 0.5564 was nearly 20 percentage points higher than that of the OLS model.</w:t>
      </w:r>
      <w:r w:rsidR="001208DB">
        <w:rPr>
          <w:rFonts w:cstheme="minorHAnsi"/>
          <w:color w:val="000000"/>
          <w:sz w:val="24"/>
          <w:szCs w:val="24"/>
        </w:rPr>
        <w:t xml:space="preserve"> </w:t>
      </w:r>
      <w:r w:rsidRPr="009B20E7">
        <w:rPr>
          <w:rFonts w:cstheme="minorHAnsi"/>
          <w:color w:val="000000"/>
          <w:sz w:val="24"/>
          <w:szCs w:val="24"/>
        </w:rPr>
        <w:t>The RASE and A</w:t>
      </w:r>
      <w:r w:rsidR="00B13757">
        <w:rPr>
          <w:rFonts w:cstheme="minorHAnsi"/>
          <w:color w:val="000000"/>
          <w:sz w:val="24"/>
          <w:szCs w:val="24"/>
        </w:rPr>
        <w:t>A</w:t>
      </w:r>
      <w:r w:rsidRPr="009B20E7">
        <w:rPr>
          <w:rFonts w:cstheme="minorHAnsi"/>
          <w:color w:val="000000"/>
          <w:sz w:val="24"/>
          <w:szCs w:val="24"/>
        </w:rPr>
        <w:t>E values (0.0064 and 0.0048, respectively) were also lower than the other models in the analysis.</w:t>
      </w:r>
      <w:r w:rsidR="00CC16B7" w:rsidRPr="00CC16B7">
        <w:rPr>
          <w:rFonts w:cstheme="minorHAnsi"/>
          <w:color w:val="000000"/>
          <w:sz w:val="12"/>
          <w:szCs w:val="12"/>
        </w:rPr>
        <w:br/>
      </w:r>
    </w:p>
    <w:p w14:paraId="0586EAF4" w14:textId="75EFF6C5" w:rsidR="00406CBF" w:rsidRPr="00620A0E" w:rsidRDefault="00914EFE" w:rsidP="00914EFE">
      <w:pPr>
        <w:keepNext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Sign of RSPY</w:t>
      </w:r>
      <w:r w:rsidRPr="00914EFE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620A0E">
        <w:rPr>
          <w:rFonts w:cstheme="minorHAnsi"/>
          <w:b/>
          <w:bCs/>
          <w:color w:val="000000"/>
          <w:sz w:val="24"/>
          <w:szCs w:val="24"/>
        </w:rPr>
        <w:t>Model Comparison</w:t>
      </w:r>
      <w:r w:rsidR="00CC16B7">
        <w:rPr>
          <w:rFonts w:cstheme="minorHAnsi"/>
          <w:b/>
          <w:bCs/>
          <w:color w:val="000000"/>
          <w:sz w:val="24"/>
          <w:szCs w:val="24"/>
        </w:rPr>
        <w:t xml:space="preserve"> - Test Data</w:t>
      </w:r>
    </w:p>
    <w:tbl>
      <w:tblPr>
        <w:tblW w:w="9055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45"/>
        <w:gridCol w:w="1070"/>
        <w:gridCol w:w="935"/>
        <w:gridCol w:w="1235"/>
        <w:gridCol w:w="755"/>
        <w:gridCol w:w="935"/>
        <w:gridCol w:w="1625"/>
        <w:gridCol w:w="755"/>
      </w:tblGrid>
      <w:tr w:rsidR="00406CBF" w14:paraId="60523730" w14:textId="77777777" w:rsidTr="00914EFE">
        <w:trPr>
          <w:trHeight w:val="239"/>
          <w:tblHeader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</w:tcPr>
          <w:p w14:paraId="51071DDE" w14:textId="77777777" w:rsidR="00406CBF" w:rsidRDefault="00406CBF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Creator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1911A6E4" w14:textId="77777777" w:rsidR="00406CBF" w:rsidRDefault="00406CBF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553C391E" w14:textId="77777777" w:rsidR="00406CBF" w:rsidRDefault="00406CBF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Entropy RSquare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026807E6" w14:textId="77777777" w:rsidR="00406CBF" w:rsidRDefault="00406CBF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Generalized RSquare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633A9BCC" w14:textId="77777777" w:rsidR="00406CBF" w:rsidRDefault="00406CBF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RASE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5A77CF7A" w14:textId="77777777" w:rsidR="00406CBF" w:rsidRDefault="00406CBF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Mean Abs Dev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415F6A84" w14:textId="77777777" w:rsidR="00406CBF" w:rsidRDefault="00406CBF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Misclassification Rate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68891E8" w14:textId="77777777" w:rsidR="00406CBF" w:rsidRDefault="00406CBF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AUC</w:t>
            </w:r>
          </w:p>
        </w:tc>
      </w:tr>
      <w:tr w:rsidR="00406CBF" w14:paraId="0A7E31B9" w14:textId="77777777" w:rsidTr="00914EFE">
        <w:trPr>
          <w:trHeight w:val="239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13AC794" w14:textId="77777777" w:rsidR="00406CBF" w:rsidRDefault="00406CBF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Fit Nominal Logistic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074306" w14:textId="0AFCBD61" w:rsidR="00406CBF" w:rsidRDefault="00406CBF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2F211499" wp14:editId="0C288ED8">
                  <wp:extent cx="516255" cy="127000"/>
                  <wp:effectExtent l="0" t="0" r="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2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A2FC62" w14:textId="4C42D0AF" w:rsidR="00406CBF" w:rsidRDefault="00406CBF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-10.20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B90A6E" w14:textId="3A4C9EC5" w:rsidR="00406CBF" w:rsidRDefault="00406CBF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-1e+6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DB01AB" w14:textId="77777777" w:rsidR="00406CBF" w:rsidRDefault="00406CBF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0.4464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DBE127" w14:textId="77777777" w:rsidR="00406CBF" w:rsidRDefault="00406CBF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0.2037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595B73" w14:textId="77777777" w:rsidR="00406CBF" w:rsidRDefault="00406CBF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0.1970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3B539FA" w14:textId="77777777" w:rsidR="00406CBF" w:rsidRDefault="00406CBF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0.7857</w:t>
            </w:r>
          </w:p>
        </w:tc>
      </w:tr>
      <w:tr w:rsidR="00406CBF" w14:paraId="5455EA52" w14:textId="77777777" w:rsidTr="00914EFE">
        <w:trPr>
          <w:trHeight w:val="239"/>
        </w:trPr>
        <w:tc>
          <w:tcPr>
            <w:tcW w:w="17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C9DB25" w14:textId="2E7DFAEC" w:rsidR="00406CBF" w:rsidRDefault="00946A7A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Decision Tree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16E90105" w14:textId="50C63814" w:rsidR="00406CBF" w:rsidRDefault="00406CBF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231FFFCF" wp14:editId="6D898BD4">
                  <wp:extent cx="516255" cy="127000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2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03D8E9EC" w14:textId="77777777" w:rsidR="00406CBF" w:rsidRDefault="00406CBF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0.3245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3392B2B1" w14:textId="77777777" w:rsidR="00406CBF" w:rsidRDefault="00406CBF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0.4803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65E80A69" w14:textId="77777777" w:rsidR="00406CBF" w:rsidRDefault="00406CBF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0.3707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11E44121" w14:textId="77777777" w:rsidR="00406CBF" w:rsidRDefault="00406CBF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0.2522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14:paraId="7CA34070" w14:textId="77777777" w:rsidR="00406CBF" w:rsidRDefault="00406CBF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0.1667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716C57" w14:textId="77777777" w:rsidR="00406CBF" w:rsidRDefault="00406CBF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0.8600</w:t>
            </w:r>
          </w:p>
        </w:tc>
      </w:tr>
      <w:tr w:rsidR="00406CBF" w14:paraId="2DA4D29E" w14:textId="77777777" w:rsidTr="00914EFE">
        <w:trPr>
          <w:trHeight w:val="239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9B539E7" w14:textId="56DA70BB" w:rsidR="00406CBF" w:rsidRDefault="0089100F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Random</w:t>
            </w:r>
            <w:r w:rsidR="00406CBF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Forest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7B416F" w14:textId="387A1BA8" w:rsidR="00406CBF" w:rsidRDefault="00406CBF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1DA573F4" wp14:editId="13016B32">
                  <wp:extent cx="516255" cy="127000"/>
                  <wp:effectExtent l="0" t="0" r="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2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A3C74" w14:textId="77777777" w:rsidR="00406CBF" w:rsidRDefault="00406CBF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0.4482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E1504" w14:textId="77777777" w:rsidR="00406CBF" w:rsidRDefault="00406CBF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0.6144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8E18EC" w14:textId="77777777" w:rsidR="00406CBF" w:rsidRDefault="00406CBF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0.3377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5EFEC9" w14:textId="77777777" w:rsidR="00406CBF" w:rsidRDefault="00406CBF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0.2332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6131D1" w14:textId="77777777" w:rsidR="00406CBF" w:rsidRPr="000C2F9C" w:rsidRDefault="00406CBF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0C2F9C">
              <w:rPr>
                <w:rFonts w:ascii="Segoe UI" w:hAnsi="Segoe UI" w:cs="Segoe UI"/>
                <w:b/>
                <w:bCs/>
                <w:i/>
                <w:iCs/>
                <w:color w:val="000000"/>
                <w:sz w:val="18"/>
                <w:szCs w:val="18"/>
              </w:rPr>
              <w:t>0.1667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DF5AA2" w14:textId="77777777" w:rsidR="00406CBF" w:rsidRPr="000C2F9C" w:rsidRDefault="00406CBF" w:rsidP="00914EF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0C2F9C">
              <w:rPr>
                <w:rFonts w:ascii="Segoe UI" w:hAnsi="Segoe UI" w:cs="Segoe UI"/>
                <w:b/>
                <w:bCs/>
                <w:i/>
                <w:iCs/>
                <w:color w:val="000000"/>
                <w:sz w:val="18"/>
                <w:szCs w:val="18"/>
              </w:rPr>
              <w:t>0.9079</w:t>
            </w:r>
          </w:p>
        </w:tc>
      </w:tr>
    </w:tbl>
    <w:p w14:paraId="71F93736" w14:textId="77777777" w:rsidR="0089100F" w:rsidRDefault="0089100F" w:rsidP="00914EFE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0000"/>
        </w:rPr>
      </w:pPr>
    </w:p>
    <w:p w14:paraId="15CEA0CC" w14:textId="0951B959" w:rsidR="0089100F" w:rsidRPr="009B20E7" w:rsidRDefault="0089100F" w:rsidP="0089100F">
      <w:pPr>
        <w:keepNext/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9B20E7">
        <w:rPr>
          <w:rFonts w:cstheme="minorHAnsi"/>
          <w:b/>
          <w:bCs/>
          <w:color w:val="000000"/>
        </w:rPr>
        <w:tab/>
      </w:r>
      <w:r w:rsidRPr="009B20E7">
        <w:rPr>
          <w:rFonts w:cstheme="minorHAnsi"/>
          <w:color w:val="000000"/>
          <w:sz w:val="24"/>
          <w:szCs w:val="24"/>
        </w:rPr>
        <w:t xml:space="preserve">The ideal </w:t>
      </w:r>
      <w:r w:rsidR="00810DAB" w:rsidRPr="009B20E7">
        <w:rPr>
          <w:rFonts w:cstheme="minorHAnsi"/>
          <w:color w:val="000000"/>
          <w:sz w:val="24"/>
          <w:szCs w:val="24"/>
        </w:rPr>
        <w:t xml:space="preserve">Sign of RSPY predictive </w:t>
      </w:r>
      <w:r w:rsidRPr="009B20E7">
        <w:rPr>
          <w:rFonts w:cstheme="minorHAnsi"/>
          <w:color w:val="000000"/>
          <w:sz w:val="24"/>
          <w:szCs w:val="24"/>
        </w:rPr>
        <w:t xml:space="preserve">model in this comparison has the lowest Misclassification Rate and the highest AUC. </w:t>
      </w:r>
      <w:r w:rsidR="00B756CE">
        <w:rPr>
          <w:rFonts w:cstheme="minorHAnsi"/>
          <w:color w:val="000000"/>
          <w:sz w:val="24"/>
          <w:szCs w:val="24"/>
        </w:rPr>
        <w:t>In this case</w:t>
      </w:r>
      <w:r w:rsidRPr="009B20E7">
        <w:rPr>
          <w:rFonts w:cstheme="minorHAnsi"/>
          <w:color w:val="000000"/>
          <w:sz w:val="24"/>
          <w:szCs w:val="24"/>
        </w:rPr>
        <w:t>, the Random Forest model clearly outperformed the others</w:t>
      </w:r>
      <w:r w:rsidR="00DE7653" w:rsidRPr="009B20E7">
        <w:rPr>
          <w:rFonts w:cstheme="minorHAnsi"/>
          <w:color w:val="000000"/>
          <w:sz w:val="24"/>
          <w:szCs w:val="24"/>
        </w:rPr>
        <w:t>.</w:t>
      </w:r>
      <w:r w:rsidR="001208DB">
        <w:rPr>
          <w:rFonts w:cstheme="minorHAnsi"/>
          <w:color w:val="000000"/>
          <w:sz w:val="24"/>
          <w:szCs w:val="24"/>
        </w:rPr>
        <w:t xml:space="preserve"> </w:t>
      </w:r>
      <w:r w:rsidR="00DE7653" w:rsidRPr="009B20E7">
        <w:rPr>
          <w:rFonts w:cstheme="minorHAnsi"/>
          <w:color w:val="000000"/>
          <w:sz w:val="24"/>
          <w:szCs w:val="24"/>
        </w:rPr>
        <w:t>Although its Misclassification Rate of 0.1667 was equal to the standard Decision Tree model, the Random Forest model had a higher AUC of 0.9079.</w:t>
      </w:r>
    </w:p>
    <w:p w14:paraId="6BED7F88" w14:textId="3A0D4DEF" w:rsidR="00634CAB" w:rsidRPr="00CC16B7" w:rsidRDefault="00634CAB" w:rsidP="00634CAB">
      <w:pPr>
        <w:keepNext/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12"/>
          <w:szCs w:val="12"/>
        </w:rPr>
      </w:pPr>
      <w:r w:rsidRPr="009B20E7">
        <w:rPr>
          <w:rFonts w:cstheme="minorHAnsi"/>
          <w:color w:val="000000"/>
          <w:sz w:val="24"/>
          <w:szCs w:val="24"/>
        </w:rPr>
        <w:tab/>
        <w:t>The Random Forest models for each of these response variables will be more thoroughly examined for the rest of this analysis.</w:t>
      </w:r>
    </w:p>
    <w:p w14:paraId="2B738C5D" w14:textId="77777777" w:rsidR="00CC16B7" w:rsidRPr="00CC16B7" w:rsidRDefault="00CC16B7" w:rsidP="00634CAB">
      <w:pPr>
        <w:keepNext/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12"/>
          <w:szCs w:val="12"/>
        </w:rPr>
      </w:pPr>
    </w:p>
    <w:p w14:paraId="004FFFE8" w14:textId="66FCDA6F" w:rsidR="00E46274" w:rsidRPr="009B20E7" w:rsidRDefault="00E46274" w:rsidP="00634CAB">
      <w:pPr>
        <w:keepNext/>
        <w:autoSpaceDE w:val="0"/>
        <w:autoSpaceDN w:val="0"/>
        <w:adjustRightInd w:val="0"/>
        <w:spacing w:after="0" w:line="360" w:lineRule="auto"/>
        <w:jc w:val="center"/>
        <w:rPr>
          <w:rFonts w:cstheme="minorHAnsi"/>
          <w:color w:val="000000"/>
          <w:sz w:val="24"/>
          <w:szCs w:val="24"/>
        </w:rPr>
      </w:pPr>
      <w:r w:rsidRPr="009B20E7">
        <w:rPr>
          <w:rFonts w:cstheme="minorHAnsi"/>
          <w:b/>
          <w:bCs/>
          <w:sz w:val="24"/>
          <w:szCs w:val="24"/>
        </w:rPr>
        <w:t>Interpretation</w:t>
      </w:r>
      <w:r w:rsidR="007648AD" w:rsidRPr="009B20E7">
        <w:rPr>
          <w:rFonts w:cstheme="minorHAnsi"/>
          <w:b/>
          <w:bCs/>
          <w:sz w:val="24"/>
          <w:szCs w:val="24"/>
        </w:rPr>
        <w:t xml:space="preserve"> - RSPY</w:t>
      </w:r>
    </w:p>
    <w:p w14:paraId="479F0581" w14:textId="333A0090" w:rsidR="00CC16B7" w:rsidRDefault="00774002" w:rsidP="00B13757">
      <w:pPr>
        <w:spacing w:after="0" w:line="360" w:lineRule="auto"/>
        <w:rPr>
          <w:rFonts w:cstheme="minorHAnsi"/>
          <w:sz w:val="24"/>
          <w:szCs w:val="24"/>
        </w:rPr>
      </w:pPr>
      <w:r w:rsidRPr="009B20E7">
        <w:rPr>
          <w:rFonts w:cstheme="minorHAnsi"/>
          <w:sz w:val="24"/>
          <w:szCs w:val="24"/>
        </w:rPr>
        <w:tab/>
      </w:r>
      <w:bookmarkStart w:id="0" w:name="_Hlk73701667"/>
      <w:r w:rsidRPr="009B20E7">
        <w:rPr>
          <w:rFonts w:cstheme="minorHAnsi"/>
          <w:sz w:val="24"/>
          <w:szCs w:val="24"/>
        </w:rPr>
        <w:t>To better understand the predictive capability of the Random Forest models, we will specifically highlight model parameters, column contributions and variable importance.</w:t>
      </w:r>
      <w:r w:rsidR="001208DB">
        <w:rPr>
          <w:rFonts w:cstheme="minorHAnsi"/>
          <w:sz w:val="24"/>
          <w:szCs w:val="24"/>
        </w:rPr>
        <w:t xml:space="preserve"> </w:t>
      </w:r>
      <w:r w:rsidRPr="009B20E7">
        <w:rPr>
          <w:rFonts w:cstheme="minorHAnsi"/>
          <w:sz w:val="24"/>
          <w:szCs w:val="24"/>
        </w:rPr>
        <w:t>The RSPY Random Forest model contained 26 trees, with 31 terms sampled per split.</w:t>
      </w:r>
      <w:r w:rsidR="001208DB">
        <w:rPr>
          <w:rFonts w:cstheme="minorHAnsi"/>
          <w:sz w:val="24"/>
          <w:szCs w:val="24"/>
        </w:rPr>
        <w:t xml:space="preserve"> </w:t>
      </w:r>
      <w:r w:rsidRPr="009B20E7">
        <w:rPr>
          <w:rFonts w:cstheme="minorHAnsi"/>
          <w:sz w:val="24"/>
          <w:szCs w:val="24"/>
        </w:rPr>
        <w:t>Th</w:t>
      </w:r>
      <w:r w:rsidR="00B13757">
        <w:rPr>
          <w:rFonts w:cstheme="minorHAnsi"/>
          <w:sz w:val="24"/>
          <w:szCs w:val="24"/>
        </w:rPr>
        <w:t>e</w:t>
      </w:r>
      <w:r w:rsidRPr="009B20E7">
        <w:rPr>
          <w:rFonts w:cstheme="minorHAnsi"/>
          <w:sz w:val="24"/>
          <w:szCs w:val="24"/>
        </w:rPr>
        <w:t xml:space="preserve"> model shows that the following variables are the highest contributors to </w:t>
      </w:r>
      <w:r w:rsidR="00CC16B7">
        <w:rPr>
          <w:rFonts w:cstheme="minorHAnsi"/>
          <w:sz w:val="24"/>
          <w:szCs w:val="24"/>
        </w:rPr>
        <w:t xml:space="preserve">the </w:t>
      </w:r>
      <w:r w:rsidRPr="009B20E7">
        <w:rPr>
          <w:rFonts w:cstheme="minorHAnsi"/>
          <w:sz w:val="24"/>
          <w:szCs w:val="24"/>
        </w:rPr>
        <w:t>prediction of RSPY: RHYG, RVIX, REMB, RIEI, and RBTC.</w:t>
      </w:r>
      <w:r w:rsidR="001208DB">
        <w:rPr>
          <w:rFonts w:cstheme="minorHAnsi"/>
          <w:sz w:val="24"/>
          <w:szCs w:val="24"/>
        </w:rPr>
        <w:t xml:space="preserve"> </w:t>
      </w:r>
      <w:r w:rsidRPr="009B20E7">
        <w:rPr>
          <w:rFonts w:cstheme="minorHAnsi"/>
          <w:sz w:val="24"/>
          <w:szCs w:val="24"/>
        </w:rPr>
        <w:t>These Column Contributions are displayed below.</w:t>
      </w:r>
      <w:bookmarkEnd w:id="0"/>
      <w:r w:rsidR="00CC16B7">
        <w:rPr>
          <w:rFonts w:cstheme="minorHAnsi"/>
          <w:sz w:val="24"/>
          <w:szCs w:val="24"/>
        </w:rPr>
        <w:br w:type="page"/>
      </w:r>
    </w:p>
    <w:p w14:paraId="413F3F57" w14:textId="006A18E8" w:rsidR="00B75206" w:rsidRPr="009B20E7" w:rsidRDefault="00B75206" w:rsidP="000E1796">
      <w:pPr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9B20E7">
        <w:rPr>
          <w:rFonts w:cstheme="minorHAnsi"/>
          <w:b/>
          <w:bCs/>
          <w:color w:val="000000"/>
          <w:sz w:val="24"/>
          <w:szCs w:val="24"/>
        </w:rPr>
        <w:lastRenderedPageBreak/>
        <w:t>Column Contributions</w:t>
      </w:r>
      <w:r w:rsidR="00B4293F" w:rsidRPr="009B20E7">
        <w:rPr>
          <w:rFonts w:cstheme="minorHAnsi"/>
          <w:b/>
          <w:bCs/>
          <w:color w:val="000000"/>
          <w:sz w:val="24"/>
          <w:szCs w:val="24"/>
        </w:rPr>
        <w:t xml:space="preserve"> - RSPY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25"/>
        <w:gridCol w:w="930"/>
        <w:gridCol w:w="1530"/>
        <w:gridCol w:w="2250"/>
        <w:gridCol w:w="720"/>
      </w:tblGrid>
      <w:tr w:rsidR="00B75206" w14:paraId="01F0CB08" w14:textId="77777777" w:rsidTr="00B75206">
        <w:trPr>
          <w:trHeight w:val="239"/>
          <w:tblHeader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</w:tcPr>
          <w:p w14:paraId="326DB3A3" w14:textId="77777777" w:rsidR="00B75206" w:rsidRDefault="00B7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Term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3591558C" w14:textId="77777777" w:rsidR="00B75206" w:rsidRDefault="00B7520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Number of Splits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238BB3D4" w14:textId="77777777" w:rsidR="00B75206" w:rsidRDefault="00B7520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SS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417E88EF" w14:textId="77777777" w:rsidR="00B75206" w:rsidRDefault="00B7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E580627" w14:textId="77777777" w:rsidR="00B75206" w:rsidRDefault="00B7520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Portion</w:t>
            </w:r>
          </w:p>
        </w:tc>
      </w:tr>
      <w:tr w:rsidR="00B75206" w14:paraId="61368B71" w14:textId="77777777" w:rsidTr="00B75206">
        <w:trPr>
          <w:trHeight w:val="239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DA9A29D" w14:textId="77777777" w:rsidR="00B75206" w:rsidRDefault="00B7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RHYG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D01710" w14:textId="77777777" w:rsidR="00B75206" w:rsidRDefault="00B7520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1189DE" w14:textId="77777777" w:rsidR="00B75206" w:rsidRDefault="00B7520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0.0271429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E2E750" w14:textId="627CB404" w:rsidR="00B75206" w:rsidRDefault="00B7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08A060E5" wp14:editId="65F0D087">
                  <wp:extent cx="1278255" cy="127000"/>
                  <wp:effectExtent l="0" t="0" r="0" b="635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82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FD09D7C" w14:textId="77777777" w:rsidR="00B75206" w:rsidRDefault="00B7520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0.4339</w:t>
            </w:r>
          </w:p>
        </w:tc>
      </w:tr>
      <w:tr w:rsidR="00B75206" w14:paraId="14A415BB" w14:textId="77777777" w:rsidTr="00B75206">
        <w:trPr>
          <w:trHeight w:val="239"/>
        </w:trPr>
        <w:tc>
          <w:tcPr>
            <w:tcW w:w="7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904F63" w14:textId="77777777" w:rsidR="00B75206" w:rsidRDefault="00B7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RVIX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2F423A92" w14:textId="77777777" w:rsidR="00B75206" w:rsidRDefault="00B7520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ACDAFF5" w14:textId="77777777" w:rsidR="00B75206" w:rsidRDefault="00B7520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0.01074695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5FE41754" w14:textId="4B486DCA" w:rsidR="00B75206" w:rsidRDefault="00B7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0BB1ED23" wp14:editId="4A66228E">
                  <wp:extent cx="1278255" cy="127000"/>
                  <wp:effectExtent l="0" t="0" r="0" b="635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82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5FDCBD" w14:textId="77777777" w:rsidR="00B75206" w:rsidRDefault="00B7520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0.1718</w:t>
            </w:r>
          </w:p>
        </w:tc>
      </w:tr>
      <w:tr w:rsidR="00B75206" w14:paraId="7441A707" w14:textId="77777777" w:rsidTr="00B75206">
        <w:trPr>
          <w:trHeight w:val="239"/>
        </w:trPr>
        <w:tc>
          <w:tcPr>
            <w:tcW w:w="7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E25CF4" w14:textId="77777777" w:rsidR="00B75206" w:rsidRDefault="00B7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REMB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0814FB6C" w14:textId="77777777" w:rsidR="00B75206" w:rsidRDefault="00B7520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7FE1E99" w14:textId="77777777" w:rsidR="00B75206" w:rsidRDefault="00B7520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0.00915375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5AE8AE8B" w14:textId="6315BA59" w:rsidR="00B75206" w:rsidRDefault="00B7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43E3172E" wp14:editId="6D975E9E">
                  <wp:extent cx="1278255" cy="127000"/>
                  <wp:effectExtent l="0" t="0" r="0" b="635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82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7CF7F8" w14:textId="77777777" w:rsidR="00B75206" w:rsidRDefault="00B7520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0.1463</w:t>
            </w:r>
          </w:p>
        </w:tc>
      </w:tr>
      <w:tr w:rsidR="00B75206" w14:paraId="3F54238E" w14:textId="77777777" w:rsidTr="00B75206">
        <w:trPr>
          <w:trHeight w:val="239"/>
        </w:trPr>
        <w:tc>
          <w:tcPr>
            <w:tcW w:w="7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B1B1C1" w14:textId="77777777" w:rsidR="00B75206" w:rsidRDefault="00B7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RIEI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5CFCF67A" w14:textId="77777777" w:rsidR="00B75206" w:rsidRDefault="00B7520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F889D74" w14:textId="77777777" w:rsidR="00B75206" w:rsidRDefault="00B7520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0.00290021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670D63FF" w14:textId="6B15999A" w:rsidR="00B75206" w:rsidRDefault="00B7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79FD13C7" wp14:editId="00B6422E">
                  <wp:extent cx="1278255" cy="127000"/>
                  <wp:effectExtent l="0" t="0" r="0" b="635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82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C22D65" w14:textId="77777777" w:rsidR="00B75206" w:rsidRDefault="00B7520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0.0464</w:t>
            </w:r>
          </w:p>
        </w:tc>
      </w:tr>
      <w:tr w:rsidR="00B75206" w14:paraId="6F6BA564" w14:textId="77777777" w:rsidTr="00B75206">
        <w:trPr>
          <w:trHeight w:val="239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9E4CA57" w14:textId="77777777" w:rsidR="00B75206" w:rsidRDefault="00B7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RBTC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33794" w14:textId="77777777" w:rsidR="00B75206" w:rsidRDefault="00B7520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E83003" w14:textId="77777777" w:rsidR="00B75206" w:rsidRDefault="00B7520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0.00158757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86B7AF" w14:textId="23C70B63" w:rsidR="00B75206" w:rsidRDefault="00B7520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7CECB1D9" wp14:editId="2A15DCDE">
                  <wp:extent cx="1278255" cy="127000"/>
                  <wp:effectExtent l="0" t="0" r="0" b="635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82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41912F" w14:textId="77777777" w:rsidR="00B75206" w:rsidRDefault="00B7520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0.0254</w:t>
            </w:r>
          </w:p>
        </w:tc>
      </w:tr>
    </w:tbl>
    <w:p w14:paraId="6D7A4514" w14:textId="77777777" w:rsidR="000E1796" w:rsidRPr="000E1796" w:rsidRDefault="000E1796" w:rsidP="000E1796">
      <w:pPr>
        <w:keepNext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14:paraId="2B1E8C2F" w14:textId="34F765BB" w:rsidR="00774002" w:rsidRPr="000E1796" w:rsidRDefault="000E1796" w:rsidP="000E1796">
      <w:pPr>
        <w:keepNext/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="00774002" w:rsidRPr="00A67D7C">
        <w:rPr>
          <w:rFonts w:cstheme="minorHAnsi"/>
          <w:color w:val="000000"/>
          <w:sz w:val="24"/>
          <w:szCs w:val="24"/>
        </w:rPr>
        <w:t xml:space="preserve">Further examining these contributing variables in terms of importance shows a slightly </w:t>
      </w:r>
      <w:r w:rsidR="00A67D7C" w:rsidRPr="00A67D7C">
        <w:rPr>
          <w:rFonts w:cstheme="minorHAnsi"/>
          <w:color w:val="000000"/>
          <w:sz w:val="24"/>
          <w:szCs w:val="24"/>
        </w:rPr>
        <w:t>adjusted order.</w:t>
      </w:r>
      <w:r w:rsidR="001208DB">
        <w:rPr>
          <w:rFonts w:cstheme="minorHAnsi"/>
          <w:color w:val="000000"/>
          <w:sz w:val="24"/>
          <w:szCs w:val="24"/>
        </w:rPr>
        <w:t xml:space="preserve"> </w:t>
      </w:r>
      <w:r w:rsidR="00A67D7C" w:rsidRPr="00A67D7C">
        <w:rPr>
          <w:rFonts w:cstheme="minorHAnsi"/>
          <w:color w:val="000000"/>
          <w:sz w:val="24"/>
          <w:szCs w:val="24"/>
        </w:rPr>
        <w:t xml:space="preserve">The </w:t>
      </w:r>
      <w:r w:rsidR="00A67D7C">
        <w:rPr>
          <w:rFonts w:cstheme="minorHAnsi"/>
          <w:color w:val="000000"/>
          <w:sz w:val="24"/>
          <w:szCs w:val="24"/>
        </w:rPr>
        <w:t xml:space="preserve">largest </w:t>
      </w:r>
      <w:r w:rsidR="00A67D7C" w:rsidRPr="00A67D7C">
        <w:rPr>
          <w:rFonts w:cstheme="minorHAnsi"/>
          <w:color w:val="000000"/>
          <w:sz w:val="24"/>
          <w:szCs w:val="24"/>
        </w:rPr>
        <w:t>total effects are as follows: RHYG (67.8%), REMB (19.1%), RVIX (11%)</w:t>
      </w:r>
      <w:r w:rsidR="00A67D7C">
        <w:rPr>
          <w:rFonts w:cstheme="minorHAnsi"/>
          <w:color w:val="000000"/>
          <w:sz w:val="24"/>
          <w:szCs w:val="24"/>
        </w:rPr>
        <w:t>.</w:t>
      </w:r>
      <w:r w:rsidR="001208DB">
        <w:rPr>
          <w:rFonts w:cstheme="minorHAnsi"/>
          <w:color w:val="000000"/>
          <w:sz w:val="24"/>
          <w:szCs w:val="24"/>
        </w:rPr>
        <w:t xml:space="preserve"> </w:t>
      </w:r>
      <w:r w:rsidR="00A67D7C">
        <w:rPr>
          <w:rFonts w:cstheme="minorHAnsi"/>
          <w:color w:val="000000"/>
          <w:sz w:val="24"/>
          <w:szCs w:val="24"/>
        </w:rPr>
        <w:t>Although RIEI and RBTC were featured more prominently as Column Contributors, their total effects are only 1.2%</w:t>
      </w:r>
      <w:r w:rsidR="001208DB">
        <w:rPr>
          <w:rFonts w:cstheme="minorHAnsi"/>
          <w:color w:val="000000"/>
          <w:sz w:val="24"/>
          <w:szCs w:val="24"/>
        </w:rPr>
        <w:t xml:space="preserve"> each</w:t>
      </w:r>
      <w:r w:rsidR="00A67D7C">
        <w:rPr>
          <w:rFonts w:cstheme="minorHAnsi"/>
          <w:color w:val="000000"/>
          <w:sz w:val="24"/>
          <w:szCs w:val="24"/>
        </w:rPr>
        <w:t>.</w:t>
      </w:r>
      <w:r w:rsidR="001208DB" w:rsidRPr="001208DB">
        <w:rPr>
          <w:sz w:val="24"/>
          <w:szCs w:val="24"/>
        </w:rPr>
        <w:t xml:space="preserve"> </w:t>
      </w:r>
      <w:r w:rsidR="001208DB">
        <w:rPr>
          <w:sz w:val="24"/>
          <w:szCs w:val="24"/>
        </w:rPr>
        <w:t>No lagged effects had any significant impact to RSPY.</w:t>
      </w:r>
    </w:p>
    <w:p w14:paraId="72D6047D" w14:textId="1D459A9F" w:rsidR="003C0EA7" w:rsidRPr="00620A0E" w:rsidRDefault="003C0EA7" w:rsidP="003C0EA7">
      <w:pPr>
        <w:keepNext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620A0E">
        <w:rPr>
          <w:rFonts w:cstheme="minorHAnsi"/>
          <w:b/>
          <w:bCs/>
          <w:color w:val="000000"/>
          <w:sz w:val="24"/>
          <w:szCs w:val="24"/>
        </w:rPr>
        <w:t>Variable Importance: Independent Uniform Inputs - RSPY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90"/>
        <w:gridCol w:w="1205"/>
        <w:gridCol w:w="1205"/>
        <w:gridCol w:w="1670"/>
      </w:tblGrid>
      <w:tr w:rsidR="003C0EA7" w14:paraId="03120B1C" w14:textId="77777777" w:rsidTr="009A055D">
        <w:trPr>
          <w:trHeight w:val="239"/>
          <w:tblHeader/>
        </w:trPr>
        <w:tc>
          <w:tcPr>
            <w:tcW w:w="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</w:tcPr>
          <w:p w14:paraId="177724E7" w14:textId="77777777" w:rsidR="003C0EA7" w:rsidRDefault="003C0EA7" w:rsidP="009A055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Column</w:t>
            </w:r>
          </w:p>
        </w:tc>
        <w:tc>
          <w:tcPr>
            <w:tcW w:w="120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50CF5E33" w14:textId="77777777" w:rsidR="003C0EA7" w:rsidRDefault="003C0EA7" w:rsidP="009A055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Main Effect</w:t>
            </w:r>
          </w:p>
        </w:tc>
        <w:tc>
          <w:tcPr>
            <w:tcW w:w="120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3E5DB1C7" w14:textId="77777777" w:rsidR="003C0EA7" w:rsidRDefault="003C0EA7" w:rsidP="009A055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Total Effect</w:t>
            </w:r>
          </w:p>
        </w:tc>
        <w:tc>
          <w:tcPr>
            <w:tcW w:w="167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7A04AC" w14:textId="77777777" w:rsidR="003C0EA7" w:rsidRDefault="003C0EA7" w:rsidP="009A055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3C0EA7" w14:paraId="54BE90C9" w14:textId="77777777" w:rsidTr="009A055D">
        <w:trPr>
          <w:trHeight w:val="239"/>
        </w:trPr>
        <w:tc>
          <w:tcPr>
            <w:tcW w:w="89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640F5BB" w14:textId="77777777" w:rsidR="003C0EA7" w:rsidRDefault="003C0EA7" w:rsidP="009A055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RHYG</w:t>
            </w:r>
          </w:p>
        </w:tc>
        <w:tc>
          <w:tcPr>
            <w:tcW w:w="120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1FE87E" w14:textId="77777777" w:rsidR="003C0EA7" w:rsidRDefault="003C0EA7" w:rsidP="009A055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0.656</w:t>
            </w:r>
          </w:p>
        </w:tc>
        <w:tc>
          <w:tcPr>
            <w:tcW w:w="120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270749" w14:textId="77777777" w:rsidR="003C0EA7" w:rsidRDefault="003C0EA7" w:rsidP="009A055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0.678</w:t>
            </w:r>
          </w:p>
        </w:tc>
        <w:tc>
          <w:tcPr>
            <w:tcW w:w="1670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84F495F" w14:textId="77777777" w:rsidR="003C0EA7" w:rsidRDefault="003C0EA7" w:rsidP="009A055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782BD948" wp14:editId="453B9DEF">
                  <wp:extent cx="821055" cy="127000"/>
                  <wp:effectExtent l="0" t="0" r="0" b="635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EA7" w14:paraId="5CC10584" w14:textId="77777777" w:rsidTr="009A055D">
        <w:trPr>
          <w:trHeight w:val="239"/>
        </w:trPr>
        <w:tc>
          <w:tcPr>
            <w:tcW w:w="89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C54F9B" w14:textId="77777777" w:rsidR="003C0EA7" w:rsidRDefault="003C0EA7" w:rsidP="009A055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REMB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58BA5F5" w14:textId="77777777" w:rsidR="003C0EA7" w:rsidRDefault="003C0EA7" w:rsidP="009A055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0.171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96A67C4" w14:textId="77777777" w:rsidR="003C0EA7" w:rsidRDefault="003C0EA7" w:rsidP="009A055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0.191</w:t>
            </w:r>
          </w:p>
        </w:tc>
        <w:tc>
          <w:tcPr>
            <w:tcW w:w="16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1BBA25" w14:textId="77777777" w:rsidR="003C0EA7" w:rsidRDefault="003C0EA7" w:rsidP="009A055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1B26C08E" wp14:editId="38B5BC30">
                  <wp:extent cx="821055" cy="127000"/>
                  <wp:effectExtent l="0" t="0" r="0" b="635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EA7" w14:paraId="76B5D4C6" w14:textId="77777777" w:rsidTr="009A055D">
        <w:trPr>
          <w:trHeight w:val="239"/>
        </w:trPr>
        <w:tc>
          <w:tcPr>
            <w:tcW w:w="89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FD7E41" w14:textId="77777777" w:rsidR="003C0EA7" w:rsidRDefault="003C0EA7" w:rsidP="009A055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RVIX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E173A1" w14:textId="77777777" w:rsidR="003C0EA7" w:rsidRDefault="003C0EA7" w:rsidP="009A055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0.093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1DD69C" w14:textId="77777777" w:rsidR="003C0EA7" w:rsidRDefault="003C0EA7" w:rsidP="009A055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6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BEE076" w14:textId="77777777" w:rsidR="003C0EA7" w:rsidRDefault="003C0EA7" w:rsidP="009A055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2F01448C" wp14:editId="5EAF70CB">
                  <wp:extent cx="821055" cy="127000"/>
                  <wp:effectExtent l="0" t="0" r="0" b="635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EA7" w14:paraId="406DCB75" w14:textId="77777777" w:rsidTr="009A055D">
        <w:trPr>
          <w:trHeight w:val="239"/>
        </w:trPr>
        <w:tc>
          <w:tcPr>
            <w:tcW w:w="89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B09BD4" w14:textId="77777777" w:rsidR="003C0EA7" w:rsidRDefault="003C0EA7" w:rsidP="009A055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RIEI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56DD12" w14:textId="77777777" w:rsidR="003C0EA7" w:rsidRDefault="003C0EA7" w:rsidP="009A055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0.007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6BD934" w14:textId="77777777" w:rsidR="003C0EA7" w:rsidRDefault="003C0EA7" w:rsidP="009A055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0.012</w:t>
            </w:r>
          </w:p>
        </w:tc>
        <w:tc>
          <w:tcPr>
            <w:tcW w:w="16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785551" w14:textId="77777777" w:rsidR="003C0EA7" w:rsidRDefault="003C0EA7" w:rsidP="009A055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0B8715F5" wp14:editId="5862154B">
                  <wp:extent cx="821055" cy="127000"/>
                  <wp:effectExtent l="0" t="0" r="0" b="635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EA7" w14:paraId="0C411072" w14:textId="77777777" w:rsidTr="009A055D">
        <w:trPr>
          <w:trHeight w:val="239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F2328D6" w14:textId="77777777" w:rsidR="003C0EA7" w:rsidRDefault="003C0EA7" w:rsidP="009A055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RBTC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E271B6" w14:textId="77777777" w:rsidR="003C0EA7" w:rsidRDefault="003C0EA7" w:rsidP="009A055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0.006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311009" w14:textId="77777777" w:rsidR="003C0EA7" w:rsidRDefault="003C0EA7" w:rsidP="009A055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0.012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40F699" w14:textId="77777777" w:rsidR="003C0EA7" w:rsidRDefault="003C0EA7" w:rsidP="009A055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45D7CE6A" wp14:editId="03168F21">
                  <wp:extent cx="821055" cy="127000"/>
                  <wp:effectExtent l="0" t="0" r="0" b="635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8CFD16" w14:textId="77777777" w:rsidR="003C0EA7" w:rsidRDefault="003C0EA7" w:rsidP="00B7520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14:paraId="48465911" w14:textId="14268218" w:rsidR="000C2F9C" w:rsidRDefault="000C2F9C" w:rsidP="00946A7A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The Random Forest prediction profiler for key predictors of RSPY is displayed below.</w:t>
      </w:r>
      <w:r w:rsidR="001208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Adjusting RHYG, REMB, and RVIX appear to have the largest impact to </w:t>
      </w:r>
      <w:r w:rsidR="001208DB">
        <w:rPr>
          <w:sz w:val="24"/>
          <w:szCs w:val="24"/>
        </w:rPr>
        <w:t xml:space="preserve">RSPY and </w:t>
      </w:r>
      <w:r>
        <w:rPr>
          <w:sz w:val="24"/>
          <w:szCs w:val="24"/>
        </w:rPr>
        <w:t>other predictive variables.</w:t>
      </w:r>
      <w:r w:rsidR="001208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These adjustments do seem to </w:t>
      </w:r>
      <w:r w:rsidR="00695FD7">
        <w:rPr>
          <w:sz w:val="24"/>
          <w:szCs w:val="24"/>
        </w:rPr>
        <w:t xml:space="preserve">impact </w:t>
      </w:r>
      <w:r>
        <w:rPr>
          <w:sz w:val="24"/>
          <w:szCs w:val="24"/>
        </w:rPr>
        <w:t>most variables similarly, as a rising or falling tide.</w:t>
      </w:r>
      <w:r w:rsidR="001208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Changes to RIEI or RBTC do not </w:t>
      </w:r>
      <w:r w:rsidR="00695FD7">
        <w:rPr>
          <w:sz w:val="24"/>
          <w:szCs w:val="24"/>
        </w:rPr>
        <w:t xml:space="preserve">visually </w:t>
      </w:r>
      <w:r>
        <w:rPr>
          <w:sz w:val="24"/>
          <w:szCs w:val="24"/>
        </w:rPr>
        <w:t xml:space="preserve">appear to have a large effect on </w:t>
      </w:r>
      <w:r w:rsidR="001208DB">
        <w:rPr>
          <w:sz w:val="24"/>
          <w:szCs w:val="24"/>
        </w:rPr>
        <w:t xml:space="preserve">RSPY or </w:t>
      </w:r>
      <w:r>
        <w:rPr>
          <w:sz w:val="24"/>
          <w:szCs w:val="24"/>
        </w:rPr>
        <w:t>the other variables.</w:t>
      </w:r>
    </w:p>
    <w:p w14:paraId="1062376A" w14:textId="186285FD" w:rsidR="003C0EA7" w:rsidRPr="00620A0E" w:rsidRDefault="003C0EA7" w:rsidP="003C0EA7">
      <w:pPr>
        <w:keepNext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620A0E">
        <w:rPr>
          <w:rFonts w:cstheme="minorHAnsi"/>
          <w:b/>
          <w:bCs/>
          <w:color w:val="000000"/>
          <w:sz w:val="24"/>
          <w:szCs w:val="24"/>
        </w:rPr>
        <w:t>Prediction Profiler - RSPY</w:t>
      </w:r>
    </w:p>
    <w:p w14:paraId="22F48DB0" w14:textId="77777777" w:rsidR="003C0EA7" w:rsidRDefault="003C0EA7" w:rsidP="003C0EA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2A2F0C33" wp14:editId="57DFCECB">
            <wp:extent cx="4224704" cy="1141293"/>
            <wp:effectExtent l="19050" t="19050" r="23495" b="2095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998" b="51691"/>
                    <a:stretch/>
                  </pic:blipFill>
                  <pic:spPr bwMode="auto">
                    <a:xfrm>
                      <a:off x="0" y="0"/>
                      <a:ext cx="4286518" cy="11579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C6AE9" w14:textId="77777777" w:rsidR="003C0EA7" w:rsidRDefault="003C0EA7" w:rsidP="003C0EA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14:paraId="5572CBB0" w14:textId="7598BD1B" w:rsidR="000C2F9C" w:rsidRDefault="000C2F9C" w:rsidP="000C2F9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695FD7">
        <w:rPr>
          <w:sz w:val="24"/>
          <w:szCs w:val="24"/>
        </w:rPr>
        <w:t>T</w:t>
      </w:r>
      <w:r>
        <w:rPr>
          <w:sz w:val="24"/>
          <w:szCs w:val="24"/>
        </w:rPr>
        <w:t>his analysis practically reveals that, over th</w:t>
      </w:r>
      <w:r w:rsidR="005E45C3">
        <w:rPr>
          <w:sz w:val="24"/>
          <w:szCs w:val="24"/>
        </w:rPr>
        <w:t>e</w:t>
      </w:r>
      <w:r>
        <w:rPr>
          <w:sz w:val="24"/>
          <w:szCs w:val="24"/>
        </w:rPr>
        <w:t xml:space="preserve"> timespan</w:t>
      </w:r>
      <w:r w:rsidR="005E45C3">
        <w:rPr>
          <w:sz w:val="24"/>
          <w:szCs w:val="24"/>
        </w:rPr>
        <w:t xml:space="preserve"> of this data set</w:t>
      </w:r>
      <w:r>
        <w:rPr>
          <w:sz w:val="24"/>
          <w:szCs w:val="24"/>
        </w:rPr>
        <w:t>, RHYG (High-</w:t>
      </w:r>
      <w:r w:rsidR="00561886">
        <w:rPr>
          <w:sz w:val="24"/>
          <w:szCs w:val="24"/>
        </w:rPr>
        <w:t>Y</w:t>
      </w:r>
      <w:r>
        <w:rPr>
          <w:sz w:val="24"/>
          <w:szCs w:val="24"/>
        </w:rPr>
        <w:t xml:space="preserve">ield </w:t>
      </w:r>
      <w:r w:rsidR="00561886">
        <w:rPr>
          <w:sz w:val="24"/>
          <w:szCs w:val="24"/>
        </w:rPr>
        <w:t>Corporate B</w:t>
      </w:r>
      <w:r>
        <w:rPr>
          <w:sz w:val="24"/>
          <w:szCs w:val="24"/>
        </w:rPr>
        <w:t>onds)</w:t>
      </w:r>
      <w:r w:rsidR="00695FD7">
        <w:rPr>
          <w:sz w:val="24"/>
          <w:szCs w:val="24"/>
        </w:rPr>
        <w:t xml:space="preserve">, and REMB (Emerging Markets) had a positive impact </w:t>
      </w:r>
      <w:r w:rsidR="00230BBD">
        <w:rPr>
          <w:sz w:val="24"/>
          <w:szCs w:val="24"/>
        </w:rPr>
        <w:t xml:space="preserve">on </w:t>
      </w:r>
      <w:r w:rsidR="00695FD7">
        <w:rPr>
          <w:sz w:val="24"/>
          <w:szCs w:val="24"/>
        </w:rPr>
        <w:t>S&amp;P 500 returns.</w:t>
      </w:r>
      <w:r w:rsidR="001208DB">
        <w:rPr>
          <w:sz w:val="24"/>
          <w:szCs w:val="24"/>
        </w:rPr>
        <w:t xml:space="preserve"> </w:t>
      </w:r>
      <w:r w:rsidR="00695FD7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RVIX (Volatility Index) </w:t>
      </w:r>
      <w:r w:rsidR="00695FD7">
        <w:rPr>
          <w:sz w:val="24"/>
          <w:szCs w:val="24"/>
        </w:rPr>
        <w:t>ha</w:t>
      </w:r>
      <w:r w:rsidR="00226897">
        <w:rPr>
          <w:sz w:val="24"/>
          <w:szCs w:val="24"/>
        </w:rPr>
        <w:t xml:space="preserve">d </w:t>
      </w:r>
      <w:r w:rsidR="00695FD7">
        <w:rPr>
          <w:sz w:val="24"/>
          <w:szCs w:val="24"/>
        </w:rPr>
        <w:t>the greatest negative impact on the S&amp;P 500.</w:t>
      </w:r>
      <w:r w:rsidR="001208DB">
        <w:rPr>
          <w:sz w:val="24"/>
          <w:szCs w:val="24"/>
        </w:rPr>
        <w:t xml:space="preserve"> </w:t>
      </w:r>
      <w:r w:rsidR="00695FD7">
        <w:rPr>
          <w:sz w:val="24"/>
          <w:szCs w:val="24"/>
        </w:rPr>
        <w:t xml:space="preserve">Interestingly, over this same timeframe, RBTC (Bitcoin) and </w:t>
      </w:r>
      <w:r>
        <w:rPr>
          <w:sz w:val="24"/>
          <w:szCs w:val="24"/>
        </w:rPr>
        <w:t>RIEI (10-Year Interest Rates)</w:t>
      </w:r>
      <w:r w:rsidR="00695FD7">
        <w:rPr>
          <w:sz w:val="24"/>
          <w:szCs w:val="24"/>
        </w:rPr>
        <w:t xml:space="preserve"> show a nearly equal inverse relationship with </w:t>
      </w:r>
      <w:r w:rsidR="00620A0E">
        <w:rPr>
          <w:sz w:val="24"/>
          <w:szCs w:val="24"/>
        </w:rPr>
        <w:t xml:space="preserve">their impact on </w:t>
      </w:r>
      <w:r w:rsidR="00695FD7">
        <w:rPr>
          <w:sz w:val="24"/>
          <w:szCs w:val="24"/>
        </w:rPr>
        <w:t>S&amp;P 500 returns</w:t>
      </w:r>
      <w:r w:rsidR="003D1D25">
        <w:rPr>
          <w:sz w:val="24"/>
          <w:szCs w:val="24"/>
        </w:rPr>
        <w:t>.</w:t>
      </w:r>
    </w:p>
    <w:p w14:paraId="263B3552" w14:textId="705EA019" w:rsidR="007648AD" w:rsidRPr="007648AD" w:rsidRDefault="007648AD" w:rsidP="007648AD">
      <w:pPr>
        <w:keepNext/>
        <w:autoSpaceDE w:val="0"/>
        <w:autoSpaceDN w:val="0"/>
        <w:adjustRightInd w:val="0"/>
        <w:spacing w:after="0" w:line="360" w:lineRule="auto"/>
        <w:jc w:val="center"/>
        <w:rPr>
          <w:rFonts w:cstheme="minorHAnsi"/>
          <w:color w:val="000000"/>
          <w:sz w:val="24"/>
          <w:szCs w:val="24"/>
        </w:rPr>
      </w:pPr>
      <w:r w:rsidRPr="00A126DD">
        <w:rPr>
          <w:rFonts w:cstheme="minorHAnsi"/>
          <w:b/>
          <w:bCs/>
          <w:sz w:val="24"/>
          <w:szCs w:val="24"/>
        </w:rPr>
        <w:lastRenderedPageBreak/>
        <w:t>Interpretation</w:t>
      </w:r>
      <w:r>
        <w:rPr>
          <w:rFonts w:cstheme="minorHAnsi"/>
          <w:b/>
          <w:bCs/>
          <w:sz w:val="24"/>
          <w:szCs w:val="24"/>
        </w:rPr>
        <w:t xml:space="preserve"> - Sign of RSPY</w:t>
      </w:r>
    </w:p>
    <w:p w14:paraId="48EF618D" w14:textId="27632086" w:rsidR="00B4293F" w:rsidRPr="00BC3B03" w:rsidRDefault="003D1D25" w:rsidP="003D1D25">
      <w:pPr>
        <w:keepNext/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sz w:val="24"/>
          <w:szCs w:val="24"/>
        </w:rPr>
        <w:tab/>
      </w:r>
      <w:r w:rsidR="005E45C3">
        <w:rPr>
          <w:sz w:val="24"/>
          <w:szCs w:val="24"/>
        </w:rPr>
        <w:t>Turning</w:t>
      </w:r>
      <w:r>
        <w:rPr>
          <w:sz w:val="24"/>
          <w:szCs w:val="24"/>
        </w:rPr>
        <w:t xml:space="preserve"> </w:t>
      </w:r>
      <w:r w:rsidR="007648AD">
        <w:rPr>
          <w:sz w:val="24"/>
          <w:szCs w:val="24"/>
        </w:rPr>
        <w:t xml:space="preserve">to </w:t>
      </w:r>
      <w:r>
        <w:rPr>
          <w:sz w:val="24"/>
          <w:szCs w:val="24"/>
        </w:rPr>
        <w:t>the Sign of RSPY Random Forest model, this contained 49 trees, with 31 terms sampled per split.</w:t>
      </w:r>
      <w:r w:rsidR="001208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model shows that the following variables are the highest contributors to </w:t>
      </w:r>
      <w:r w:rsidR="005E45C3">
        <w:rPr>
          <w:sz w:val="24"/>
          <w:szCs w:val="24"/>
        </w:rPr>
        <w:t xml:space="preserve">the </w:t>
      </w:r>
      <w:r>
        <w:rPr>
          <w:sz w:val="24"/>
          <w:szCs w:val="24"/>
        </w:rPr>
        <w:t>prediction of Sign of RSPY: RVIX, RHYG, RFXC, REMB, and RFXA.</w:t>
      </w:r>
      <w:r w:rsidR="001208DB">
        <w:rPr>
          <w:sz w:val="24"/>
          <w:szCs w:val="24"/>
        </w:rPr>
        <w:t xml:space="preserve"> No lagged effects had any significant impact to Sign of RSPY, either. The main </w:t>
      </w:r>
      <w:r>
        <w:rPr>
          <w:sz w:val="24"/>
          <w:szCs w:val="24"/>
        </w:rPr>
        <w:t>Column Contributions are displayed below.</w:t>
      </w:r>
    </w:p>
    <w:p w14:paraId="3C75B06B" w14:textId="261D5D2B" w:rsidR="00B4293F" w:rsidRPr="00BC3B03" w:rsidRDefault="00B4293F" w:rsidP="00B4293F">
      <w:pPr>
        <w:keepNext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BC3B03">
        <w:rPr>
          <w:rFonts w:cstheme="minorHAnsi"/>
          <w:b/>
          <w:bCs/>
          <w:color w:val="000000"/>
          <w:sz w:val="24"/>
          <w:szCs w:val="24"/>
        </w:rPr>
        <w:t>Column Contributions</w:t>
      </w:r>
      <w:r w:rsidR="008E131C" w:rsidRPr="00BC3B03">
        <w:rPr>
          <w:rFonts w:cstheme="minorHAnsi"/>
          <w:b/>
          <w:bCs/>
          <w:color w:val="000000"/>
          <w:sz w:val="24"/>
          <w:szCs w:val="24"/>
        </w:rPr>
        <w:t xml:space="preserve"> - Sign of RSPY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25"/>
        <w:gridCol w:w="935"/>
        <w:gridCol w:w="1145"/>
        <w:gridCol w:w="2570"/>
        <w:gridCol w:w="875"/>
      </w:tblGrid>
      <w:tr w:rsidR="00B4293F" w14:paraId="2B0BC130" w14:textId="77777777" w:rsidTr="00B4293F">
        <w:trPr>
          <w:trHeight w:val="239"/>
          <w:tblHeader/>
        </w:trPr>
        <w:tc>
          <w:tcPr>
            <w:tcW w:w="7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</w:tcPr>
          <w:p w14:paraId="69138717" w14:textId="77777777" w:rsidR="00B4293F" w:rsidRDefault="00B4293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Term</w:t>
            </w:r>
          </w:p>
        </w:tc>
        <w:tc>
          <w:tcPr>
            <w:tcW w:w="93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2D326642" w14:textId="77777777" w:rsidR="00B4293F" w:rsidRDefault="00B429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Number of Splits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0189B0D8" w14:textId="77777777" w:rsidR="00B4293F" w:rsidRDefault="00B429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G^2</w:t>
            </w:r>
          </w:p>
        </w:tc>
        <w:tc>
          <w:tcPr>
            <w:tcW w:w="257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1A521128" w14:textId="77777777" w:rsidR="00B4293F" w:rsidRDefault="00B4293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7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68F855" w14:textId="77777777" w:rsidR="00B4293F" w:rsidRDefault="00B429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Portion</w:t>
            </w:r>
          </w:p>
        </w:tc>
      </w:tr>
      <w:tr w:rsidR="00B4293F" w14:paraId="2618CD0A" w14:textId="77777777" w:rsidTr="00B4293F">
        <w:trPr>
          <w:trHeight w:val="239"/>
        </w:trPr>
        <w:tc>
          <w:tcPr>
            <w:tcW w:w="72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CFF2A99" w14:textId="77777777" w:rsidR="00B4293F" w:rsidRDefault="00B4293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RVIX</w:t>
            </w:r>
          </w:p>
        </w:tc>
        <w:tc>
          <w:tcPr>
            <w:tcW w:w="93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121974" w14:textId="77777777" w:rsidR="00B4293F" w:rsidRDefault="00B429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676A4F" w14:textId="77777777" w:rsidR="00B4293F" w:rsidRDefault="00B429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60.8671597</w:t>
            </w:r>
          </w:p>
        </w:tc>
        <w:tc>
          <w:tcPr>
            <w:tcW w:w="257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661326" w14:textId="6BE893E3" w:rsidR="00B4293F" w:rsidRDefault="00B4293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0B07D10A" wp14:editId="01386789">
                  <wp:extent cx="1277620" cy="128905"/>
                  <wp:effectExtent l="0" t="0" r="0" b="4445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7620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5F93FFD" w14:textId="77777777" w:rsidR="00B4293F" w:rsidRDefault="00B429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0.4188</w:t>
            </w:r>
          </w:p>
        </w:tc>
      </w:tr>
      <w:tr w:rsidR="00B4293F" w14:paraId="3BE2DFEC" w14:textId="77777777" w:rsidTr="00B4293F">
        <w:trPr>
          <w:trHeight w:val="239"/>
        </w:trPr>
        <w:tc>
          <w:tcPr>
            <w:tcW w:w="72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7EC357" w14:textId="77777777" w:rsidR="00B4293F" w:rsidRDefault="00B4293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RHYG</w:t>
            </w:r>
          </w:p>
        </w:tc>
        <w:tc>
          <w:tcPr>
            <w:tcW w:w="93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1897C1" w14:textId="77777777" w:rsidR="00B4293F" w:rsidRDefault="00B429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1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8294F6" w14:textId="77777777" w:rsidR="00B4293F" w:rsidRDefault="00B429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27.8069865</w:t>
            </w:r>
          </w:p>
        </w:tc>
        <w:tc>
          <w:tcPr>
            <w:tcW w:w="25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999702" w14:textId="68E4C240" w:rsidR="00B4293F" w:rsidRDefault="00B4293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45EB146B" wp14:editId="280F2AAC">
                  <wp:extent cx="1277620" cy="128905"/>
                  <wp:effectExtent l="0" t="0" r="0" b="4445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7620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42E1F2" w14:textId="77777777" w:rsidR="00B4293F" w:rsidRDefault="00B429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0.1913</w:t>
            </w:r>
          </w:p>
        </w:tc>
      </w:tr>
      <w:tr w:rsidR="00B4293F" w14:paraId="7593FFBF" w14:textId="77777777" w:rsidTr="00B4293F">
        <w:trPr>
          <w:trHeight w:val="239"/>
        </w:trPr>
        <w:tc>
          <w:tcPr>
            <w:tcW w:w="72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B546DE" w14:textId="77777777" w:rsidR="00B4293F" w:rsidRDefault="00B4293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RFXC</w:t>
            </w:r>
          </w:p>
        </w:tc>
        <w:tc>
          <w:tcPr>
            <w:tcW w:w="93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6C55DE" w14:textId="77777777" w:rsidR="00B4293F" w:rsidRDefault="00B429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1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926E75B" w14:textId="77777777" w:rsidR="00B4293F" w:rsidRDefault="00B429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10.3112243</w:t>
            </w:r>
          </w:p>
        </w:tc>
        <w:tc>
          <w:tcPr>
            <w:tcW w:w="25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8699B9" w14:textId="504CCD4F" w:rsidR="00B4293F" w:rsidRDefault="00B4293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667B3804" wp14:editId="4547030C">
                  <wp:extent cx="1277620" cy="128905"/>
                  <wp:effectExtent l="0" t="0" r="0" b="4445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7620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C43E3A" w14:textId="77777777" w:rsidR="00B4293F" w:rsidRDefault="00B429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0.0709</w:t>
            </w:r>
          </w:p>
        </w:tc>
      </w:tr>
      <w:tr w:rsidR="00B4293F" w14:paraId="5723F2FF" w14:textId="77777777" w:rsidTr="003D1D25">
        <w:trPr>
          <w:trHeight w:val="239"/>
        </w:trPr>
        <w:tc>
          <w:tcPr>
            <w:tcW w:w="72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C749EF" w14:textId="77777777" w:rsidR="00B4293F" w:rsidRDefault="00B4293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REMB</w:t>
            </w:r>
          </w:p>
        </w:tc>
        <w:tc>
          <w:tcPr>
            <w:tcW w:w="93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6C1FED" w14:textId="77777777" w:rsidR="00B4293F" w:rsidRDefault="00B429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45" w:type="dxa"/>
            <w:vMerge w:val="restart"/>
            <w:tcBorders>
              <w:top w:val="nil"/>
              <w:left w:val="nil"/>
              <w:right w:val="nil"/>
            </w:tcBorders>
          </w:tcPr>
          <w:p w14:paraId="3811B997" w14:textId="77777777" w:rsidR="00B4293F" w:rsidRDefault="00B429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4.21512858</w:t>
            </w:r>
          </w:p>
        </w:tc>
        <w:tc>
          <w:tcPr>
            <w:tcW w:w="2570" w:type="dxa"/>
            <w:vMerge w:val="restart"/>
            <w:tcBorders>
              <w:top w:val="nil"/>
              <w:left w:val="nil"/>
              <w:right w:val="nil"/>
            </w:tcBorders>
          </w:tcPr>
          <w:p w14:paraId="1B099E50" w14:textId="5C5A4577" w:rsidR="00B4293F" w:rsidRDefault="00B4293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2020E7EB" wp14:editId="1438A68E">
                  <wp:extent cx="1277620" cy="128905"/>
                  <wp:effectExtent l="0" t="0" r="0" b="4445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7620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0B2F57" w14:textId="77777777" w:rsidR="00B4293F" w:rsidRDefault="00B429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0.0290</w:t>
            </w:r>
          </w:p>
        </w:tc>
      </w:tr>
      <w:tr w:rsidR="00B4293F" w14:paraId="2A124947" w14:textId="77777777" w:rsidTr="003D1D25">
        <w:trPr>
          <w:trHeight w:val="27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92E0B0A" w14:textId="77777777" w:rsidR="00B4293F" w:rsidRDefault="00B4293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RFXA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6A2F6A" w14:textId="77777777" w:rsidR="00B4293F" w:rsidRDefault="00B429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A9B281" w14:textId="77777777" w:rsidR="00B4293F" w:rsidRDefault="00B429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3.70744202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31ACCB" w14:textId="60D42DF3" w:rsidR="00B4293F" w:rsidRDefault="00B4293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296DDC84" wp14:editId="5A433EFC">
                  <wp:extent cx="1277620" cy="128905"/>
                  <wp:effectExtent l="0" t="0" r="0" b="4445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7620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BECED9" w14:textId="77777777" w:rsidR="00B4293F" w:rsidRDefault="00B429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0.0255</w:t>
            </w:r>
          </w:p>
        </w:tc>
      </w:tr>
    </w:tbl>
    <w:p w14:paraId="1BA7E174" w14:textId="08C18DA8" w:rsidR="00AC050F" w:rsidRPr="00AC050F" w:rsidRDefault="00AC050F" w:rsidP="00AC050F">
      <w:pPr>
        <w:keepNext/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10"/>
          <w:szCs w:val="10"/>
        </w:rPr>
      </w:pPr>
    </w:p>
    <w:p w14:paraId="0566D786" w14:textId="517E1CEA" w:rsidR="00BC3B03" w:rsidRDefault="00AC050F" w:rsidP="00AC050F">
      <w:pPr>
        <w:keepNext/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BC3B03">
        <w:rPr>
          <w:rFonts w:cstheme="minorHAnsi"/>
          <w:color w:val="000000"/>
          <w:sz w:val="24"/>
          <w:szCs w:val="24"/>
        </w:rPr>
        <w:tab/>
        <w:t xml:space="preserve">Variable importance analysis shows a clearer picture of the degree </w:t>
      </w:r>
      <w:r w:rsidR="000629D1">
        <w:rPr>
          <w:rFonts w:cstheme="minorHAnsi"/>
          <w:color w:val="000000"/>
          <w:sz w:val="24"/>
          <w:szCs w:val="24"/>
        </w:rPr>
        <w:t xml:space="preserve">to which </w:t>
      </w:r>
      <w:r w:rsidRPr="00BC3B03">
        <w:rPr>
          <w:rFonts w:cstheme="minorHAnsi"/>
          <w:color w:val="000000"/>
          <w:sz w:val="24"/>
          <w:szCs w:val="24"/>
        </w:rPr>
        <w:t>these top variables impact</w:t>
      </w:r>
      <w:r w:rsidR="005E45C3">
        <w:rPr>
          <w:rFonts w:cstheme="minorHAnsi"/>
          <w:color w:val="000000"/>
          <w:sz w:val="24"/>
          <w:szCs w:val="24"/>
        </w:rPr>
        <w:t>ed</w:t>
      </w:r>
      <w:r w:rsidRPr="00BC3B03">
        <w:rPr>
          <w:rFonts w:cstheme="minorHAnsi"/>
          <w:color w:val="000000"/>
          <w:sz w:val="24"/>
          <w:szCs w:val="24"/>
        </w:rPr>
        <w:t xml:space="preserve"> the Sign of RSPY.</w:t>
      </w:r>
      <w:r w:rsidR="001208DB">
        <w:rPr>
          <w:rFonts w:cstheme="minorHAnsi"/>
          <w:color w:val="000000"/>
          <w:sz w:val="24"/>
          <w:szCs w:val="24"/>
        </w:rPr>
        <w:t xml:space="preserve"> </w:t>
      </w:r>
      <w:r w:rsidRPr="00BC3B03">
        <w:rPr>
          <w:rFonts w:cstheme="minorHAnsi"/>
          <w:color w:val="000000"/>
          <w:sz w:val="24"/>
          <w:szCs w:val="24"/>
        </w:rPr>
        <w:t>Interestingly, RVIX has a very high total effect of 71.5%.</w:t>
      </w:r>
      <w:r w:rsidR="001208DB">
        <w:rPr>
          <w:rFonts w:cstheme="minorHAnsi"/>
          <w:color w:val="000000"/>
          <w:sz w:val="24"/>
          <w:szCs w:val="24"/>
        </w:rPr>
        <w:t xml:space="preserve"> </w:t>
      </w:r>
      <w:r w:rsidRPr="00BC3B03">
        <w:rPr>
          <w:rFonts w:cstheme="minorHAnsi"/>
          <w:color w:val="000000"/>
          <w:sz w:val="24"/>
          <w:szCs w:val="24"/>
        </w:rPr>
        <w:t>RHYG comes in a distant second place, with 22.8%.</w:t>
      </w:r>
      <w:r w:rsidR="001208DB">
        <w:rPr>
          <w:rFonts w:cstheme="minorHAnsi"/>
          <w:color w:val="000000"/>
          <w:sz w:val="24"/>
          <w:szCs w:val="24"/>
        </w:rPr>
        <w:t xml:space="preserve"> </w:t>
      </w:r>
      <w:r w:rsidRPr="00BC3B03">
        <w:rPr>
          <w:rFonts w:cstheme="minorHAnsi"/>
          <w:color w:val="000000"/>
          <w:sz w:val="24"/>
          <w:szCs w:val="24"/>
        </w:rPr>
        <w:t>RFXC is included here with a total effect of 10.9%.</w:t>
      </w:r>
      <w:r w:rsidR="001208DB">
        <w:rPr>
          <w:rFonts w:cstheme="minorHAnsi"/>
          <w:color w:val="000000"/>
          <w:sz w:val="24"/>
          <w:szCs w:val="24"/>
        </w:rPr>
        <w:t xml:space="preserve"> </w:t>
      </w:r>
      <w:r w:rsidRPr="00BC3B03">
        <w:rPr>
          <w:rFonts w:cstheme="minorHAnsi"/>
          <w:color w:val="000000"/>
          <w:sz w:val="24"/>
          <w:szCs w:val="24"/>
        </w:rPr>
        <w:t xml:space="preserve">Finally, the total </w:t>
      </w:r>
      <w:r w:rsidR="00CE7949" w:rsidRPr="00BC3B03">
        <w:rPr>
          <w:rFonts w:cstheme="minorHAnsi"/>
          <w:color w:val="000000"/>
          <w:sz w:val="24"/>
          <w:szCs w:val="24"/>
        </w:rPr>
        <w:t xml:space="preserve">effect </w:t>
      </w:r>
      <w:r w:rsidRPr="00BC3B03">
        <w:rPr>
          <w:rFonts w:cstheme="minorHAnsi"/>
          <w:color w:val="000000"/>
          <w:sz w:val="24"/>
          <w:szCs w:val="24"/>
        </w:rPr>
        <w:t>of RFXA is minimal, at 2.2%.</w:t>
      </w:r>
    </w:p>
    <w:p w14:paraId="253D2D62" w14:textId="77777777" w:rsidR="00226897" w:rsidRPr="00226897" w:rsidRDefault="00226897" w:rsidP="00AC050F">
      <w:pPr>
        <w:keepNext/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12"/>
          <w:szCs w:val="12"/>
        </w:rPr>
      </w:pPr>
    </w:p>
    <w:p w14:paraId="1ED3EA2A" w14:textId="0F0257F2" w:rsidR="003D1D25" w:rsidRPr="00BC3B03" w:rsidRDefault="003D1D25" w:rsidP="003D1D25">
      <w:pPr>
        <w:keepNext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BC3B03">
        <w:rPr>
          <w:rFonts w:cstheme="minorHAnsi"/>
          <w:b/>
          <w:bCs/>
          <w:color w:val="000000"/>
          <w:sz w:val="24"/>
          <w:szCs w:val="24"/>
        </w:rPr>
        <w:t>Variable Importance: Independent Uniform Inputs - Sign of RSPY</w:t>
      </w:r>
    </w:p>
    <w:p w14:paraId="42CAFE43" w14:textId="77777777" w:rsidR="003D1D25" w:rsidRPr="00BC3B03" w:rsidRDefault="003D1D25" w:rsidP="003D1D25">
      <w:pPr>
        <w:keepNext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BC3B03">
        <w:rPr>
          <w:rFonts w:cstheme="minorHAnsi"/>
          <w:b/>
          <w:bCs/>
          <w:color w:val="000000"/>
          <w:sz w:val="24"/>
          <w:szCs w:val="24"/>
        </w:rPr>
        <w:t>Summary Report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90"/>
        <w:gridCol w:w="1205"/>
        <w:gridCol w:w="1205"/>
        <w:gridCol w:w="1670"/>
      </w:tblGrid>
      <w:tr w:rsidR="003D1D25" w14:paraId="30284F40" w14:textId="77777777" w:rsidTr="002E4770">
        <w:trPr>
          <w:trHeight w:val="239"/>
          <w:tblHeader/>
        </w:trPr>
        <w:tc>
          <w:tcPr>
            <w:tcW w:w="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</w:tcPr>
          <w:p w14:paraId="0089223E" w14:textId="77777777" w:rsidR="003D1D25" w:rsidRDefault="003D1D25" w:rsidP="002E477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Column</w:t>
            </w:r>
          </w:p>
        </w:tc>
        <w:tc>
          <w:tcPr>
            <w:tcW w:w="120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27F34618" w14:textId="77777777" w:rsidR="003D1D25" w:rsidRDefault="003D1D25" w:rsidP="002E47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Main Effect</w:t>
            </w:r>
          </w:p>
        </w:tc>
        <w:tc>
          <w:tcPr>
            <w:tcW w:w="120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3AD4C895" w14:textId="77777777" w:rsidR="003D1D25" w:rsidRDefault="003D1D25" w:rsidP="002E47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Total Effect</w:t>
            </w:r>
          </w:p>
        </w:tc>
        <w:tc>
          <w:tcPr>
            <w:tcW w:w="167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01FD483" w14:textId="77777777" w:rsidR="003D1D25" w:rsidRDefault="003D1D25" w:rsidP="002E477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3D1D25" w14:paraId="6258A8FF" w14:textId="77777777" w:rsidTr="002E4770">
        <w:trPr>
          <w:trHeight w:val="239"/>
        </w:trPr>
        <w:tc>
          <w:tcPr>
            <w:tcW w:w="89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57523CB" w14:textId="77777777" w:rsidR="003D1D25" w:rsidRDefault="003D1D25" w:rsidP="002E477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RVIX</w:t>
            </w:r>
          </w:p>
        </w:tc>
        <w:tc>
          <w:tcPr>
            <w:tcW w:w="120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EAD88B" w14:textId="77777777" w:rsidR="003D1D25" w:rsidRDefault="003D1D25" w:rsidP="002E47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0.617</w:t>
            </w:r>
          </w:p>
        </w:tc>
        <w:tc>
          <w:tcPr>
            <w:tcW w:w="120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82365E" w14:textId="77777777" w:rsidR="003D1D25" w:rsidRDefault="003D1D25" w:rsidP="002E47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0.715</w:t>
            </w:r>
          </w:p>
        </w:tc>
        <w:tc>
          <w:tcPr>
            <w:tcW w:w="1670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B6CA73E" w14:textId="77777777" w:rsidR="003D1D25" w:rsidRDefault="003D1D25" w:rsidP="002E477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5607BBD2" wp14:editId="01BD5AE8">
                  <wp:extent cx="820420" cy="128905"/>
                  <wp:effectExtent l="0" t="0" r="0" b="4445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0420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D25" w14:paraId="51D2D3E5" w14:textId="77777777" w:rsidTr="002E4770">
        <w:trPr>
          <w:trHeight w:val="239"/>
        </w:trPr>
        <w:tc>
          <w:tcPr>
            <w:tcW w:w="89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5836AB" w14:textId="77777777" w:rsidR="003D1D25" w:rsidRDefault="003D1D25" w:rsidP="002E477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RHYG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363DE0" w14:textId="77777777" w:rsidR="003D1D25" w:rsidRDefault="003D1D25" w:rsidP="002E47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0.172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F088AD" w14:textId="77777777" w:rsidR="003D1D25" w:rsidRDefault="003D1D25" w:rsidP="002E47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0.228</w:t>
            </w:r>
          </w:p>
        </w:tc>
        <w:tc>
          <w:tcPr>
            <w:tcW w:w="16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B82792" w14:textId="77777777" w:rsidR="003D1D25" w:rsidRDefault="003D1D25" w:rsidP="002E477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5855342C" wp14:editId="57BF572C">
                  <wp:extent cx="820420" cy="128905"/>
                  <wp:effectExtent l="0" t="0" r="0" b="4445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0420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D25" w14:paraId="7E7B48C2" w14:textId="77777777" w:rsidTr="002E4770">
        <w:trPr>
          <w:trHeight w:val="239"/>
        </w:trPr>
        <w:tc>
          <w:tcPr>
            <w:tcW w:w="89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17D973" w14:textId="77777777" w:rsidR="003D1D25" w:rsidRDefault="003D1D25" w:rsidP="002E477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RFXC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FDE1C6" w14:textId="77777777" w:rsidR="003D1D25" w:rsidRDefault="003D1D25" w:rsidP="002E47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0.069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CB5055" w14:textId="77777777" w:rsidR="003D1D25" w:rsidRDefault="003D1D25" w:rsidP="002E47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16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D599D4" w14:textId="77777777" w:rsidR="003D1D25" w:rsidRDefault="003D1D25" w:rsidP="002E477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628025FF" wp14:editId="693EA0DE">
                  <wp:extent cx="820420" cy="128905"/>
                  <wp:effectExtent l="0" t="0" r="0" b="4445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0420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D25" w14:paraId="341905DA" w14:textId="77777777" w:rsidTr="002E4770">
        <w:trPr>
          <w:trHeight w:val="239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A32626" w14:textId="77777777" w:rsidR="003D1D25" w:rsidRDefault="003D1D25" w:rsidP="002E477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RFXA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FB5A65" w14:textId="77777777" w:rsidR="003D1D25" w:rsidRDefault="003D1D25" w:rsidP="002E47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0.013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C79F52" w14:textId="77777777" w:rsidR="003D1D25" w:rsidRDefault="003D1D25" w:rsidP="002E47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37E356" w14:textId="77777777" w:rsidR="003D1D25" w:rsidRDefault="003D1D25" w:rsidP="002E477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22AE60CF" wp14:editId="16C497DB">
                  <wp:extent cx="820420" cy="128905"/>
                  <wp:effectExtent l="0" t="0" r="0" b="4445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0420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024B18" w14:textId="6D71B755" w:rsidR="003D1D25" w:rsidRDefault="003D1D25" w:rsidP="003D1D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14:paraId="27BF08FB" w14:textId="77777777" w:rsidR="00322311" w:rsidRDefault="000629D1" w:rsidP="00322311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  <w:r w:rsidRPr="009B20E7">
        <w:rPr>
          <w:rFonts w:cstheme="minorHAnsi"/>
          <w:sz w:val="24"/>
          <w:szCs w:val="24"/>
        </w:rPr>
        <w:tab/>
        <w:t>The Random Forest prediction profiler for key predictors of Sign of RSPY is featured below.</w:t>
      </w:r>
      <w:r w:rsidR="001208DB">
        <w:rPr>
          <w:rFonts w:cstheme="minorHAnsi"/>
          <w:sz w:val="24"/>
          <w:szCs w:val="24"/>
        </w:rPr>
        <w:t xml:space="preserve"> </w:t>
      </w:r>
      <w:r w:rsidRPr="009B20E7">
        <w:rPr>
          <w:rFonts w:cstheme="minorHAnsi"/>
          <w:sz w:val="24"/>
          <w:szCs w:val="24"/>
        </w:rPr>
        <w:t xml:space="preserve">A change made to RVIX makes a dramatic change to </w:t>
      </w:r>
      <w:r w:rsidR="001208DB">
        <w:rPr>
          <w:rFonts w:cstheme="minorHAnsi"/>
          <w:sz w:val="24"/>
          <w:szCs w:val="24"/>
        </w:rPr>
        <w:t xml:space="preserve">Sign of RSPY and </w:t>
      </w:r>
      <w:r w:rsidRPr="009B20E7">
        <w:rPr>
          <w:rFonts w:cstheme="minorHAnsi"/>
          <w:sz w:val="24"/>
          <w:szCs w:val="24"/>
        </w:rPr>
        <w:t>the other variables in the dataset.</w:t>
      </w:r>
      <w:r w:rsidR="001208DB">
        <w:rPr>
          <w:rFonts w:cstheme="minorHAnsi"/>
          <w:sz w:val="24"/>
          <w:szCs w:val="24"/>
        </w:rPr>
        <w:t xml:space="preserve"> </w:t>
      </w:r>
      <w:r w:rsidRPr="009B20E7">
        <w:rPr>
          <w:rFonts w:cstheme="minorHAnsi"/>
          <w:sz w:val="24"/>
          <w:szCs w:val="24"/>
        </w:rPr>
        <w:t xml:space="preserve">Adjusting RHYG also has a large impact to </w:t>
      </w:r>
      <w:r w:rsidR="001208DB">
        <w:rPr>
          <w:rFonts w:cstheme="minorHAnsi"/>
          <w:sz w:val="24"/>
          <w:szCs w:val="24"/>
        </w:rPr>
        <w:t xml:space="preserve">the </w:t>
      </w:r>
      <w:r w:rsidRPr="009B20E7">
        <w:rPr>
          <w:rFonts w:cstheme="minorHAnsi"/>
          <w:sz w:val="24"/>
          <w:szCs w:val="24"/>
        </w:rPr>
        <w:t>other variables.</w:t>
      </w:r>
      <w:r w:rsidR="001208DB">
        <w:rPr>
          <w:rFonts w:cstheme="minorHAnsi"/>
          <w:sz w:val="24"/>
          <w:szCs w:val="24"/>
        </w:rPr>
        <w:t xml:space="preserve"> </w:t>
      </w:r>
      <w:r w:rsidR="001171C3" w:rsidRPr="009B20E7">
        <w:rPr>
          <w:rFonts w:cstheme="minorHAnsi"/>
          <w:sz w:val="24"/>
          <w:szCs w:val="24"/>
        </w:rPr>
        <w:t>Fluctuations in other variables appear to have very little impact on the overall picture.</w:t>
      </w:r>
      <w:r w:rsidR="001208DB">
        <w:rPr>
          <w:rFonts w:cstheme="minorHAnsi"/>
          <w:sz w:val="24"/>
          <w:szCs w:val="24"/>
        </w:rPr>
        <w:t xml:space="preserve"> With </w:t>
      </w:r>
      <w:r w:rsidR="001171C3" w:rsidRPr="009B20E7">
        <w:rPr>
          <w:rFonts w:cstheme="minorHAnsi"/>
          <w:sz w:val="24"/>
          <w:szCs w:val="24"/>
        </w:rPr>
        <w:t>RVIX at its peak</w:t>
      </w:r>
      <w:r w:rsidR="001208DB">
        <w:rPr>
          <w:rFonts w:cstheme="minorHAnsi"/>
          <w:sz w:val="24"/>
          <w:szCs w:val="24"/>
        </w:rPr>
        <w:t xml:space="preserve">, </w:t>
      </w:r>
      <w:r w:rsidR="001171C3" w:rsidRPr="009B20E7">
        <w:rPr>
          <w:rFonts w:cstheme="minorHAnsi"/>
          <w:sz w:val="24"/>
          <w:szCs w:val="24"/>
        </w:rPr>
        <w:t>RFXC and RFXA start to exhibit their own volatility.</w:t>
      </w:r>
      <w:r w:rsidR="00322311">
        <w:rPr>
          <w:rFonts w:cstheme="minorHAnsi"/>
          <w:color w:val="000000"/>
          <w:sz w:val="24"/>
          <w:szCs w:val="24"/>
        </w:rPr>
        <w:br/>
      </w:r>
    </w:p>
    <w:p w14:paraId="2D0F7C17" w14:textId="77777777" w:rsidR="00322311" w:rsidRDefault="00322311" w:rsidP="00322311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2CA9429C" w14:textId="77777777" w:rsidR="00322311" w:rsidRDefault="00322311" w:rsidP="00322311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180F2A9B" w14:textId="77777777" w:rsidR="00322311" w:rsidRDefault="00322311" w:rsidP="00322311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12CE6FB7" w14:textId="18E24837" w:rsidR="00806ACB" w:rsidRPr="00322311" w:rsidRDefault="00B4293F" w:rsidP="00322311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9B20E7">
        <w:rPr>
          <w:rFonts w:cstheme="minorHAnsi"/>
          <w:b/>
          <w:bCs/>
          <w:color w:val="000000"/>
          <w:sz w:val="24"/>
          <w:szCs w:val="24"/>
        </w:rPr>
        <w:lastRenderedPageBreak/>
        <w:t>Prediction Profiler</w:t>
      </w:r>
      <w:r w:rsidR="008E131C" w:rsidRPr="009B20E7">
        <w:rPr>
          <w:rFonts w:cstheme="minorHAnsi"/>
          <w:b/>
          <w:bCs/>
          <w:color w:val="000000"/>
          <w:sz w:val="24"/>
          <w:szCs w:val="24"/>
        </w:rPr>
        <w:t xml:space="preserve"> - Sign of RSPY</w:t>
      </w:r>
    </w:p>
    <w:p w14:paraId="7BDB73CA" w14:textId="0B09D21E" w:rsidR="00B4293F" w:rsidRDefault="00B4293F" w:rsidP="00B429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697B9461" wp14:editId="6001A1E3">
            <wp:extent cx="3206813" cy="1143000"/>
            <wp:effectExtent l="19050" t="19050" r="12700" b="1905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77170" b="50735"/>
                    <a:stretch/>
                  </pic:blipFill>
                  <pic:spPr bwMode="auto">
                    <a:xfrm>
                      <a:off x="0" y="0"/>
                      <a:ext cx="3206813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60B04" w14:textId="77777777" w:rsidR="00B4293F" w:rsidRDefault="00B4293F" w:rsidP="00B429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14:paraId="6560A7B1" w14:textId="61684A94" w:rsidR="00B37AD5" w:rsidRDefault="00230BBD" w:rsidP="00B37AD5">
      <w:p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ab/>
      </w:r>
      <w:r>
        <w:rPr>
          <w:sz w:val="24"/>
          <w:szCs w:val="24"/>
        </w:rPr>
        <w:t xml:space="preserve">The analysis of Sign of RSPY in this data set shows that RVIX (Volatility) made the most difference in </w:t>
      </w:r>
      <w:r w:rsidR="009B20E7">
        <w:rPr>
          <w:sz w:val="24"/>
          <w:szCs w:val="24"/>
        </w:rPr>
        <w:t xml:space="preserve">the model’s </w:t>
      </w:r>
      <w:r>
        <w:rPr>
          <w:sz w:val="24"/>
          <w:szCs w:val="24"/>
        </w:rPr>
        <w:t>predictive recommendations.</w:t>
      </w:r>
      <w:r w:rsidR="001208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As fear impacted the market, the model actually recommended buying, </w:t>
      </w:r>
      <w:r w:rsidR="009B20E7">
        <w:rPr>
          <w:sz w:val="24"/>
          <w:szCs w:val="24"/>
        </w:rPr>
        <w:t xml:space="preserve">seizing upon the </w:t>
      </w:r>
      <w:r>
        <w:rPr>
          <w:sz w:val="24"/>
          <w:szCs w:val="24"/>
        </w:rPr>
        <w:t>opportunity to invest at a discount.</w:t>
      </w:r>
      <w:r w:rsidR="001208DB">
        <w:rPr>
          <w:sz w:val="24"/>
          <w:szCs w:val="24"/>
        </w:rPr>
        <w:t xml:space="preserve"> </w:t>
      </w:r>
      <w:r w:rsidR="00561886">
        <w:rPr>
          <w:sz w:val="24"/>
          <w:szCs w:val="24"/>
        </w:rPr>
        <w:t>The Federal Reserve</w:t>
      </w:r>
      <w:r w:rsidR="009B20E7">
        <w:rPr>
          <w:sz w:val="24"/>
          <w:szCs w:val="24"/>
        </w:rPr>
        <w:t>’s</w:t>
      </w:r>
      <w:r w:rsidR="00561886">
        <w:rPr>
          <w:sz w:val="24"/>
          <w:szCs w:val="24"/>
        </w:rPr>
        <w:t xml:space="preserve"> efforts to purchase RHYG (High-Yield Corporate Bonds) </w:t>
      </w:r>
      <w:r w:rsidR="009B20E7">
        <w:rPr>
          <w:sz w:val="24"/>
          <w:szCs w:val="24"/>
        </w:rPr>
        <w:t xml:space="preserve">appear to have </w:t>
      </w:r>
      <w:r w:rsidR="00561886">
        <w:rPr>
          <w:sz w:val="24"/>
          <w:szCs w:val="24"/>
        </w:rPr>
        <w:t xml:space="preserve">improved </w:t>
      </w:r>
      <w:r w:rsidR="00B409BF">
        <w:rPr>
          <w:sz w:val="24"/>
          <w:szCs w:val="24"/>
        </w:rPr>
        <w:t xml:space="preserve">performance of </w:t>
      </w:r>
      <w:r w:rsidR="00561886">
        <w:rPr>
          <w:sz w:val="24"/>
          <w:szCs w:val="24"/>
        </w:rPr>
        <w:t xml:space="preserve">the </w:t>
      </w:r>
      <w:r w:rsidR="00B409BF">
        <w:rPr>
          <w:sz w:val="24"/>
          <w:szCs w:val="24"/>
        </w:rPr>
        <w:t>S&amp;P 500</w:t>
      </w:r>
      <w:r w:rsidR="00561886">
        <w:rPr>
          <w:sz w:val="24"/>
          <w:szCs w:val="24"/>
        </w:rPr>
        <w:t>, motivating the model to recommend selling.</w:t>
      </w:r>
      <w:r w:rsidR="001208DB">
        <w:rPr>
          <w:sz w:val="24"/>
          <w:szCs w:val="24"/>
        </w:rPr>
        <w:t xml:space="preserve"> </w:t>
      </w:r>
      <w:r w:rsidR="00561886">
        <w:rPr>
          <w:sz w:val="24"/>
          <w:szCs w:val="24"/>
        </w:rPr>
        <w:t>The inclusion of RFXC (Canadian Dollar) and RFXA (Australian Dollar) in this model</w:t>
      </w:r>
      <w:r w:rsidR="00B409BF">
        <w:rPr>
          <w:sz w:val="24"/>
          <w:szCs w:val="24"/>
        </w:rPr>
        <w:t xml:space="preserve"> </w:t>
      </w:r>
      <w:r w:rsidR="00226897">
        <w:rPr>
          <w:sz w:val="24"/>
          <w:szCs w:val="24"/>
        </w:rPr>
        <w:t xml:space="preserve">also </w:t>
      </w:r>
      <w:r w:rsidR="00B409BF">
        <w:rPr>
          <w:sz w:val="24"/>
          <w:szCs w:val="24"/>
        </w:rPr>
        <w:t xml:space="preserve">alludes to </w:t>
      </w:r>
      <w:r w:rsidR="00561886">
        <w:rPr>
          <w:sz w:val="24"/>
          <w:szCs w:val="24"/>
        </w:rPr>
        <w:t xml:space="preserve">commodities playing a minor </w:t>
      </w:r>
      <w:r w:rsidR="009B20E7">
        <w:rPr>
          <w:sz w:val="24"/>
          <w:szCs w:val="24"/>
        </w:rPr>
        <w:t xml:space="preserve">supporting </w:t>
      </w:r>
      <w:r w:rsidR="00561886">
        <w:rPr>
          <w:sz w:val="24"/>
          <w:szCs w:val="24"/>
        </w:rPr>
        <w:t>role</w:t>
      </w:r>
      <w:r w:rsidR="00B409BF">
        <w:rPr>
          <w:sz w:val="24"/>
          <w:szCs w:val="24"/>
        </w:rPr>
        <w:t xml:space="preserve"> to the impact of High-Yield Corporate Bonds</w:t>
      </w:r>
      <w:r w:rsidR="00561886">
        <w:rPr>
          <w:sz w:val="24"/>
          <w:szCs w:val="24"/>
        </w:rPr>
        <w:t>.</w:t>
      </w:r>
    </w:p>
    <w:p w14:paraId="3CF6F38A" w14:textId="2CACBCC8" w:rsidR="00B37AD5" w:rsidRPr="00B37AD5" w:rsidRDefault="00B37AD5" w:rsidP="00B37AD5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b/>
          <w:bCs/>
          <w:color w:val="000000"/>
          <w:sz w:val="24"/>
          <w:szCs w:val="24"/>
        </w:rPr>
      </w:pPr>
    </w:p>
    <w:p w14:paraId="7DD17E0E" w14:textId="5EFD7824" w:rsidR="00B37AD5" w:rsidRPr="00B37AD5" w:rsidRDefault="00B37AD5" w:rsidP="00B409BF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b/>
          <w:bCs/>
          <w:color w:val="000000"/>
          <w:sz w:val="24"/>
          <w:szCs w:val="24"/>
        </w:rPr>
      </w:pPr>
      <w:r w:rsidRPr="00B37AD5">
        <w:rPr>
          <w:rFonts w:cstheme="minorHAnsi"/>
          <w:b/>
          <w:bCs/>
          <w:color w:val="000000"/>
          <w:sz w:val="24"/>
          <w:szCs w:val="24"/>
        </w:rPr>
        <w:t>Reference</w:t>
      </w:r>
    </w:p>
    <w:p w14:paraId="662901D8" w14:textId="77777777" w:rsidR="00B409BF" w:rsidRPr="005E45C3" w:rsidRDefault="009B20E7" w:rsidP="00B37AD5">
      <w:pPr>
        <w:spacing w:after="0" w:line="240" w:lineRule="auto"/>
        <w:rPr>
          <w:rFonts w:cstheme="minorHAnsi"/>
          <w:sz w:val="24"/>
          <w:szCs w:val="24"/>
        </w:rPr>
      </w:pPr>
      <w:r w:rsidRPr="005E45C3">
        <w:rPr>
          <w:rFonts w:cstheme="minorHAnsi"/>
          <w:sz w:val="24"/>
          <w:szCs w:val="24"/>
        </w:rPr>
        <w:t xml:space="preserve">Board of Governors of the Federal Reserve System. </w:t>
      </w:r>
      <w:r w:rsidR="00B409BF" w:rsidRPr="005E45C3">
        <w:rPr>
          <w:rFonts w:cstheme="minorHAnsi"/>
          <w:sz w:val="24"/>
          <w:szCs w:val="24"/>
        </w:rPr>
        <w:t xml:space="preserve">(2020, March 23). </w:t>
      </w:r>
      <w:r w:rsidR="00B37AD5" w:rsidRPr="005E45C3">
        <w:rPr>
          <w:rFonts w:cstheme="minorHAnsi"/>
          <w:i/>
          <w:iCs/>
          <w:sz w:val="24"/>
          <w:szCs w:val="24"/>
        </w:rPr>
        <w:t xml:space="preserve">Federal Reserve </w:t>
      </w:r>
      <w:r w:rsidR="00B409BF" w:rsidRPr="005E45C3">
        <w:rPr>
          <w:rFonts w:cstheme="minorHAnsi"/>
          <w:i/>
          <w:iCs/>
          <w:sz w:val="24"/>
          <w:szCs w:val="24"/>
        </w:rPr>
        <w:tab/>
      </w:r>
      <w:r w:rsidR="00B37AD5" w:rsidRPr="005E45C3">
        <w:rPr>
          <w:rFonts w:cstheme="minorHAnsi"/>
          <w:i/>
          <w:iCs/>
          <w:sz w:val="24"/>
          <w:szCs w:val="24"/>
        </w:rPr>
        <w:t>announces extensive new measures to support the economy</w:t>
      </w:r>
      <w:r w:rsidRPr="005E45C3">
        <w:rPr>
          <w:rFonts w:cstheme="minorHAnsi"/>
          <w:i/>
          <w:iCs/>
          <w:sz w:val="24"/>
          <w:szCs w:val="24"/>
        </w:rPr>
        <w:t xml:space="preserve"> </w:t>
      </w:r>
      <w:r w:rsidRPr="005E45C3">
        <w:rPr>
          <w:rFonts w:cstheme="minorHAnsi"/>
          <w:sz w:val="24"/>
          <w:szCs w:val="24"/>
        </w:rPr>
        <w:t>[Press release]</w:t>
      </w:r>
      <w:r w:rsidR="00B409BF" w:rsidRPr="005E45C3">
        <w:rPr>
          <w:rFonts w:cstheme="minorHAnsi"/>
          <w:sz w:val="24"/>
          <w:szCs w:val="24"/>
        </w:rPr>
        <w:t>.</w:t>
      </w:r>
    </w:p>
    <w:p w14:paraId="603D8B6A" w14:textId="6CA21F69" w:rsidR="00B4293F" w:rsidRPr="00B37AD5" w:rsidRDefault="00B409BF" w:rsidP="00B37AD5">
      <w:pPr>
        <w:spacing w:after="0" w:line="240" w:lineRule="auto"/>
        <w:rPr>
          <w:rFonts w:cstheme="minorHAnsi"/>
          <w:sz w:val="24"/>
          <w:szCs w:val="24"/>
        </w:rPr>
      </w:pPr>
      <w:r w:rsidRPr="005E45C3">
        <w:rPr>
          <w:rFonts w:cstheme="minorHAnsi"/>
          <w:sz w:val="24"/>
          <w:szCs w:val="24"/>
        </w:rPr>
        <w:tab/>
      </w:r>
      <w:r w:rsidR="009B20E7" w:rsidRPr="005E45C3">
        <w:rPr>
          <w:rFonts w:cstheme="minorHAnsi"/>
          <w:sz w:val="24"/>
          <w:szCs w:val="24"/>
        </w:rPr>
        <w:t>Retrieved</w:t>
      </w:r>
      <w:r w:rsidRPr="005E45C3">
        <w:rPr>
          <w:rFonts w:cstheme="minorHAnsi"/>
          <w:sz w:val="24"/>
          <w:szCs w:val="24"/>
        </w:rPr>
        <w:t xml:space="preserve"> from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hyperlink r:id="rId34" w:history="1">
        <w:r w:rsidRPr="008D6427">
          <w:rPr>
            <w:rStyle w:val="Hyperlink"/>
            <w:rFonts w:cstheme="minorHAnsi"/>
            <w:sz w:val="24"/>
            <w:szCs w:val="24"/>
          </w:rPr>
          <w:t>https://www.federalreserve.gov/newsevents/pressreleases/monetary20200323b.htm</w:t>
        </w:r>
      </w:hyperlink>
    </w:p>
    <w:sectPr w:rsidR="00B4293F" w:rsidRPr="00B37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74"/>
    <w:rsid w:val="000629D1"/>
    <w:rsid w:val="000C0E4D"/>
    <w:rsid w:val="000C2F9C"/>
    <w:rsid w:val="000E1796"/>
    <w:rsid w:val="001171C3"/>
    <w:rsid w:val="001208DB"/>
    <w:rsid w:val="00196BA3"/>
    <w:rsid w:val="001C79B5"/>
    <w:rsid w:val="001F793E"/>
    <w:rsid w:val="00223262"/>
    <w:rsid w:val="00226897"/>
    <w:rsid w:val="00230BBD"/>
    <w:rsid w:val="002773D2"/>
    <w:rsid w:val="00322311"/>
    <w:rsid w:val="003469F7"/>
    <w:rsid w:val="003A3C7C"/>
    <w:rsid w:val="003A5770"/>
    <w:rsid w:val="003B412C"/>
    <w:rsid w:val="003C0EA7"/>
    <w:rsid w:val="003C5625"/>
    <w:rsid w:val="003D1D25"/>
    <w:rsid w:val="003E1FF4"/>
    <w:rsid w:val="00406CBF"/>
    <w:rsid w:val="00424E10"/>
    <w:rsid w:val="00461B2B"/>
    <w:rsid w:val="004D70D7"/>
    <w:rsid w:val="00521B33"/>
    <w:rsid w:val="005306A8"/>
    <w:rsid w:val="00561886"/>
    <w:rsid w:val="005C0243"/>
    <w:rsid w:val="005D2089"/>
    <w:rsid w:val="005E45C3"/>
    <w:rsid w:val="005E468C"/>
    <w:rsid w:val="006160A7"/>
    <w:rsid w:val="00620A0E"/>
    <w:rsid w:val="00634CAB"/>
    <w:rsid w:val="00644093"/>
    <w:rsid w:val="00653965"/>
    <w:rsid w:val="00677778"/>
    <w:rsid w:val="00695FD7"/>
    <w:rsid w:val="006E5C21"/>
    <w:rsid w:val="007648AD"/>
    <w:rsid w:val="00774002"/>
    <w:rsid w:val="00805B2C"/>
    <w:rsid w:val="00806ACB"/>
    <w:rsid w:val="00810DAB"/>
    <w:rsid w:val="0089100F"/>
    <w:rsid w:val="008E131C"/>
    <w:rsid w:val="008F78AD"/>
    <w:rsid w:val="00914EFE"/>
    <w:rsid w:val="00946A7A"/>
    <w:rsid w:val="009B20E7"/>
    <w:rsid w:val="00A126DD"/>
    <w:rsid w:val="00A30978"/>
    <w:rsid w:val="00A67D7C"/>
    <w:rsid w:val="00AA11CE"/>
    <w:rsid w:val="00AC050F"/>
    <w:rsid w:val="00B13757"/>
    <w:rsid w:val="00B37AD5"/>
    <w:rsid w:val="00B409BF"/>
    <w:rsid w:val="00B4293F"/>
    <w:rsid w:val="00B75206"/>
    <w:rsid w:val="00B756CE"/>
    <w:rsid w:val="00BA2411"/>
    <w:rsid w:val="00BC3B03"/>
    <w:rsid w:val="00BF73F1"/>
    <w:rsid w:val="00C5253C"/>
    <w:rsid w:val="00CC16B7"/>
    <w:rsid w:val="00CE7949"/>
    <w:rsid w:val="00D00E60"/>
    <w:rsid w:val="00D1044B"/>
    <w:rsid w:val="00D43C56"/>
    <w:rsid w:val="00D460CA"/>
    <w:rsid w:val="00DB3F85"/>
    <w:rsid w:val="00DE7596"/>
    <w:rsid w:val="00DE7653"/>
    <w:rsid w:val="00E23720"/>
    <w:rsid w:val="00E36FBF"/>
    <w:rsid w:val="00E46274"/>
    <w:rsid w:val="00EE30AD"/>
    <w:rsid w:val="00F155EC"/>
    <w:rsid w:val="00F3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DD1F0"/>
  <w15:chartTrackingRefBased/>
  <w15:docId w15:val="{96845A29-7011-474F-8C28-8E577724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6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6274"/>
    <w:rPr>
      <w:b/>
      <w:bCs/>
    </w:rPr>
  </w:style>
  <w:style w:type="character" w:styleId="Hyperlink">
    <w:name w:val="Hyperlink"/>
    <w:basedOn w:val="DefaultParagraphFont"/>
    <w:uiPriority w:val="99"/>
    <w:unhideWhenUsed/>
    <w:rsid w:val="00946A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A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805B2C"/>
    <w:pPr>
      <w:spacing w:line="256" w:lineRule="auto"/>
      <w:ind w:left="720"/>
      <w:contextualSpacing/>
    </w:pPr>
    <w:rPr>
      <w:rFonts w:ascii="Arial" w:hAnsi="Arial" w:cs="Arial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37A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" Type="http://schemas.openxmlformats.org/officeDocument/2006/relationships/customXml" Target="../customXml/item3.xml"/><Relationship Id="rId21" Type="http://schemas.openxmlformats.org/officeDocument/2006/relationships/image" Target="media/image15.emf"/><Relationship Id="rId34" Type="http://schemas.openxmlformats.org/officeDocument/2006/relationships/hyperlink" Target="https://www.federalreserve.gov/newsevents/pressreleases/monetary20200323b.htm" TargetMode="Externa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2" Type="http://schemas.openxmlformats.org/officeDocument/2006/relationships/customXml" Target="../customXml/item2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fontTable" Target="fontTable.xml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D26B0E0F8D3042877E02E7693A7A28" ma:contentTypeVersion="12" ma:contentTypeDescription="Create a new document." ma:contentTypeScope="" ma:versionID="4bd71793fa1ec5b0d813d0a67d77699d">
  <xsd:schema xmlns:xsd="http://www.w3.org/2001/XMLSchema" xmlns:xs="http://www.w3.org/2001/XMLSchema" xmlns:p="http://schemas.microsoft.com/office/2006/metadata/properties" xmlns:ns3="9d1a3682-3788-4fe9-81d6-dea8778e910b" xmlns:ns4="3b864538-3824-4245-bf92-71c580a46ad5" targetNamespace="http://schemas.microsoft.com/office/2006/metadata/properties" ma:root="true" ma:fieldsID="7dd99487c07f899cdae639f8c96676fc" ns3:_="" ns4:_="">
    <xsd:import namespace="9d1a3682-3788-4fe9-81d6-dea8778e910b"/>
    <xsd:import namespace="3b864538-3824-4245-bf92-71c580a46a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1a3682-3788-4fe9-81d6-dea8778e91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864538-3824-4245-bf92-71c580a46a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C236B7-4E81-4997-A9CF-A9219D1921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1a3682-3788-4fe9-81d6-dea8778e910b"/>
    <ds:schemaRef ds:uri="3b864538-3824-4245-bf92-71c580a46a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67D911-83E8-4933-8919-1696AEB269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1B7167-F17F-4961-A355-313150A71B4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1923</TotalTime>
  <Pages>6</Pages>
  <Words>1531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Sanchez</dc:creator>
  <cp:keywords/>
  <dc:description/>
  <cp:lastModifiedBy>Dan Sanchez</cp:lastModifiedBy>
  <cp:revision>55</cp:revision>
  <dcterms:created xsi:type="dcterms:W3CDTF">2021-06-01T02:01:00Z</dcterms:created>
  <dcterms:modified xsi:type="dcterms:W3CDTF">2021-06-07T01:59:00Z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0x010100B4D26B0E0F8D3042877E02E7693A7A28</vt:lpwstr>
  </property>
</Properties>
</file>