
<file path=word/document.xml><?xml version="1.0" encoding="utf-8"?>
<w:document xmlns:w="http://schemas.openxmlformats.org/wordprocessingml/2006/main">
  <w:body>
    <w:p>
      <w:r>
        <w:t>Elena Rostova</w:t>
      </w:r>
    </w:p>
    <w:p>
      <w:r>
        <w:t>elena.rostova@example.com | (555) 321-9876 | Chicago, IL | linkedin.com/in/erostova</w:t>
      </w:r>
    </w:p>
    <!-- Text Box Sidebar (Normally dropped by basic extractors!) -->
    <w:txbxContent>
      <w:p>
        <w:r>
          <w:t>AREAS OF EXPERTISE</w:t>
        </w:r>
      </w:p>
      <w:p>
        <w:numPr>
          <w:ilvl w:val="0"/>
        </w:numPr>
        <w:r>
          <w:t>Cloud Infrastructure &amp; Terraform</w:t>
        </w:r>
      </w:p>
      <w:p>
        <w:numPr>
          <w:ilvl w:val="0"/>
        </w:numPr>
        <w:r>
          <w:t>Kubernetes Cluster Orchestration</w:t>
        </w:r>
      </w:p>
      <w:p>
        <w:numPr>
          <w:ilvl w:val="0"/>
        </w:numPr>
        <w:r>
          <w:t>Distributed Telemetry &amp; Prometheus</w:t>
        </w:r>
      </w:p>
    </w:txbxContent>
    <w:p>
      <w:r>
        <w:t>PROFESSIONAL SUMMARY</w:t>
      </w:r>
    </w:p>
    <w:p>
      <w:r>
        <w:t>Staff Site Reliability Engineer with 9 years of experience engineering zero-downtime distributed platforms and automating multi-region cloud resilience.</w:t>
      </w:r>
    </w:p>
    <w:p>
      <w:r>
        <w:t>EXPERIENCE</w:t>
      </w:r>
    </w:p>
    <!-- Multi-Column Layout Table -->
    <w:tbl>
      <w:tr>
        <w:tc>
          <w:p>
            <w:r>
              <w:t>Staff SRE Lead — Apex Cloud Global</w:t>
            </w:r>
          </w:p>
        </w:tc>
        <w:tc>
          <w:p>
            <w:r>
              <w:t>2021 - Present</w:t>
            </w:r>
          </w:p>
        </w:tc>
      </w:tr>
      <w:tr>
        <w:tc>
          <w:p>
            <w:r>
              <w:t>• Engineered automated multi-region failover handling 99.999% availability SLAs.</w:t>
            </w:r>
          </w:p>
        </w:tc>
      </w:tr>
      <w:tr>
        <w:tc>
          <w:p>
            <w:r>
              <w:t>• Reduced cloud operating expenditure by $2.4M annually through dynamic autoscaling.</w:t>
            </w:r>
          </w:p>
        </w:tc>
      </w:tr>
    </w:tbl>
  </w:body>
</w:document>
</file>