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b w:val="1"/>
          <w:sz w:val="48"/>
          <w:szCs w:val="48"/>
          <w:shd w:fill="auto" w:val="clear"/>
          <w:rtl w:val="0"/>
        </w:rPr>
        <w:t xml:space="preserve">Chart Example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You must be running Microsoft Internet Explorer 3.0 and have the </w:t>
      </w:r>
      <w:hyperlink r:id="rId6">
        <w:r w:rsidDel="00000000" w:rsidR="00000000" w:rsidRPr="00000000">
          <w:rPr>
            <w:color w:val="0000ee"/>
            <w:sz w:val="20"/>
            <w:szCs w:val="20"/>
            <w:u w:val="single"/>
            <w:shd w:fill="auto" w:val="clear"/>
            <w:rtl w:val="0"/>
          </w:rPr>
          <w:t xml:space="preserve">Microsoft ActiveX Chart control</w:t>
        </w:r>
      </w:hyperlink>
      <w:r w:rsidDel="00000000" w:rsidR="00000000" w:rsidRPr="00000000">
        <w:rPr>
          <w:sz w:val="20"/>
          <w:szCs w:val="20"/>
          <w:shd w:fill="auto" w:val="clear"/>
          <w:rtl w:val="0"/>
        </w:rPr>
        <w:t xml:space="preserve"> installed to view this page.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chart control enables you to draw charts. The chart's types and styles are properties of the control. The chart has one method, AboutBox. The chart generates no events.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4500.0" w:type="dxa"/>
        <w:jc w:val="left"/>
        <w:tblLayout w:type="fixed"/>
        <w:tblLook w:val="0600"/>
      </w:tblPr>
      <w:tblGrid>
        <w:gridCol w:w="2250"/>
        <w:gridCol w:w="2250"/>
        <w:tblGridChange w:id="0">
          <w:tblGrid>
            <w:gridCol w:w="2250"/>
            <w:gridCol w:w="2250"/>
          </w:tblGrid>
        </w:tblGridChange>
      </w:tblGrid>
      <w:tr>
        <w:trPr>
          <w:cantSplit w:val="0"/>
          <w:tblHeader w:val="0"/>
        </w:trPr>
        <w:tc>
          <w:tcPr>
            <w:gridSpan w:val="2"/>
            <w:shd w:fill="000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Chart Type</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Pie</w:t>
            </w:r>
          </w:p>
        </w:tc>
        <w:tc>
          <w:tcPr>
            <w:shd w:fill="ffffcc"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Column</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Pie with Wedge Out</w:t>
            </w:r>
          </w:p>
        </w:tc>
        <w:tc>
          <w:tcPr>
            <w:shd w:fill="ffffcc"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Stacked Column</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Point</w:t>
            </w:r>
          </w:p>
        </w:tc>
        <w:tc>
          <w:tcPr>
            <w:shd w:fill="ffffcc"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 Column</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Stacked Point</w:t>
            </w:r>
          </w:p>
        </w:tc>
        <w:tc>
          <w:tcPr>
            <w:shd w:fill="ffffcc"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Bar</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 Point</w:t>
            </w:r>
          </w:p>
        </w:tc>
        <w:tc>
          <w:tcPr>
            <w:shd w:fill="ffffcc"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Stacked Bar</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Line</w:t>
            </w:r>
          </w:p>
        </w:tc>
        <w:tc>
          <w:tcPr>
            <w:shd w:fill="ffffcc"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 Bar</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Stacked Line</w:t>
            </w:r>
          </w:p>
        </w:tc>
        <w:tc>
          <w:tcPr>
            <w:shd w:fill="ffffcc"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HLC Stock</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 Line</w:t>
            </w:r>
          </w:p>
        </w:tc>
        <w:tc>
          <w:tcPr>
            <w:shd w:fill="ffffcc"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HLC Stock WSJ</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Area</w:t>
            </w:r>
          </w:p>
        </w:tc>
        <w:tc>
          <w:tcPr>
            <w:shd w:fill="ffffcc"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OHLC Stock</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Stack Area</w:t>
            </w:r>
          </w:p>
        </w:tc>
        <w:tc>
          <w:tcPr>
            <w:shd w:fill="ffffcc"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OHLC Stock WSJ</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 Area</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1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tblGridChange w:id="0">
          <w:tblGrid>
            <w:gridCol w:w="1875"/>
          </w:tblGrid>
        </w:tblGridChange>
      </w:tblGrid>
      <w:tr>
        <w:trPr>
          <w:cantSplit w:val="0"/>
          <w:tblHeader w:val="0"/>
        </w:trPr>
        <w:tc>
          <w:tcPr>
            <w:shd w:fill="000080"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Gridlines</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w:t>
            </w:r>
          </w:p>
        </w:tc>
      </w:tr>
      <w:tr>
        <w:trPr>
          <w:cantSplit w:val="0"/>
          <w:tblHeader w:val="0"/>
        </w:trPr>
        <w:tc>
          <w:tcPr>
            <w:shd w:fill="000080"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Background</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Opaque</w:t>
            </w:r>
          </w:p>
        </w:tc>
      </w:tr>
      <w:tr>
        <w:trPr>
          <w:cantSplit w:val="0"/>
          <w:tblHeader w:val="0"/>
        </w:trPr>
        <w:tc>
          <w:tcPr>
            <w:shd w:fill="ffffcc"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Transparent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pict>
          <v:rect style="width:0.0pt;height:1.5pt" o:hr="t" o:hrstd="t" o:hralign="center" fillcolor="#A0A0A0" stroked="f"/>
        </w:pict>
      </w:r>
      <w:r w:rsidDel="00000000" w:rsidR="00000000" w:rsidRPr="00000000">
        <w:rPr>
          <w:b w:val="1"/>
          <w:sz w:val="28"/>
          <w:szCs w:val="28"/>
          <w:shd w:fill="auto" w:val="clear"/>
          <w:rtl w:val="0"/>
        </w:rPr>
        <w:t xml:space="preserve">Notes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chart's properties on this page are changed by selecting the various radio buttons and check boxes. The OnClick event of these intrinsic controls calls VBScript procedures that change the chart properties.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About Chart Control command button calls the chart's AboutBox method.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view the source code for this page, select Source from the View menu.</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any questions or comments about this example, please send them to </w:t>
      </w:r>
      <w:hyperlink r:id="rId7">
        <w:r w:rsidDel="00000000" w:rsidR="00000000" w:rsidRPr="00000000">
          <w:rPr>
            <w:color w:val="0000ee"/>
            <w:u w:val="single"/>
            <w:shd w:fill="auto" w:val="clear"/>
            <w:rtl w:val="0"/>
          </w:rPr>
          <w:t xml:space="preserve">billr@smart.net</w:t>
        </w:r>
      </w:hyperlink>
      <w:r w:rsidDel="00000000" w:rsidR="00000000" w:rsidRPr="00000000">
        <w:rPr>
          <w:shd w:fill="auto" w:val="clear"/>
          <w:rtl w:val="0"/>
        </w:rPr>
        <w:t xml:space="preserve">. We would appreciate feedback and would like to hear about other developers' experiences with these new tools.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pict>
          <v:rect style="width:0.0pt;height:1.5pt" o:hr="t" o:hrstd="t" o:hralign="center" fillcolor="#A0A0A0" stroked="f"/>
        </w:pict>
      </w:r>
      <w:r w:rsidDel="00000000" w:rsidR="00000000" w:rsidRPr="00000000">
        <w:rPr>
          <w:sz w:val="20"/>
          <w:szCs w:val="20"/>
          <w:shd w:fill="auto" w:val="clear"/>
          <w:rtl w:val="0"/>
        </w:rPr>
        <w:t xml:space="preserve">© 1996 Rollins &amp; Associates, Inc.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Page last updated 08/28/96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sz w:val="20"/>
          <w:szCs w:val="20"/>
          <w:u w:val="single"/>
          <w:shd w:fill="auto" w:val="clear"/>
        </w:rPr>
      </w:pPr>
      <w:r w:rsidDel="00000000" w:rsidR="00000000" w:rsidRPr="00000000">
        <w:rPr>
          <w:sz w:val="20"/>
          <w:szCs w:val="20"/>
          <w:shd w:fill="auto" w:val="clear"/>
          <w:rtl w:val="0"/>
        </w:rPr>
        <w:t xml:space="preserve">Please send comments to </w:t>
      </w:r>
      <w:hyperlink r:id="rId8">
        <w:r w:rsidDel="00000000" w:rsidR="00000000" w:rsidRPr="00000000">
          <w:rPr>
            <w:color w:val="0000ee"/>
            <w:sz w:val="20"/>
            <w:szCs w:val="20"/>
            <w:u w:val="single"/>
            <w:shd w:fill="auto" w:val="clear"/>
            <w:rtl w:val="0"/>
          </w:rPr>
          <w:t xml:space="preserve">billr@smart.net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icrosoft.saltmine.com/isapi/activexisv/prmgallery/gallery-activex-info.idc?ID=162" TargetMode="External"/><Relationship Id="rId7" Type="http://schemas.openxmlformats.org/officeDocument/2006/relationships/hyperlink" Target="mailto:billr@smart.net" TargetMode="External"/><Relationship Id="rId8" Type="http://schemas.openxmlformats.org/officeDocument/2006/relationships/hyperlink" Target="mailto:billr@smar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