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Gestion à distance : en dessous d'un même seuil de zoom pour toutes les planètes (×1,7), un anneau épais aux couleurs des propriétaires entoure chaque planète (qui tient quoi, territoires attaqués qui clignotent) et toute la bordure devient cliquable : on désigne un territoire par sa direction depuis le centre, pour attaquer ou construire sans zoomer. Les planètes gardent leur taille réelle.</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Coût : 50 $ par missile tiré. Par défaut, la salve comprend tous les missiles prêts de la planète que le joueur peut payer (affiché « n MAX ») ; les boutons − et + permettent d'en tirer moins. Si l'argent manque, la salve est réduite à ce qui est payable.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Coût : 1 000 $ par envoi de module de colonisation, en plus des colons prélevés.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Comment jouer ? : un bouton sous le titre ouvre un tutoriel illustré (sommaire cliquable) : but du jeu et conditions de victoire, fondation, écran de jeu, argent et population, conquête, bâtiments, missiles et cratères, colonisation, gestion de plusieurs planètes, diplomatie, commandes. Les chiffres sont lus dans la configuration du jeu ; les illustrations sont des captures du jeu (tools/tuto_captures.py). À mettre à jour à chaque évolution.</w:t>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