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Pocket Puff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“Lavender’s a fair old thing for keeping the mind quiet. Had a PocketPuff by the bed once… before I gave up sleeping.”</w:t>
        <w:br w:type="textWrapping"/>
        <w:br w:type="textWrapping"/>
        <w:br w:type="textWrapping"/>
        <w:t xml:space="preserve">Tattle Tonic and Bat’s Bother</w:t>
        <w:br w:type="textWrapping"/>
        <w:br w:type="textWrapping"/>
        <w:t xml:space="preserve">“They say if you listen close, you’ll hear the sea. I hear my patience giving out. That’s why it finds its way into Tattle Tonic and Bat’s Bother. Can’t trust anything else to behave.”</w:t>
        <w:br w:type="textWrapping"/>
        <w:br w:type="textWrapping"/>
        <w:t xml:space="preserve">Invisibility </w:t>
        <w:br w:type="textWrapping"/>
        <w:br w:type="textWrapping"/>
        <w:t xml:space="preserve">“Funny thing about invisibility… apparently any scrap of old paper’ll do the job. Got the stuff clogging up every corner, and now it’s making potions? Ridiculous.”</w:t>
        <w:br w:type="textWrapping"/>
        <w:br w:type="textWrapping"/>
        <w:t xml:space="preserve">Swift hand Hidden Recipe</w:t>
        <w:br w:type="textWrapping"/>
        <w:br w:type="textWrapping"/>
        <w:t xml:space="preserve">“Takes a pebble to speed up your hands. Obvious, right? No. No, it isn’t.”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