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Failed Tutorial Ingredient</w:t>
      </w:r>
      <w:r w:rsidDel="00000000" w:rsidR="00000000" w:rsidRPr="00000000">
        <w:rPr>
          <w:rtl w:val="0"/>
        </w:rPr>
        <w:br w:type="textWrapping"/>
        <w:br w:type="textWrapping"/>
        <w:t xml:space="preserve">“Go on then. May as well throw the whole cupboard in while you’re at it.”</w:t>
        <w:br w:type="textWrapping"/>
        <w:br w:type="textWrapping"/>
        <w:t xml:space="preserve">Or </w:t>
        <w:br w:type="textWrapping"/>
        <w:br w:type="textWrapping"/>
        <w:t xml:space="preserve">“Textbook wrong. Impressive, really.”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Failed to stir the correct way</w:t>
        <w:br w:type="textWrapping"/>
        <w:br w:type="textWrapping"/>
      </w:r>
      <w:r w:rsidDel="00000000" w:rsidR="00000000" w:rsidRPr="00000000">
        <w:rPr>
          <w:rtl w:val="0"/>
        </w:rPr>
        <w:t xml:space="preserve">“It’s clockwise… not whatever that was.”</w:t>
        <w:br w:type="textWrapping"/>
        <w:br w:type="textWrapping"/>
        <w:t xml:space="preserve">Or </w:t>
        <w:br w:type="textWrapping"/>
        <w:br w:type="textWrapping"/>
        <w:t xml:space="preserve">“Fancy stirring backwards, do you?”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Incorrect Order placement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“Go ahead. Toss in whatever you like. It’s only a disaster waiting.”</w:t>
        <w:br w:type="textWrapping"/>
        <w:br w:type="textWrapping"/>
        <w:t xml:space="preserve">Or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“Wrong. Try reading for once.”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Incase they repeat stirr</w:t>
      </w:r>
      <w:r w:rsidDel="00000000" w:rsidR="00000000" w:rsidRPr="00000000">
        <w:rPr>
          <w:rtl w:val="0"/>
        </w:rPr>
        <w:t xml:space="preserve"> (Chaos!)</w:t>
        <w:br w:type="textWrapping"/>
        <w:br w:type="textWrapping"/>
        <w:t xml:space="preserve">“Oh, marvellous. Another wrong turn.”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Or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“I’ve seen tea stirred with more sense.”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Incase they spin over and "cauldron splashes in their face” from over spinning </w:t>
      </w:r>
      <w:r w:rsidDel="00000000" w:rsidR="00000000" w:rsidRPr="00000000">
        <w:rPr>
          <w:rtl w:val="0"/>
        </w:rPr>
        <w:br w:type="textWrapping"/>
        <w:br w:type="textWrapping"/>
        <w:t xml:space="preserve">“Lovely. You’ve managed to stir half the workshop into it.”</w:t>
        <w:br w:type="textWrapping"/>
        <w:br w:type="textWrapping"/>
        <w:t xml:space="preserve">“It’s a potion, not a blooming washing machine.”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