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BACAB" w14:textId="644A556B" w:rsidR="00651538" w:rsidRPr="00651538" w:rsidRDefault="00651538" w:rsidP="00651538">
      <w:pPr>
        <w:rPr>
          <w:b/>
          <w:bCs/>
          <w:color w:val="4C94D8" w:themeColor="text2" w:themeTint="80"/>
        </w:rPr>
      </w:pPr>
      <w:r w:rsidRPr="00651538">
        <w:rPr>
          <w:b/>
          <w:bCs/>
          <w:color w:val="4C94D8" w:themeColor="text2" w:themeTint="80"/>
        </w:rPr>
        <w:t>Preguntas y Respuestas Taller 5</w:t>
      </w:r>
    </w:p>
    <w:p w14:paraId="5D1BD97C" w14:textId="77777777" w:rsidR="00651538" w:rsidRPr="00651538" w:rsidRDefault="00651538" w:rsidP="00651538">
      <w:pPr>
        <w:rPr>
          <w:b/>
          <w:bCs/>
          <w:color w:val="4C94D8" w:themeColor="text2" w:themeTint="80"/>
        </w:rPr>
      </w:pPr>
      <w:r w:rsidRPr="00651538">
        <w:rPr>
          <w:b/>
          <w:bCs/>
          <w:color w:val="4C94D8" w:themeColor="text2" w:themeTint="80"/>
        </w:rPr>
        <w:t>Pregunta 1.1.1</w:t>
      </w:r>
    </w:p>
    <w:p w14:paraId="35641A92" w14:textId="18389C78" w:rsidR="00651538" w:rsidRPr="00651538" w:rsidRDefault="00651538" w:rsidP="00651538">
      <w:pPr>
        <w:numPr>
          <w:ilvl w:val="0"/>
          <w:numId w:val="1"/>
        </w:numPr>
      </w:pPr>
      <w:r w:rsidRPr="00651538">
        <w:rPr>
          <w:b/>
          <w:bCs/>
          <w:color w:val="4C94D8" w:themeColor="text2" w:themeTint="80"/>
        </w:rPr>
        <w:t>¿Qué significa "Anomalía de Temperatura"</w:t>
      </w:r>
      <w:r w:rsidRPr="00651538">
        <w:rPr>
          <w:b/>
          <w:bCs/>
        </w:rPr>
        <w:t>?:</w:t>
      </w:r>
      <w:r w:rsidRPr="00651538">
        <w:t xml:space="preserve"> Es la diferencia (desviación) entre la temperatura registrada en un año o mes específico y el promedio de temperatura calculado en un periodo de referencia (que para estos datos corresponde al intervalo 1951–1980). Por ejemplo, un valor de +1.0</w:t>
      </w:r>
      <w:r w:rsidRPr="00651538">
        <w:rPr>
          <w:rFonts w:ascii="Cambria Math" w:hAnsi="Cambria Math" w:cs="Cambria Math"/>
        </w:rPr>
        <w:t>∘</w:t>
      </w:r>
      <w:r w:rsidRPr="00651538">
        <w:t>C indica que el periodo estuvo 1.0</w:t>
      </w:r>
      <w:r w:rsidRPr="00651538">
        <w:rPr>
          <w:rFonts w:ascii="Cambria Math" w:hAnsi="Cambria Math" w:cs="Cambria Math"/>
        </w:rPr>
        <w:t>∘</w:t>
      </w:r>
      <w:r w:rsidRPr="00651538">
        <w:t>C m</w:t>
      </w:r>
      <w:r w:rsidRPr="00651538">
        <w:rPr>
          <w:rFonts w:ascii="Aptos" w:hAnsi="Aptos" w:cs="Aptos"/>
        </w:rPr>
        <w:t>á</w:t>
      </w:r>
      <w:r w:rsidRPr="00651538">
        <w:t>s caliente que la norma hist</w:t>
      </w:r>
      <w:r w:rsidRPr="00651538">
        <w:rPr>
          <w:rFonts w:ascii="Aptos" w:hAnsi="Aptos" w:cs="Aptos"/>
        </w:rPr>
        <w:t>ó</w:t>
      </w:r>
      <w:r w:rsidRPr="00651538">
        <w:t xml:space="preserve">rica de mediados del siglo XX. </w:t>
      </w:r>
    </w:p>
    <w:p w14:paraId="7102D704" w14:textId="77777777" w:rsidR="00651538" w:rsidRPr="00651538" w:rsidRDefault="00651538" w:rsidP="00651538">
      <w:pPr>
        <w:numPr>
          <w:ilvl w:val="0"/>
          <w:numId w:val="1"/>
        </w:numPr>
        <w:rPr>
          <w:color w:val="4C94D8" w:themeColor="text2" w:themeTint="80"/>
        </w:rPr>
      </w:pPr>
      <w:r w:rsidRPr="00651538">
        <w:rPr>
          <w:b/>
          <w:bCs/>
          <w:color w:val="4C94D8" w:themeColor="text2" w:themeTint="80"/>
        </w:rPr>
        <w:t>¿Por qué se prefiere frente a la temperatura absoluta?:</w:t>
      </w:r>
      <w:r w:rsidRPr="00651538">
        <w:rPr>
          <w:color w:val="4C94D8" w:themeColor="text2" w:themeTint="80"/>
        </w:rPr>
        <w:t xml:space="preserve"> </w:t>
      </w:r>
    </w:p>
    <w:p w14:paraId="2E7DBCE7" w14:textId="77777777" w:rsidR="00651538" w:rsidRDefault="00651538" w:rsidP="00651538">
      <w:pPr>
        <w:numPr>
          <w:ilvl w:val="1"/>
          <w:numId w:val="1"/>
        </w:numPr>
      </w:pPr>
      <w:r w:rsidRPr="00651538">
        <w:t xml:space="preserve">1. </w:t>
      </w:r>
      <w:r w:rsidRPr="00651538">
        <w:rPr>
          <w:b/>
          <w:bCs/>
        </w:rPr>
        <w:t>Elimina sesgos geográficos:</w:t>
      </w:r>
      <w:r w:rsidRPr="00651538">
        <w:t xml:space="preserve"> Permite comparar directamente zonas con altitudes o climas locales muy distintos (por ejemplo, una estación en la montaña versus una en la costa). </w:t>
      </w:r>
    </w:p>
    <w:p w14:paraId="571E6650" w14:textId="14FFA586" w:rsidR="00651538" w:rsidRPr="00651538" w:rsidRDefault="00651538" w:rsidP="00651538">
      <w:pPr>
        <w:numPr>
          <w:ilvl w:val="1"/>
          <w:numId w:val="1"/>
        </w:numPr>
      </w:pPr>
      <w:r w:rsidRPr="00651538">
        <w:t xml:space="preserve">2. </w:t>
      </w:r>
      <w:r w:rsidRPr="00651538">
        <w:rPr>
          <w:b/>
          <w:bCs/>
        </w:rPr>
        <w:t>Independencia instrumental:</w:t>
      </w:r>
      <w:r w:rsidRPr="00651538">
        <w:t xml:space="preserve"> Permite integrar y comparar series históricas continuas aun cuando los instrumentos meteorológicos o la ubicación exacta de las estaciones hayan cambiado a lo largo del tiempo. </w:t>
      </w:r>
    </w:p>
    <w:p w14:paraId="4448014D" w14:textId="77777777" w:rsidR="00651538" w:rsidRPr="00651538" w:rsidRDefault="00651538" w:rsidP="00651538">
      <w:pPr>
        <w:rPr>
          <w:b/>
          <w:bCs/>
          <w:color w:val="4C94D8" w:themeColor="text2" w:themeTint="80"/>
        </w:rPr>
      </w:pPr>
      <w:r w:rsidRPr="00651538">
        <w:rPr>
          <w:b/>
          <w:bCs/>
          <w:color w:val="4C94D8" w:themeColor="text2" w:themeTint="80"/>
        </w:rPr>
        <w:t>Preguntas 1.1.2 y 1.1.3</w:t>
      </w:r>
    </w:p>
    <w:p w14:paraId="13DD95CF" w14:textId="13AF0EAC" w:rsidR="00651538" w:rsidRPr="00651538" w:rsidRDefault="00651538" w:rsidP="00651538">
      <w:pPr>
        <w:numPr>
          <w:ilvl w:val="0"/>
          <w:numId w:val="2"/>
        </w:numPr>
      </w:pPr>
      <w:r w:rsidRPr="00651538">
        <w:rPr>
          <w:b/>
          <w:bCs/>
        </w:rPr>
        <w:t>Análisis del mes de Enero (1880–2026):</w:t>
      </w:r>
      <w:r w:rsidRPr="00651538">
        <w:t xml:space="preserve"> Entre 1880 y 1980 la serie se mantuvo mayoritariamente por debajo de cero (registrando un mínimo destacado hacia 1893 por debajo de −1.5</w:t>
      </w:r>
      <w:r w:rsidRPr="00651538">
        <w:rPr>
          <w:rFonts w:ascii="Cambria Math" w:hAnsi="Cambria Math" w:cs="Cambria Math"/>
        </w:rPr>
        <w:t>∘</w:t>
      </w:r>
      <w:r w:rsidRPr="00651538">
        <w:t>C). A partir de 1980 se observa un quiebre sostenido hacia arriba, superando de forma constante +1.0</w:t>
      </w:r>
      <w:r w:rsidRPr="00651538">
        <w:rPr>
          <w:rFonts w:ascii="Cambria Math" w:hAnsi="Cambria Math" w:cs="Cambria Math"/>
        </w:rPr>
        <w:t>∘</w:t>
      </w:r>
      <w:r w:rsidRPr="00651538">
        <w:t>C y alcanzando picos superiores a +1.5</w:t>
      </w:r>
      <w:r w:rsidRPr="00651538">
        <w:rPr>
          <w:rFonts w:ascii="Cambria Math" w:hAnsi="Cambria Math" w:cs="Cambria Math"/>
        </w:rPr>
        <w:t>∘</w:t>
      </w:r>
      <w:r w:rsidRPr="00651538">
        <w:t>C en los a</w:t>
      </w:r>
      <w:r w:rsidRPr="00651538">
        <w:rPr>
          <w:rFonts w:ascii="Aptos" w:hAnsi="Aptos" w:cs="Aptos"/>
        </w:rPr>
        <w:t>ñ</w:t>
      </w:r>
      <w:r w:rsidRPr="00651538">
        <w:t xml:space="preserve">os recientes. Esto demuestra que el calentamiento es visible incluso aislando un solo mes del año. </w:t>
      </w:r>
    </w:p>
    <w:p w14:paraId="549DF923" w14:textId="47488771" w:rsidR="00651538" w:rsidRPr="00651538" w:rsidRDefault="00651538" w:rsidP="00651538">
      <w:pPr>
        <w:numPr>
          <w:ilvl w:val="0"/>
          <w:numId w:val="2"/>
        </w:numPr>
      </w:pPr>
      <w:r w:rsidRPr="00651538">
        <w:rPr>
          <w:b/>
          <w:bCs/>
        </w:rPr>
        <w:t>Análisis por Estaciones (DJF, MAM, JJA, SON):</w:t>
      </w:r>
      <w:r w:rsidRPr="00651538">
        <w:t xml:space="preserve"> Las cuatro líneas muestran un paralelismo casi perfecto en todo el registro histórico. Se descarta que el incremento de temperatura obedezca a una época específica (como veranos más cálidos o inviernos más suaves); el calentamiento afecta de forma homogénea a todo el ciclo climático del </w:t>
      </w:r>
      <w:proofErr w:type="gramStart"/>
      <w:r w:rsidRPr="00651538">
        <w:t>Hemisferio Norte</w:t>
      </w:r>
      <w:proofErr w:type="gramEnd"/>
      <w:r w:rsidRPr="00651538">
        <w:t xml:space="preserve">. </w:t>
      </w:r>
    </w:p>
    <w:p w14:paraId="788F8D57" w14:textId="16C8D7DB" w:rsidR="00651538" w:rsidRPr="00651538" w:rsidRDefault="00651538" w:rsidP="00651538">
      <w:pPr>
        <w:numPr>
          <w:ilvl w:val="0"/>
          <w:numId w:val="2"/>
        </w:numPr>
      </w:pPr>
      <w:r w:rsidRPr="00651538">
        <w:rPr>
          <w:b/>
          <w:bCs/>
        </w:rPr>
        <w:t>Análisis del Promedio Anual (J-D):</w:t>
      </w:r>
      <w:r w:rsidRPr="00651538">
        <w:t xml:space="preserve"> Al promediar los doce meses de cada año, se cancela la variabilidad de corto plazo ("ruido") y queda expuesta la tendencia estructural. Muestra una forma clara de </w:t>
      </w:r>
      <w:r w:rsidRPr="00651538">
        <w:rPr>
          <w:b/>
          <w:bCs/>
        </w:rPr>
        <w:t>"palo de hockey"</w:t>
      </w:r>
      <w:r w:rsidRPr="00651538">
        <w:t xml:space="preserve">: un periodo largo relativamente plano seguido de un ascenso vertiginoso en las últimas cuatro décadas. </w:t>
      </w:r>
    </w:p>
    <w:p w14:paraId="273BD728" w14:textId="2A9B291C" w:rsidR="00651538" w:rsidRPr="00651538" w:rsidRDefault="00651538" w:rsidP="00651538">
      <w:pPr>
        <w:numPr>
          <w:ilvl w:val="0"/>
          <w:numId w:val="2"/>
        </w:numPr>
      </w:pPr>
      <w:r w:rsidRPr="00651538">
        <w:rPr>
          <w:b/>
          <w:bCs/>
        </w:rPr>
        <w:lastRenderedPageBreak/>
        <w:t>Discusión general:</w:t>
      </w:r>
      <w:r w:rsidRPr="00651538">
        <w:t xml:space="preserve"> Las tres gráficas confirman, de manera consistente, que la temperatura ha aumentado de forma acelerada y continua en los últimos 40 años. </w:t>
      </w:r>
    </w:p>
    <w:p w14:paraId="3DB9D985" w14:textId="77777777" w:rsidR="00651538" w:rsidRPr="00651538" w:rsidRDefault="00651538" w:rsidP="00651538">
      <w:pPr>
        <w:rPr>
          <w:b/>
          <w:bCs/>
          <w:color w:val="4C94D8" w:themeColor="text2" w:themeTint="80"/>
        </w:rPr>
      </w:pPr>
      <w:r w:rsidRPr="00651538">
        <w:rPr>
          <w:b/>
          <w:bCs/>
          <w:color w:val="4C94D8" w:themeColor="text2" w:themeTint="80"/>
        </w:rPr>
        <w:t>Pregunta 1.1.5</w:t>
      </w:r>
    </w:p>
    <w:p w14:paraId="1DDAA1CE" w14:textId="77777777" w:rsidR="00651538" w:rsidRPr="00651538" w:rsidRDefault="00651538" w:rsidP="00651538">
      <w:pPr>
        <w:numPr>
          <w:ilvl w:val="0"/>
          <w:numId w:val="3"/>
        </w:numPr>
      </w:pPr>
      <w:r w:rsidRPr="00651538">
        <w:rPr>
          <w:b/>
          <w:bCs/>
        </w:rPr>
        <w:t>Comparación entre patrones por intervalo:</w:t>
      </w:r>
    </w:p>
    <w:p w14:paraId="6A661E80" w14:textId="7164BAAF" w:rsidR="00651538" w:rsidRPr="00651538" w:rsidRDefault="00651538" w:rsidP="00651538">
      <w:pPr>
        <w:numPr>
          <w:ilvl w:val="1"/>
          <w:numId w:val="3"/>
        </w:numPr>
      </w:pPr>
      <w:r w:rsidRPr="00651538">
        <w:rPr>
          <w:b/>
          <w:bCs/>
        </w:rPr>
        <w:t>Mensual:</w:t>
      </w:r>
      <w:r w:rsidRPr="00651538">
        <w:t xml:space="preserve"> Permite observar los picos, valles y la variabilidad climática natural de corto plazo. </w:t>
      </w:r>
    </w:p>
    <w:p w14:paraId="08FDDD3C" w14:textId="1A1707B4" w:rsidR="00651538" w:rsidRPr="00651538" w:rsidRDefault="00651538" w:rsidP="00651538">
      <w:pPr>
        <w:numPr>
          <w:ilvl w:val="1"/>
          <w:numId w:val="3"/>
        </w:numPr>
      </w:pPr>
      <w:r w:rsidRPr="00651538">
        <w:rPr>
          <w:b/>
          <w:bCs/>
        </w:rPr>
        <w:t>Estacional:</w:t>
      </w:r>
      <w:r w:rsidRPr="00651538">
        <w:t xml:space="preserve"> Revela si el comportamiento térmico es equilibrado o si existen asimetrías entre las distintas épocas del año.</w:t>
      </w:r>
    </w:p>
    <w:p w14:paraId="0AAB6ABB" w14:textId="18A01F73" w:rsidR="00651538" w:rsidRPr="00651538" w:rsidRDefault="00651538" w:rsidP="00651538">
      <w:pPr>
        <w:numPr>
          <w:ilvl w:val="1"/>
          <w:numId w:val="3"/>
        </w:numPr>
      </w:pPr>
      <w:r w:rsidRPr="00651538">
        <w:rPr>
          <w:b/>
          <w:bCs/>
        </w:rPr>
        <w:t>Anual:</w:t>
      </w:r>
      <w:r w:rsidRPr="00651538">
        <w:t xml:space="preserve"> Elimina la dispersión estacional para mostrar con claridad la tendencia climática de largo plazo para la toma de decisiones. </w:t>
      </w:r>
    </w:p>
    <w:p w14:paraId="6D2A4AEB" w14:textId="77777777" w:rsidR="00651538" w:rsidRPr="00651538" w:rsidRDefault="00651538" w:rsidP="00651538">
      <w:pPr>
        <w:rPr>
          <w:b/>
          <w:bCs/>
          <w:color w:val="4C94D8" w:themeColor="text2" w:themeTint="80"/>
        </w:rPr>
      </w:pPr>
      <w:r w:rsidRPr="00651538">
        <w:rPr>
          <w:b/>
          <w:bCs/>
          <w:color w:val="4C94D8" w:themeColor="text2" w:themeTint="80"/>
        </w:rPr>
        <w:t>Pregunta 1.1.6</w:t>
      </w:r>
    </w:p>
    <w:p w14:paraId="452056C2" w14:textId="4154DE90" w:rsidR="00651538" w:rsidRPr="00651538" w:rsidRDefault="00651538" w:rsidP="00651538">
      <w:pPr>
        <w:numPr>
          <w:ilvl w:val="0"/>
          <w:numId w:val="4"/>
        </w:numPr>
      </w:pPr>
      <w:r w:rsidRPr="00651538">
        <w:rPr>
          <w:b/>
          <w:bCs/>
        </w:rPr>
        <w:t>Comparación con la reconstrucción 1000–2000 ("Palo de Hockey"):</w:t>
      </w:r>
      <w:r w:rsidRPr="00651538">
        <w:t xml:space="preserve"> Ambas series muestran una oscilación natural dentro de un rango estrecho durante varios siglos y un aumento drástico e inusual </w:t>
      </w:r>
      <w:proofErr w:type="spellStart"/>
      <w:r w:rsidRPr="00651538">
        <w:t>post-industrial</w:t>
      </w:r>
      <w:proofErr w:type="spellEnd"/>
      <w:r w:rsidRPr="00651538">
        <w:t xml:space="preserve">. El comportamiento registrado desde 1980 rompe completamente la variabilidad histórica natural, lo que justifica plenamente que el gobierno nacional priorice acciones de política pública climática. </w:t>
      </w:r>
    </w:p>
    <w:p w14:paraId="04AD2680" w14:textId="77777777" w:rsidR="00651538" w:rsidRPr="00651538" w:rsidRDefault="00651538" w:rsidP="00651538">
      <w:pPr>
        <w:rPr>
          <w:b/>
          <w:bCs/>
          <w:color w:val="4C94D8" w:themeColor="text2" w:themeTint="80"/>
        </w:rPr>
      </w:pPr>
      <w:r w:rsidRPr="00651538">
        <w:rPr>
          <w:b/>
          <w:bCs/>
          <w:color w:val="4C94D8" w:themeColor="text2" w:themeTint="80"/>
        </w:rPr>
        <w:t>PARTE 1.2: VARIACIÓN DE LA TEMPERATURA EN EL TIEMPO</w:t>
      </w:r>
    </w:p>
    <w:p w14:paraId="01AA9DB3" w14:textId="77777777" w:rsidR="00651538" w:rsidRPr="00651538" w:rsidRDefault="00651538" w:rsidP="00651538">
      <w:pPr>
        <w:rPr>
          <w:b/>
          <w:bCs/>
          <w:color w:val="4C94D8" w:themeColor="text2" w:themeTint="80"/>
        </w:rPr>
      </w:pPr>
      <w:r w:rsidRPr="00651538">
        <w:rPr>
          <w:b/>
          <w:bCs/>
          <w:color w:val="4C94D8" w:themeColor="text2" w:themeTint="80"/>
        </w:rPr>
        <w:t>Preguntas 1.2.1 a 1.2.4</w:t>
      </w:r>
    </w:p>
    <w:p w14:paraId="09707B0D" w14:textId="77777777" w:rsidR="00651538" w:rsidRPr="00651538" w:rsidRDefault="00651538" w:rsidP="00651538">
      <w:pPr>
        <w:numPr>
          <w:ilvl w:val="0"/>
          <w:numId w:val="5"/>
        </w:numPr>
      </w:pPr>
      <w:r w:rsidRPr="00651538">
        <w:rPr>
          <w:b/>
          <w:bCs/>
        </w:rPr>
        <w:t>Comparación de Histogramas (1951–1980 vs. 1981–2010):</w:t>
      </w:r>
    </w:p>
    <w:p w14:paraId="564FA100" w14:textId="0094A3D2" w:rsidR="00651538" w:rsidRPr="00651538" w:rsidRDefault="00651538" w:rsidP="00651538">
      <w:pPr>
        <w:numPr>
          <w:ilvl w:val="1"/>
          <w:numId w:val="5"/>
        </w:numPr>
      </w:pPr>
      <w:r w:rsidRPr="00651538">
        <w:t xml:space="preserve">La gráfica superpuesta evidencia un </w:t>
      </w:r>
      <w:r w:rsidRPr="00651538">
        <w:rPr>
          <w:b/>
          <w:bCs/>
        </w:rPr>
        <w:t>desplazamiento estructural hacia la derecha</w:t>
      </w:r>
      <w:r w:rsidRPr="00651538">
        <w:t>. En 1951–1980 la masa de datos se centraba alrededor de 0</w:t>
      </w:r>
      <w:r w:rsidRPr="00651538">
        <w:rPr>
          <w:rFonts w:ascii="Cambria Math" w:hAnsi="Cambria Math" w:cs="Cambria Math"/>
        </w:rPr>
        <w:t>∘</w:t>
      </w:r>
      <w:r w:rsidRPr="00651538">
        <w:t xml:space="preserve">C (entre </w:t>
      </w:r>
      <w:r w:rsidRPr="00651538">
        <w:rPr>
          <w:rFonts w:ascii="Aptos" w:hAnsi="Aptos" w:cs="Aptos"/>
        </w:rPr>
        <w:t>−</w:t>
      </w:r>
      <w:r w:rsidRPr="00651538">
        <w:t>0.25</w:t>
      </w:r>
      <w:r w:rsidRPr="00651538">
        <w:rPr>
          <w:rFonts w:ascii="Cambria Math" w:hAnsi="Cambria Math" w:cs="Cambria Math"/>
        </w:rPr>
        <w:t>∘</w:t>
      </w:r>
      <w:r w:rsidRPr="00651538">
        <w:t>C y +0.25</w:t>
      </w:r>
      <w:r w:rsidRPr="00651538">
        <w:rPr>
          <w:rFonts w:ascii="Cambria Math" w:hAnsi="Cambria Math" w:cs="Cambria Math"/>
        </w:rPr>
        <w:t>∘</w:t>
      </w:r>
      <w:r w:rsidRPr="00651538">
        <w:t>C). En 1981–2010 la distribución se desplaza entre +0.25</w:t>
      </w:r>
      <w:r w:rsidRPr="00651538">
        <w:rPr>
          <w:rFonts w:ascii="Cambria Math" w:hAnsi="Cambria Math" w:cs="Cambria Math"/>
        </w:rPr>
        <w:t>∘</w:t>
      </w:r>
      <w:r w:rsidRPr="00651538">
        <w:t>C y +0.75</w:t>
      </w:r>
      <w:r w:rsidRPr="00651538">
        <w:rPr>
          <w:rFonts w:ascii="Cambria Math" w:hAnsi="Cambria Math" w:cs="Cambria Math"/>
        </w:rPr>
        <w:t>∘</w:t>
      </w:r>
      <w:r w:rsidRPr="00651538">
        <w:t>C, extendiendo una cola caliente hasta m</w:t>
      </w:r>
      <w:r w:rsidRPr="00651538">
        <w:rPr>
          <w:rFonts w:ascii="Aptos" w:hAnsi="Aptos" w:cs="Aptos"/>
        </w:rPr>
        <w:t>á</w:t>
      </w:r>
      <w:r w:rsidRPr="00651538">
        <w:t>s de +1.25</w:t>
      </w:r>
      <w:r w:rsidRPr="00651538">
        <w:rPr>
          <w:rFonts w:ascii="Cambria Math" w:hAnsi="Cambria Math" w:cs="Cambria Math"/>
        </w:rPr>
        <w:t>∘</w:t>
      </w:r>
      <w:r w:rsidRPr="00651538">
        <w:t xml:space="preserve">C. </w:t>
      </w:r>
    </w:p>
    <w:p w14:paraId="06B7CD87" w14:textId="53E9499F" w:rsidR="00651538" w:rsidRPr="00651538" w:rsidRDefault="00651538" w:rsidP="00651538">
      <w:pPr>
        <w:numPr>
          <w:ilvl w:val="1"/>
          <w:numId w:val="5"/>
        </w:numPr>
      </w:pPr>
      <w:r w:rsidRPr="00651538">
        <w:t xml:space="preserve">La distribución reciente no solo se corrió, sino que se volvió más ancha y con mayor asimetría hacia la derecha. </w:t>
      </w:r>
    </w:p>
    <w:p w14:paraId="21B076F1" w14:textId="4A17F729" w:rsidR="00651538" w:rsidRPr="00651538" w:rsidRDefault="00651538" w:rsidP="00651538">
      <w:pPr>
        <w:numPr>
          <w:ilvl w:val="0"/>
          <w:numId w:val="5"/>
        </w:numPr>
      </w:pPr>
      <w:r w:rsidRPr="00651538">
        <w:rPr>
          <w:b/>
          <w:bCs/>
        </w:rPr>
        <w:t>Análisis de Deciles y Frecuencia de Eventos Extremos:</w:t>
      </w:r>
      <w:r w:rsidRPr="00651538">
        <w:t xml:space="preserve"> Mientras que en el periodo base (1951–1980) el 30% de los meses se clasificaban como "calientes" por definición (por encima del Decil 7</w:t>
      </w:r>
      <w:proofErr w:type="gramStart"/>
      <w:r w:rsidRPr="00651538">
        <w:t>) ,</w:t>
      </w:r>
      <w:proofErr w:type="gramEnd"/>
      <w:r w:rsidRPr="00651538">
        <w:t xml:space="preserve"> en el periodo 1981–2010 la proporción de meses que superan dicho umbral se incrementó de forma </w:t>
      </w:r>
      <w:r w:rsidRPr="00651538">
        <w:lastRenderedPageBreak/>
        <w:t xml:space="preserve">drástica. Lo que a mediados del siglo XX era un mes inusualmente cálido, en el periodo reciente se convirtió en la norma. </w:t>
      </w:r>
    </w:p>
    <w:p w14:paraId="41567D22" w14:textId="77777777" w:rsidR="00651538" w:rsidRPr="00651538" w:rsidRDefault="00651538" w:rsidP="00651538">
      <w:pPr>
        <w:rPr>
          <w:b/>
          <w:bCs/>
          <w:color w:val="4C94D8" w:themeColor="text2" w:themeTint="80"/>
        </w:rPr>
      </w:pPr>
      <w:r w:rsidRPr="00651538">
        <w:rPr>
          <w:b/>
          <w:bCs/>
          <w:color w:val="4C94D8" w:themeColor="text2" w:themeTint="80"/>
        </w:rPr>
        <w:t>Pregunta 1.2.5</w:t>
      </w:r>
    </w:p>
    <w:p w14:paraId="2E0B4C0E" w14:textId="77777777" w:rsidR="00651538" w:rsidRPr="00651538" w:rsidRDefault="00651538" w:rsidP="00651538">
      <w:pPr>
        <w:numPr>
          <w:ilvl w:val="0"/>
          <w:numId w:val="6"/>
        </w:numPr>
      </w:pPr>
      <w:r w:rsidRPr="00651538">
        <w:rPr>
          <w:b/>
          <w:bCs/>
        </w:rPr>
        <w:t>Comportamiento de la Media y Varianza Estacional:</w:t>
      </w:r>
    </w:p>
    <w:p w14:paraId="5A11C56E" w14:textId="3D5629EC" w:rsidR="00651538" w:rsidRPr="00651538" w:rsidRDefault="00651538" w:rsidP="00651538">
      <w:pPr>
        <w:numPr>
          <w:ilvl w:val="1"/>
          <w:numId w:val="6"/>
        </w:numPr>
      </w:pPr>
      <w:r w:rsidRPr="00651538">
        <w:rPr>
          <w:b/>
          <w:bCs/>
        </w:rPr>
        <w:t>Media:</w:t>
      </w:r>
      <w:r w:rsidRPr="00651538">
        <w:t xml:space="preserve"> Aumenta de manera sistemática en todas las estaciones climáticas. </w:t>
      </w:r>
    </w:p>
    <w:p w14:paraId="25009F2B" w14:textId="3491FF59" w:rsidR="00651538" w:rsidRPr="00651538" w:rsidRDefault="00651538" w:rsidP="00651538">
      <w:pPr>
        <w:numPr>
          <w:ilvl w:val="1"/>
          <w:numId w:val="6"/>
        </w:numPr>
      </w:pPr>
      <w:r w:rsidRPr="00651538">
        <w:rPr>
          <w:b/>
          <w:bCs/>
        </w:rPr>
        <w:t>Varianza:</w:t>
      </w:r>
      <w:r w:rsidRPr="00651538">
        <w:t xml:space="preserve"> Mide la dispersión respecto al promedio interno de cada periodo. El incremento en la varianza registrado en el periodo reciente refleja que el clima no solo es más caliente, sino también más </w:t>
      </w:r>
      <w:r w:rsidRPr="00651538">
        <w:rPr>
          <w:b/>
          <w:bCs/>
        </w:rPr>
        <w:t>impredecible y variable</w:t>
      </w:r>
      <w:r w:rsidRPr="00651538">
        <w:t xml:space="preserve"> de un año a otro dentro de la misma estación. </w:t>
      </w:r>
    </w:p>
    <w:p w14:paraId="23E70A91" w14:textId="77777777" w:rsidR="00651538" w:rsidRPr="00651538" w:rsidRDefault="00651538" w:rsidP="00651538">
      <w:pPr>
        <w:rPr>
          <w:b/>
          <w:bCs/>
          <w:color w:val="4C94D8" w:themeColor="text2" w:themeTint="80"/>
        </w:rPr>
      </w:pPr>
      <w:r w:rsidRPr="00651538">
        <w:rPr>
          <w:b/>
          <w:bCs/>
          <w:color w:val="4C94D8" w:themeColor="text2" w:themeTint="80"/>
        </w:rPr>
        <w:t>Pregunta 1.2.6</w:t>
      </w:r>
    </w:p>
    <w:p w14:paraId="718D1D43" w14:textId="77777777" w:rsidR="00651538" w:rsidRPr="00651538" w:rsidRDefault="00651538" w:rsidP="00651538">
      <w:pPr>
        <w:numPr>
          <w:ilvl w:val="0"/>
          <w:numId w:val="7"/>
        </w:numPr>
      </w:pPr>
      <w:r w:rsidRPr="00651538">
        <w:rPr>
          <w:b/>
          <w:bCs/>
        </w:rPr>
        <w:t>Recomendación de Política Pública para la Entidad:</w:t>
      </w:r>
    </w:p>
    <w:p w14:paraId="54BE696F" w14:textId="229F0417" w:rsidR="00651538" w:rsidRPr="00651538" w:rsidRDefault="00651538" w:rsidP="00651538">
      <w:pPr>
        <w:numPr>
          <w:ilvl w:val="1"/>
          <w:numId w:val="7"/>
        </w:numPr>
      </w:pPr>
      <w:r w:rsidRPr="00651538">
        <w:rPr>
          <w:b/>
          <w:bCs/>
        </w:rPr>
        <w:t>Dictamen:</w:t>
      </w:r>
      <w:r w:rsidRPr="00651538">
        <w:t xml:space="preserve"> Se debe asignar presupuesto prioritario a la </w:t>
      </w:r>
      <w:r w:rsidRPr="00651538">
        <w:rPr>
          <w:b/>
          <w:bCs/>
        </w:rPr>
        <w:t>ADAPTACIÓN</w:t>
      </w:r>
      <w:r w:rsidRPr="00651538">
        <w:t xml:space="preserve">, sin descuidar la </w:t>
      </w:r>
      <w:r w:rsidRPr="00651538">
        <w:rPr>
          <w:b/>
          <w:bCs/>
        </w:rPr>
        <w:t>MITIGACIÓN</w:t>
      </w:r>
      <w:r w:rsidRPr="00651538">
        <w:t xml:space="preserve">. </w:t>
      </w:r>
    </w:p>
    <w:p w14:paraId="4C97D301" w14:textId="2AEB3F39" w:rsidR="00651538" w:rsidRPr="00651538" w:rsidRDefault="00651538" w:rsidP="00651538">
      <w:pPr>
        <w:numPr>
          <w:ilvl w:val="1"/>
          <w:numId w:val="7"/>
        </w:numPr>
      </w:pPr>
      <w:r w:rsidRPr="00651538">
        <w:rPr>
          <w:b/>
          <w:bCs/>
        </w:rPr>
        <w:t>Sustento Técnico:</w:t>
      </w:r>
      <w:r w:rsidRPr="00651538">
        <w:t xml:space="preserve"> El desplazamiento del promedio exige mitigar emisiones, pero la mayor varianza y el alargamiento de la cola derecha implican una mayor frecuencia de eventos extremos (olas de calor, sequías atípicas). Por ello, las entidades estatales deben invertir en infraestructura resiliente y sistemas de gestión del riesgo para adaptarse a un clima menos predecible. </w:t>
      </w:r>
    </w:p>
    <w:p w14:paraId="778699F0" w14:textId="77777777" w:rsidR="00651538" w:rsidRPr="00651538" w:rsidRDefault="00651538" w:rsidP="00651538">
      <w:pPr>
        <w:rPr>
          <w:b/>
          <w:bCs/>
          <w:color w:val="4C94D8" w:themeColor="text2" w:themeTint="80"/>
        </w:rPr>
      </w:pPr>
      <w:r w:rsidRPr="00651538">
        <w:rPr>
          <w:b/>
          <w:bCs/>
          <w:color w:val="4C94D8" w:themeColor="text2" w:themeTint="80"/>
        </w:rPr>
        <w:t>PARTE 1.3: CO₂ Y SU RELACIÓN CON LA TEMPERATURA</w:t>
      </w:r>
    </w:p>
    <w:p w14:paraId="01CC7E75" w14:textId="77777777" w:rsidR="00651538" w:rsidRPr="00651538" w:rsidRDefault="00651538" w:rsidP="00651538">
      <w:pPr>
        <w:rPr>
          <w:b/>
          <w:bCs/>
          <w:color w:val="4C94D8" w:themeColor="text2" w:themeTint="80"/>
        </w:rPr>
      </w:pPr>
      <w:r w:rsidRPr="00651538">
        <w:rPr>
          <w:b/>
          <w:bCs/>
          <w:color w:val="4C94D8" w:themeColor="text2" w:themeTint="80"/>
        </w:rPr>
        <w:t>Pregunta 1.3.1</w:t>
      </w:r>
    </w:p>
    <w:p w14:paraId="568A8B99" w14:textId="6A30172A" w:rsidR="00651538" w:rsidRPr="00651538" w:rsidRDefault="00651538" w:rsidP="00651538">
      <w:pPr>
        <w:numPr>
          <w:ilvl w:val="0"/>
          <w:numId w:val="8"/>
        </w:numPr>
      </w:pPr>
      <w:r w:rsidRPr="00651538">
        <w:rPr>
          <w:b/>
          <w:bCs/>
        </w:rPr>
        <w:t>Confiabilidad del Observatorio de Mauna Loa:</w:t>
      </w:r>
      <w:r w:rsidRPr="00651538">
        <w:t xml:space="preserve"> Sí, es altamente representativo y confiable para la atmósfera global. </w:t>
      </w:r>
    </w:p>
    <w:p w14:paraId="39317635" w14:textId="67989AB9" w:rsidR="00651538" w:rsidRPr="00651538" w:rsidRDefault="00651538" w:rsidP="00651538">
      <w:pPr>
        <w:numPr>
          <w:ilvl w:val="0"/>
          <w:numId w:val="8"/>
        </w:numPr>
      </w:pPr>
      <w:r w:rsidRPr="00651538">
        <w:rPr>
          <w:b/>
          <w:bCs/>
        </w:rPr>
        <w:t>Explicación:</w:t>
      </w:r>
      <w:r w:rsidRPr="00651538">
        <w:t xml:space="preserve"> Está situado a más de 3,000 metros de altitud en una isla remota del Pacífico (Hawái), alejado de fuentes de contaminación urbana e industrial local. Mide aire de la troposfera libre adecuadamente mezclado a escala planetaria. </w:t>
      </w:r>
    </w:p>
    <w:p w14:paraId="399094CA" w14:textId="77777777" w:rsidR="00651538" w:rsidRPr="00651538" w:rsidRDefault="00651538" w:rsidP="00651538">
      <w:pPr>
        <w:rPr>
          <w:b/>
          <w:bCs/>
          <w:color w:val="4C94D8" w:themeColor="text2" w:themeTint="80"/>
        </w:rPr>
      </w:pPr>
      <w:r w:rsidRPr="00651538">
        <w:rPr>
          <w:b/>
          <w:bCs/>
          <w:color w:val="4C94D8" w:themeColor="text2" w:themeTint="80"/>
        </w:rPr>
        <w:t>Pregunta 1.3.2</w:t>
      </w:r>
    </w:p>
    <w:p w14:paraId="7AA8D26F" w14:textId="77777777" w:rsidR="00651538" w:rsidRPr="00651538" w:rsidRDefault="00651538" w:rsidP="00651538">
      <w:pPr>
        <w:numPr>
          <w:ilvl w:val="0"/>
          <w:numId w:val="9"/>
        </w:numPr>
      </w:pPr>
      <w:r w:rsidRPr="00651538">
        <w:rPr>
          <w:b/>
          <w:bCs/>
        </w:rPr>
        <w:t xml:space="preserve">Diferencia entre </w:t>
      </w:r>
      <w:proofErr w:type="spellStart"/>
      <w:r w:rsidRPr="00651538">
        <w:rPr>
          <w:b/>
          <w:bCs/>
        </w:rPr>
        <w:t>Interpolated</w:t>
      </w:r>
      <w:proofErr w:type="spellEnd"/>
      <w:r w:rsidRPr="00651538">
        <w:rPr>
          <w:b/>
          <w:bCs/>
        </w:rPr>
        <w:t xml:space="preserve"> y </w:t>
      </w:r>
      <w:proofErr w:type="spellStart"/>
      <w:r w:rsidRPr="00651538">
        <w:rPr>
          <w:b/>
          <w:bCs/>
        </w:rPr>
        <w:t>Trend</w:t>
      </w:r>
      <w:proofErr w:type="spellEnd"/>
      <w:r w:rsidRPr="00651538">
        <w:rPr>
          <w:b/>
          <w:bCs/>
        </w:rPr>
        <w:t>:</w:t>
      </w:r>
    </w:p>
    <w:p w14:paraId="7B1A6244" w14:textId="24D6D55D" w:rsidR="00651538" w:rsidRPr="00651538" w:rsidRDefault="00651538" w:rsidP="00651538">
      <w:pPr>
        <w:numPr>
          <w:ilvl w:val="1"/>
          <w:numId w:val="9"/>
        </w:numPr>
      </w:pPr>
      <w:proofErr w:type="spellStart"/>
      <w:r w:rsidRPr="00651538">
        <w:lastRenderedPageBreak/>
        <w:t>Interpolated</w:t>
      </w:r>
      <w:proofErr w:type="spellEnd"/>
      <w:r w:rsidRPr="00651538">
        <w:t xml:space="preserve">: Contiene las mediciones mensuales ajustadas, conservando la oscilación estacional natural. </w:t>
      </w:r>
    </w:p>
    <w:p w14:paraId="23122083" w14:textId="29A51F28" w:rsidR="00651538" w:rsidRPr="00651538" w:rsidRDefault="00651538" w:rsidP="00651538">
      <w:pPr>
        <w:numPr>
          <w:ilvl w:val="1"/>
          <w:numId w:val="9"/>
        </w:numPr>
      </w:pPr>
      <w:proofErr w:type="spellStart"/>
      <w:r w:rsidRPr="00651538">
        <w:t>Trend</w:t>
      </w:r>
      <w:proofErr w:type="spellEnd"/>
      <w:r w:rsidRPr="00651538">
        <w:t xml:space="preserve">: Filtra mediante promedios móviles las fluctuaciones estacionales para mostrar la tendencia de fondo a largo plazo. </w:t>
      </w:r>
    </w:p>
    <w:p w14:paraId="0F32E8BC" w14:textId="2B022A27" w:rsidR="00651538" w:rsidRPr="00651538" w:rsidRDefault="00651538" w:rsidP="00651538">
      <w:pPr>
        <w:numPr>
          <w:ilvl w:val="0"/>
          <w:numId w:val="9"/>
        </w:numPr>
      </w:pPr>
      <w:r w:rsidRPr="00651538">
        <w:rPr>
          <w:b/>
          <w:bCs/>
        </w:rPr>
        <w:t>Causa de la variación estacional de CO₂:</w:t>
      </w:r>
      <w:r w:rsidRPr="00651538">
        <w:t xml:space="preserve"> Se debe al ciclo fotosintético del </w:t>
      </w:r>
      <w:proofErr w:type="gramStart"/>
      <w:r w:rsidRPr="00651538">
        <w:t>Hemisferio Norte</w:t>
      </w:r>
      <w:proofErr w:type="gramEnd"/>
      <w:r w:rsidRPr="00651538">
        <w:t xml:space="preserve"> (donde se ubica la mayor masa continental y vegetal del planeta). En primavera y verano, la vegetación absorbe grandes cantidades de CO2</w:t>
      </w:r>
      <w:r w:rsidRPr="00651538">
        <w:rPr>
          <w:rFonts w:ascii="Arial" w:hAnsi="Arial" w:cs="Arial"/>
        </w:rPr>
        <w:t>​</w:t>
      </w:r>
      <w:r w:rsidRPr="00651538">
        <w:t xml:space="preserve"> (reduciendo su concentraci</w:t>
      </w:r>
      <w:r w:rsidRPr="00651538">
        <w:rPr>
          <w:rFonts w:ascii="Aptos" w:hAnsi="Aptos" w:cs="Aptos"/>
        </w:rPr>
        <w:t>ó</w:t>
      </w:r>
      <w:r w:rsidRPr="00651538">
        <w:t xml:space="preserve">n), mientras </w:t>
      </w:r>
      <w:proofErr w:type="gramStart"/>
      <w:r w:rsidRPr="00651538">
        <w:t>que</w:t>
      </w:r>
      <w:proofErr w:type="gramEnd"/>
      <w:r w:rsidRPr="00651538">
        <w:t xml:space="preserve"> en oto</w:t>
      </w:r>
      <w:r w:rsidRPr="00651538">
        <w:rPr>
          <w:rFonts w:ascii="Aptos" w:hAnsi="Aptos" w:cs="Aptos"/>
        </w:rPr>
        <w:t>ñ</w:t>
      </w:r>
      <w:r w:rsidRPr="00651538">
        <w:t>o e invierno, al perder follaje y descomponerse, lo libera de nuevo a la atm</w:t>
      </w:r>
      <w:r w:rsidRPr="00651538">
        <w:rPr>
          <w:rFonts w:ascii="Aptos" w:hAnsi="Aptos" w:cs="Aptos"/>
        </w:rPr>
        <w:t>ó</w:t>
      </w:r>
      <w:r w:rsidRPr="00651538">
        <w:t xml:space="preserve">sfera. </w:t>
      </w:r>
    </w:p>
    <w:p w14:paraId="2F173F87" w14:textId="77777777" w:rsidR="00651538" w:rsidRPr="00651538" w:rsidRDefault="00651538" w:rsidP="00651538">
      <w:pPr>
        <w:rPr>
          <w:b/>
          <w:bCs/>
          <w:color w:val="4C94D8" w:themeColor="text2" w:themeTint="80"/>
        </w:rPr>
      </w:pPr>
      <w:r w:rsidRPr="00651538">
        <w:rPr>
          <w:b/>
          <w:bCs/>
          <w:color w:val="4C94D8" w:themeColor="text2" w:themeTint="80"/>
        </w:rPr>
        <w:t>Pregunta 1.3.3</w:t>
      </w:r>
    </w:p>
    <w:p w14:paraId="7F4B14AC" w14:textId="6B4F116C" w:rsidR="00651538" w:rsidRPr="00651538" w:rsidRDefault="00651538" w:rsidP="00651538">
      <w:pPr>
        <w:numPr>
          <w:ilvl w:val="0"/>
          <w:numId w:val="10"/>
        </w:numPr>
      </w:pPr>
      <w:r w:rsidRPr="00651538">
        <w:rPr>
          <w:b/>
          <w:bCs/>
        </w:rPr>
        <w:t>Comportamiento de la gráfica de CO₂ vs. Tiempo:</w:t>
      </w:r>
      <w:r w:rsidRPr="00651538">
        <w:t xml:space="preserve"> Presenta la </w:t>
      </w:r>
      <w:r w:rsidRPr="00651538">
        <w:rPr>
          <w:b/>
          <w:bCs/>
        </w:rPr>
        <w:t>Curva de Keeling</w:t>
      </w:r>
      <w:r w:rsidRPr="00651538">
        <w:t>, caracterizada por un patrón de "dientes de sierra" estacional superpuesto sobre una tendencia cóncava ascendente. Muestra que la concentración de CO2</w:t>
      </w:r>
      <w:r w:rsidRPr="00651538">
        <w:rPr>
          <w:rFonts w:ascii="Arial" w:hAnsi="Arial" w:cs="Arial"/>
        </w:rPr>
        <w:t>​</w:t>
      </w:r>
      <w:r w:rsidRPr="00651538">
        <w:t xml:space="preserve"> pas</w:t>
      </w:r>
      <w:r w:rsidRPr="00651538">
        <w:rPr>
          <w:rFonts w:ascii="Aptos" w:hAnsi="Aptos" w:cs="Aptos"/>
        </w:rPr>
        <w:t>ó</w:t>
      </w:r>
      <w:r w:rsidRPr="00651538">
        <w:t xml:space="preserve"> de ~315 ppm en 1960 a m</w:t>
      </w:r>
      <w:r w:rsidRPr="00651538">
        <w:rPr>
          <w:rFonts w:ascii="Aptos" w:hAnsi="Aptos" w:cs="Aptos"/>
        </w:rPr>
        <w:t>á</w:t>
      </w:r>
      <w:r w:rsidRPr="00651538">
        <w:t>s de 400 ppm en la actualidad, aceler</w:t>
      </w:r>
      <w:r w:rsidRPr="00651538">
        <w:rPr>
          <w:rFonts w:ascii="Aptos" w:hAnsi="Aptos" w:cs="Aptos"/>
        </w:rPr>
        <w:t>á</w:t>
      </w:r>
      <w:r w:rsidRPr="00651538">
        <w:t xml:space="preserve">ndose de forma continua. </w:t>
      </w:r>
    </w:p>
    <w:p w14:paraId="7E6502BE" w14:textId="77777777" w:rsidR="00651538" w:rsidRPr="00651538" w:rsidRDefault="00651538" w:rsidP="00651538">
      <w:pPr>
        <w:rPr>
          <w:b/>
          <w:bCs/>
          <w:color w:val="4C94D8" w:themeColor="text2" w:themeTint="80"/>
        </w:rPr>
      </w:pPr>
      <w:r w:rsidRPr="00651538">
        <w:rPr>
          <w:b/>
          <w:bCs/>
          <w:color w:val="4C94D8" w:themeColor="text2" w:themeTint="80"/>
        </w:rPr>
        <w:t>Pregunta 1.3.4</w:t>
      </w:r>
    </w:p>
    <w:p w14:paraId="04272166" w14:textId="77777777" w:rsidR="00651538" w:rsidRPr="00651538" w:rsidRDefault="00651538" w:rsidP="00651538">
      <w:pPr>
        <w:numPr>
          <w:ilvl w:val="0"/>
          <w:numId w:val="11"/>
        </w:numPr>
      </w:pPr>
      <w:r w:rsidRPr="00651538">
        <w:rPr>
          <w:b/>
          <w:bCs/>
        </w:rPr>
        <w:t>Diagrama de Dispersión y Correlación de Pearson:</w:t>
      </w:r>
    </w:p>
    <w:p w14:paraId="5E40054E" w14:textId="25049777" w:rsidR="00651538" w:rsidRPr="00651538" w:rsidRDefault="00651538" w:rsidP="00651538">
      <w:pPr>
        <w:numPr>
          <w:ilvl w:val="1"/>
          <w:numId w:val="11"/>
        </w:numPr>
      </w:pPr>
      <w:r w:rsidRPr="00651538">
        <w:rPr>
          <w:b/>
          <w:bCs/>
        </w:rPr>
        <w:t>Resultado:</w:t>
      </w:r>
      <w:r w:rsidRPr="00651538">
        <w:t xml:space="preserve"> La nube de puntos evidencia una fuerte relación lineal positiva (r&gt;0.85), lo que significa que incrementos en la concentración de CO2</w:t>
      </w:r>
      <w:r w:rsidRPr="00651538">
        <w:rPr>
          <w:rFonts w:ascii="Arial" w:hAnsi="Arial" w:cs="Arial"/>
        </w:rPr>
        <w:t>​</w:t>
      </w:r>
      <w:r w:rsidRPr="00651538">
        <w:t xml:space="preserve"> est</w:t>
      </w:r>
      <w:r w:rsidRPr="00651538">
        <w:rPr>
          <w:rFonts w:ascii="Aptos" w:hAnsi="Aptos" w:cs="Aptos"/>
        </w:rPr>
        <w:t>á</w:t>
      </w:r>
      <w:r w:rsidRPr="00651538">
        <w:t>n fuertemente asociados con aumentos en la anomal</w:t>
      </w:r>
      <w:r w:rsidRPr="00651538">
        <w:rPr>
          <w:rFonts w:ascii="Aptos" w:hAnsi="Aptos" w:cs="Aptos"/>
        </w:rPr>
        <w:t>í</w:t>
      </w:r>
      <w:r w:rsidRPr="00651538">
        <w:t xml:space="preserve">a de temperatura. </w:t>
      </w:r>
    </w:p>
    <w:p w14:paraId="17F58D6F" w14:textId="4FF24555" w:rsidR="00651538" w:rsidRPr="00651538" w:rsidRDefault="00651538" w:rsidP="00651538">
      <w:pPr>
        <w:numPr>
          <w:ilvl w:val="1"/>
          <w:numId w:val="11"/>
        </w:numPr>
      </w:pPr>
      <w:r w:rsidRPr="00651538">
        <w:rPr>
          <w:b/>
          <w:bCs/>
        </w:rPr>
        <w:t>Limitaciones:</w:t>
      </w:r>
      <w:r w:rsidRPr="00651538">
        <w:t xml:space="preserve"> El coeficiente de Pearson mide únicamente la asociación lineal matemática. No prueba por sí solo causalidad física ni captura retardos temporales acumulativos o la interacción con otros gases de efecto invernadero. </w:t>
      </w:r>
    </w:p>
    <w:p w14:paraId="423F9D56" w14:textId="77777777" w:rsidR="00651538" w:rsidRPr="00651538" w:rsidRDefault="00651538" w:rsidP="00651538">
      <w:pPr>
        <w:rPr>
          <w:b/>
          <w:bCs/>
          <w:color w:val="4C94D8" w:themeColor="text2" w:themeTint="80"/>
        </w:rPr>
      </w:pPr>
      <w:r w:rsidRPr="00651538">
        <w:rPr>
          <w:b/>
          <w:bCs/>
          <w:color w:val="4C94D8" w:themeColor="text2" w:themeTint="80"/>
        </w:rPr>
        <w:t>Pregunta 1.3.6</w:t>
      </w:r>
    </w:p>
    <w:p w14:paraId="3C54723D" w14:textId="17DFEE52" w:rsidR="002079A8" w:rsidRDefault="00651538" w:rsidP="00651538">
      <w:pPr>
        <w:numPr>
          <w:ilvl w:val="0"/>
          <w:numId w:val="12"/>
        </w:numPr>
      </w:pPr>
      <w:r w:rsidRPr="00651538">
        <w:rPr>
          <w:b/>
          <w:bCs/>
        </w:rPr>
        <w:t>Ejemplo de Correlación Espuria:</w:t>
      </w:r>
      <w:r w:rsidRPr="00651538">
        <w:t xml:space="preserve"> La alta correlación positiva entre las </w:t>
      </w:r>
      <w:r w:rsidRPr="00651538">
        <w:rPr>
          <w:b/>
          <w:bCs/>
        </w:rPr>
        <w:t>ventas globales de teléfonos inteligentes (smartphones)</w:t>
      </w:r>
      <w:r w:rsidRPr="00651538">
        <w:t xml:space="preserve"> y el </w:t>
      </w:r>
      <w:r w:rsidRPr="00651538">
        <w:rPr>
          <w:b/>
          <w:bCs/>
        </w:rPr>
        <w:t>aumento de la temperatura global</w:t>
      </w:r>
      <w:r w:rsidRPr="00651538">
        <w:t xml:space="preserve"> desde 1990. Aunque ambas variables crecieron exponencialmente en el mismo periodo, comprar más celulares no causa directamente el calentamiento atmosférico. Ambas dependen de una tercera variable no observada: la industrialización, el crecimiento demográfico y la expansión económica global.</w:t>
      </w:r>
    </w:p>
    <w:sectPr w:rsidR="002079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47C64"/>
    <w:multiLevelType w:val="multilevel"/>
    <w:tmpl w:val="DB54E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62E09"/>
    <w:multiLevelType w:val="multilevel"/>
    <w:tmpl w:val="B01E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E285D"/>
    <w:multiLevelType w:val="multilevel"/>
    <w:tmpl w:val="7834E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65201"/>
    <w:multiLevelType w:val="multilevel"/>
    <w:tmpl w:val="7BE6A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3080C"/>
    <w:multiLevelType w:val="multilevel"/>
    <w:tmpl w:val="C6262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4135C"/>
    <w:multiLevelType w:val="multilevel"/>
    <w:tmpl w:val="C574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220F9"/>
    <w:multiLevelType w:val="multilevel"/>
    <w:tmpl w:val="6F2A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CB43EE"/>
    <w:multiLevelType w:val="multilevel"/>
    <w:tmpl w:val="7ED8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61624A"/>
    <w:multiLevelType w:val="multilevel"/>
    <w:tmpl w:val="EED6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41352B"/>
    <w:multiLevelType w:val="multilevel"/>
    <w:tmpl w:val="ECFC1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3C10B8"/>
    <w:multiLevelType w:val="multilevel"/>
    <w:tmpl w:val="40426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367394"/>
    <w:multiLevelType w:val="multilevel"/>
    <w:tmpl w:val="8472B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346124">
    <w:abstractNumId w:val="9"/>
  </w:num>
  <w:num w:numId="2" w16cid:durableId="1152212515">
    <w:abstractNumId w:val="5"/>
  </w:num>
  <w:num w:numId="3" w16cid:durableId="1447769749">
    <w:abstractNumId w:val="10"/>
  </w:num>
  <w:num w:numId="4" w16cid:durableId="844174388">
    <w:abstractNumId w:val="1"/>
  </w:num>
  <w:num w:numId="5" w16cid:durableId="1308244679">
    <w:abstractNumId w:val="2"/>
  </w:num>
  <w:num w:numId="6" w16cid:durableId="1610504291">
    <w:abstractNumId w:val="3"/>
  </w:num>
  <w:num w:numId="7" w16cid:durableId="201527384">
    <w:abstractNumId w:val="11"/>
  </w:num>
  <w:num w:numId="8" w16cid:durableId="2025592052">
    <w:abstractNumId w:val="7"/>
  </w:num>
  <w:num w:numId="9" w16cid:durableId="308748460">
    <w:abstractNumId w:val="0"/>
  </w:num>
  <w:num w:numId="10" w16cid:durableId="982731539">
    <w:abstractNumId w:val="8"/>
  </w:num>
  <w:num w:numId="11" w16cid:durableId="1682705822">
    <w:abstractNumId w:val="4"/>
  </w:num>
  <w:num w:numId="12" w16cid:durableId="4221456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538"/>
    <w:rsid w:val="002079A8"/>
    <w:rsid w:val="00651538"/>
    <w:rsid w:val="00D04E53"/>
    <w:rsid w:val="00DF7D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D5C77"/>
  <w15:chartTrackingRefBased/>
  <w15:docId w15:val="{30C45B91-0AB3-4B40-9D4F-28395A5B4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515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515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515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515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515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515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515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515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515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15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515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515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515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515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515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515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515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51538"/>
    <w:rPr>
      <w:rFonts w:eastAsiaTheme="majorEastAsia" w:cstheme="majorBidi"/>
      <w:color w:val="272727" w:themeColor="text1" w:themeTint="D8"/>
    </w:rPr>
  </w:style>
  <w:style w:type="paragraph" w:styleId="Ttulo">
    <w:name w:val="Title"/>
    <w:basedOn w:val="Normal"/>
    <w:next w:val="Normal"/>
    <w:link w:val="TtuloCar"/>
    <w:uiPriority w:val="10"/>
    <w:qFormat/>
    <w:rsid w:val="00651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515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515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515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51538"/>
    <w:pPr>
      <w:spacing w:before="160"/>
      <w:jc w:val="center"/>
    </w:pPr>
    <w:rPr>
      <w:i/>
      <w:iCs/>
      <w:color w:val="404040" w:themeColor="text1" w:themeTint="BF"/>
    </w:rPr>
  </w:style>
  <w:style w:type="character" w:customStyle="1" w:styleId="CitaCar">
    <w:name w:val="Cita Car"/>
    <w:basedOn w:val="Fuentedeprrafopredeter"/>
    <w:link w:val="Cita"/>
    <w:uiPriority w:val="29"/>
    <w:rsid w:val="00651538"/>
    <w:rPr>
      <w:i/>
      <w:iCs/>
      <w:color w:val="404040" w:themeColor="text1" w:themeTint="BF"/>
    </w:rPr>
  </w:style>
  <w:style w:type="paragraph" w:styleId="Prrafodelista">
    <w:name w:val="List Paragraph"/>
    <w:basedOn w:val="Normal"/>
    <w:uiPriority w:val="34"/>
    <w:qFormat/>
    <w:rsid w:val="00651538"/>
    <w:pPr>
      <w:ind w:left="720"/>
      <w:contextualSpacing/>
    </w:pPr>
  </w:style>
  <w:style w:type="character" w:styleId="nfasisintenso">
    <w:name w:val="Intense Emphasis"/>
    <w:basedOn w:val="Fuentedeprrafopredeter"/>
    <w:uiPriority w:val="21"/>
    <w:qFormat/>
    <w:rsid w:val="00651538"/>
    <w:rPr>
      <w:i/>
      <w:iCs/>
      <w:color w:val="0F4761" w:themeColor="accent1" w:themeShade="BF"/>
    </w:rPr>
  </w:style>
  <w:style w:type="paragraph" w:styleId="Citadestacada">
    <w:name w:val="Intense Quote"/>
    <w:basedOn w:val="Normal"/>
    <w:next w:val="Normal"/>
    <w:link w:val="CitadestacadaCar"/>
    <w:uiPriority w:val="30"/>
    <w:qFormat/>
    <w:rsid w:val="006515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51538"/>
    <w:rPr>
      <w:i/>
      <w:iCs/>
      <w:color w:val="0F4761" w:themeColor="accent1" w:themeShade="BF"/>
    </w:rPr>
  </w:style>
  <w:style w:type="character" w:styleId="Referenciaintensa">
    <w:name w:val="Intense Reference"/>
    <w:basedOn w:val="Fuentedeprrafopredeter"/>
    <w:uiPriority w:val="32"/>
    <w:qFormat/>
    <w:rsid w:val="006515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677694">
      <w:bodyDiv w:val="1"/>
      <w:marLeft w:val="0"/>
      <w:marRight w:val="0"/>
      <w:marTop w:val="0"/>
      <w:marBottom w:val="0"/>
      <w:divBdr>
        <w:top w:val="none" w:sz="0" w:space="0" w:color="auto"/>
        <w:left w:val="none" w:sz="0" w:space="0" w:color="auto"/>
        <w:bottom w:val="none" w:sz="0" w:space="0" w:color="auto"/>
        <w:right w:val="none" w:sz="0" w:space="0" w:color="auto"/>
      </w:divBdr>
      <w:divsChild>
        <w:div w:id="1570075230">
          <w:marLeft w:val="0"/>
          <w:marRight w:val="0"/>
          <w:marTop w:val="0"/>
          <w:marBottom w:val="0"/>
          <w:divBdr>
            <w:top w:val="none" w:sz="0" w:space="0" w:color="auto"/>
            <w:left w:val="none" w:sz="0" w:space="0" w:color="auto"/>
            <w:bottom w:val="none" w:sz="0" w:space="0" w:color="auto"/>
            <w:right w:val="none" w:sz="0" w:space="0" w:color="auto"/>
          </w:divBdr>
          <w:divsChild>
            <w:div w:id="1213615419">
              <w:marLeft w:val="0"/>
              <w:marRight w:val="0"/>
              <w:marTop w:val="0"/>
              <w:marBottom w:val="0"/>
              <w:divBdr>
                <w:top w:val="none" w:sz="0" w:space="0" w:color="auto"/>
                <w:left w:val="none" w:sz="0" w:space="0" w:color="auto"/>
                <w:bottom w:val="none" w:sz="0" w:space="0" w:color="auto"/>
                <w:right w:val="none" w:sz="0" w:space="0" w:color="auto"/>
              </w:divBdr>
              <w:divsChild>
                <w:div w:id="1124926545">
                  <w:marLeft w:val="0"/>
                  <w:marRight w:val="0"/>
                  <w:marTop w:val="0"/>
                  <w:marBottom w:val="0"/>
                  <w:divBdr>
                    <w:top w:val="none" w:sz="0" w:space="0" w:color="auto"/>
                    <w:left w:val="none" w:sz="0" w:space="0" w:color="auto"/>
                    <w:bottom w:val="none" w:sz="0" w:space="0" w:color="auto"/>
                    <w:right w:val="none" w:sz="0" w:space="0" w:color="auto"/>
                  </w:divBdr>
                  <w:divsChild>
                    <w:div w:id="1406798183">
                      <w:marLeft w:val="0"/>
                      <w:marRight w:val="0"/>
                      <w:marTop w:val="0"/>
                      <w:marBottom w:val="0"/>
                      <w:divBdr>
                        <w:top w:val="none" w:sz="0" w:space="0" w:color="auto"/>
                        <w:left w:val="none" w:sz="0" w:space="0" w:color="auto"/>
                        <w:bottom w:val="none" w:sz="0" w:space="0" w:color="auto"/>
                        <w:right w:val="none" w:sz="0" w:space="0" w:color="auto"/>
                      </w:divBdr>
                    </w:div>
                  </w:divsChild>
                </w:div>
                <w:div w:id="368258413">
                  <w:marLeft w:val="0"/>
                  <w:marRight w:val="0"/>
                  <w:marTop w:val="0"/>
                  <w:marBottom w:val="0"/>
                  <w:divBdr>
                    <w:top w:val="none" w:sz="0" w:space="0" w:color="auto"/>
                    <w:left w:val="none" w:sz="0" w:space="0" w:color="auto"/>
                    <w:bottom w:val="none" w:sz="0" w:space="0" w:color="auto"/>
                    <w:right w:val="none" w:sz="0" w:space="0" w:color="auto"/>
                  </w:divBdr>
                  <w:divsChild>
                    <w:div w:id="771436308">
                      <w:marLeft w:val="0"/>
                      <w:marRight w:val="0"/>
                      <w:marTop w:val="0"/>
                      <w:marBottom w:val="0"/>
                      <w:divBdr>
                        <w:top w:val="none" w:sz="0" w:space="0" w:color="auto"/>
                        <w:left w:val="none" w:sz="0" w:space="0" w:color="auto"/>
                        <w:bottom w:val="none" w:sz="0" w:space="0" w:color="auto"/>
                        <w:right w:val="none" w:sz="0" w:space="0" w:color="auto"/>
                      </w:divBdr>
                    </w:div>
                  </w:divsChild>
                </w:div>
                <w:div w:id="1581057509">
                  <w:marLeft w:val="0"/>
                  <w:marRight w:val="0"/>
                  <w:marTop w:val="0"/>
                  <w:marBottom w:val="0"/>
                  <w:divBdr>
                    <w:top w:val="none" w:sz="0" w:space="0" w:color="auto"/>
                    <w:left w:val="none" w:sz="0" w:space="0" w:color="auto"/>
                    <w:bottom w:val="none" w:sz="0" w:space="0" w:color="auto"/>
                    <w:right w:val="none" w:sz="0" w:space="0" w:color="auto"/>
                  </w:divBdr>
                  <w:divsChild>
                    <w:div w:id="944653262">
                      <w:marLeft w:val="0"/>
                      <w:marRight w:val="0"/>
                      <w:marTop w:val="0"/>
                      <w:marBottom w:val="0"/>
                      <w:divBdr>
                        <w:top w:val="none" w:sz="0" w:space="0" w:color="auto"/>
                        <w:left w:val="none" w:sz="0" w:space="0" w:color="auto"/>
                        <w:bottom w:val="none" w:sz="0" w:space="0" w:color="auto"/>
                        <w:right w:val="none" w:sz="0" w:space="0" w:color="auto"/>
                      </w:divBdr>
                    </w:div>
                  </w:divsChild>
                </w:div>
                <w:div w:id="61368317">
                  <w:marLeft w:val="0"/>
                  <w:marRight w:val="0"/>
                  <w:marTop w:val="0"/>
                  <w:marBottom w:val="0"/>
                  <w:divBdr>
                    <w:top w:val="none" w:sz="0" w:space="0" w:color="auto"/>
                    <w:left w:val="none" w:sz="0" w:space="0" w:color="auto"/>
                    <w:bottom w:val="none" w:sz="0" w:space="0" w:color="auto"/>
                    <w:right w:val="none" w:sz="0" w:space="0" w:color="auto"/>
                  </w:divBdr>
                  <w:divsChild>
                    <w:div w:id="828181598">
                      <w:marLeft w:val="0"/>
                      <w:marRight w:val="0"/>
                      <w:marTop w:val="0"/>
                      <w:marBottom w:val="0"/>
                      <w:divBdr>
                        <w:top w:val="none" w:sz="0" w:space="0" w:color="auto"/>
                        <w:left w:val="none" w:sz="0" w:space="0" w:color="auto"/>
                        <w:bottom w:val="none" w:sz="0" w:space="0" w:color="auto"/>
                        <w:right w:val="none" w:sz="0" w:space="0" w:color="auto"/>
                      </w:divBdr>
                    </w:div>
                  </w:divsChild>
                </w:div>
                <w:div w:id="1576277901">
                  <w:marLeft w:val="0"/>
                  <w:marRight w:val="0"/>
                  <w:marTop w:val="0"/>
                  <w:marBottom w:val="0"/>
                  <w:divBdr>
                    <w:top w:val="none" w:sz="0" w:space="0" w:color="auto"/>
                    <w:left w:val="none" w:sz="0" w:space="0" w:color="auto"/>
                    <w:bottom w:val="none" w:sz="0" w:space="0" w:color="auto"/>
                    <w:right w:val="none" w:sz="0" w:space="0" w:color="auto"/>
                  </w:divBdr>
                  <w:divsChild>
                    <w:div w:id="2083411292">
                      <w:marLeft w:val="0"/>
                      <w:marRight w:val="0"/>
                      <w:marTop w:val="0"/>
                      <w:marBottom w:val="0"/>
                      <w:divBdr>
                        <w:top w:val="none" w:sz="0" w:space="0" w:color="auto"/>
                        <w:left w:val="none" w:sz="0" w:space="0" w:color="auto"/>
                        <w:bottom w:val="none" w:sz="0" w:space="0" w:color="auto"/>
                        <w:right w:val="none" w:sz="0" w:space="0" w:color="auto"/>
                      </w:divBdr>
                    </w:div>
                  </w:divsChild>
                </w:div>
                <w:div w:id="234170927">
                  <w:marLeft w:val="0"/>
                  <w:marRight w:val="0"/>
                  <w:marTop w:val="0"/>
                  <w:marBottom w:val="0"/>
                  <w:divBdr>
                    <w:top w:val="none" w:sz="0" w:space="0" w:color="auto"/>
                    <w:left w:val="none" w:sz="0" w:space="0" w:color="auto"/>
                    <w:bottom w:val="none" w:sz="0" w:space="0" w:color="auto"/>
                    <w:right w:val="none" w:sz="0" w:space="0" w:color="auto"/>
                  </w:divBdr>
                  <w:divsChild>
                    <w:div w:id="2043556664">
                      <w:marLeft w:val="0"/>
                      <w:marRight w:val="0"/>
                      <w:marTop w:val="0"/>
                      <w:marBottom w:val="0"/>
                      <w:divBdr>
                        <w:top w:val="none" w:sz="0" w:space="0" w:color="auto"/>
                        <w:left w:val="none" w:sz="0" w:space="0" w:color="auto"/>
                        <w:bottom w:val="none" w:sz="0" w:space="0" w:color="auto"/>
                        <w:right w:val="none" w:sz="0" w:space="0" w:color="auto"/>
                      </w:divBdr>
                    </w:div>
                  </w:divsChild>
                </w:div>
                <w:div w:id="1494756902">
                  <w:marLeft w:val="0"/>
                  <w:marRight w:val="0"/>
                  <w:marTop w:val="0"/>
                  <w:marBottom w:val="0"/>
                  <w:divBdr>
                    <w:top w:val="none" w:sz="0" w:space="0" w:color="auto"/>
                    <w:left w:val="none" w:sz="0" w:space="0" w:color="auto"/>
                    <w:bottom w:val="none" w:sz="0" w:space="0" w:color="auto"/>
                    <w:right w:val="none" w:sz="0" w:space="0" w:color="auto"/>
                  </w:divBdr>
                  <w:divsChild>
                    <w:div w:id="1007362383">
                      <w:marLeft w:val="0"/>
                      <w:marRight w:val="0"/>
                      <w:marTop w:val="0"/>
                      <w:marBottom w:val="0"/>
                      <w:divBdr>
                        <w:top w:val="none" w:sz="0" w:space="0" w:color="auto"/>
                        <w:left w:val="none" w:sz="0" w:space="0" w:color="auto"/>
                        <w:bottom w:val="none" w:sz="0" w:space="0" w:color="auto"/>
                        <w:right w:val="none" w:sz="0" w:space="0" w:color="auto"/>
                      </w:divBdr>
                    </w:div>
                  </w:divsChild>
                </w:div>
                <w:div w:id="168108794">
                  <w:marLeft w:val="0"/>
                  <w:marRight w:val="0"/>
                  <w:marTop w:val="0"/>
                  <w:marBottom w:val="0"/>
                  <w:divBdr>
                    <w:top w:val="none" w:sz="0" w:space="0" w:color="auto"/>
                    <w:left w:val="none" w:sz="0" w:space="0" w:color="auto"/>
                    <w:bottom w:val="none" w:sz="0" w:space="0" w:color="auto"/>
                    <w:right w:val="none" w:sz="0" w:space="0" w:color="auto"/>
                  </w:divBdr>
                  <w:divsChild>
                    <w:div w:id="111748789">
                      <w:marLeft w:val="0"/>
                      <w:marRight w:val="0"/>
                      <w:marTop w:val="0"/>
                      <w:marBottom w:val="0"/>
                      <w:divBdr>
                        <w:top w:val="none" w:sz="0" w:space="0" w:color="auto"/>
                        <w:left w:val="none" w:sz="0" w:space="0" w:color="auto"/>
                        <w:bottom w:val="none" w:sz="0" w:space="0" w:color="auto"/>
                        <w:right w:val="none" w:sz="0" w:space="0" w:color="auto"/>
                      </w:divBdr>
                    </w:div>
                  </w:divsChild>
                </w:div>
                <w:div w:id="458915802">
                  <w:marLeft w:val="0"/>
                  <w:marRight w:val="0"/>
                  <w:marTop w:val="0"/>
                  <w:marBottom w:val="0"/>
                  <w:divBdr>
                    <w:top w:val="none" w:sz="0" w:space="0" w:color="auto"/>
                    <w:left w:val="none" w:sz="0" w:space="0" w:color="auto"/>
                    <w:bottom w:val="none" w:sz="0" w:space="0" w:color="auto"/>
                    <w:right w:val="none" w:sz="0" w:space="0" w:color="auto"/>
                  </w:divBdr>
                  <w:divsChild>
                    <w:div w:id="1722053330">
                      <w:marLeft w:val="0"/>
                      <w:marRight w:val="0"/>
                      <w:marTop w:val="0"/>
                      <w:marBottom w:val="0"/>
                      <w:divBdr>
                        <w:top w:val="none" w:sz="0" w:space="0" w:color="auto"/>
                        <w:left w:val="none" w:sz="0" w:space="0" w:color="auto"/>
                        <w:bottom w:val="none" w:sz="0" w:space="0" w:color="auto"/>
                        <w:right w:val="none" w:sz="0" w:space="0" w:color="auto"/>
                      </w:divBdr>
                    </w:div>
                  </w:divsChild>
                </w:div>
                <w:div w:id="1982686353">
                  <w:marLeft w:val="0"/>
                  <w:marRight w:val="0"/>
                  <w:marTop w:val="0"/>
                  <w:marBottom w:val="0"/>
                  <w:divBdr>
                    <w:top w:val="none" w:sz="0" w:space="0" w:color="auto"/>
                    <w:left w:val="none" w:sz="0" w:space="0" w:color="auto"/>
                    <w:bottom w:val="none" w:sz="0" w:space="0" w:color="auto"/>
                    <w:right w:val="none" w:sz="0" w:space="0" w:color="auto"/>
                  </w:divBdr>
                  <w:divsChild>
                    <w:div w:id="890926104">
                      <w:marLeft w:val="0"/>
                      <w:marRight w:val="0"/>
                      <w:marTop w:val="0"/>
                      <w:marBottom w:val="0"/>
                      <w:divBdr>
                        <w:top w:val="none" w:sz="0" w:space="0" w:color="auto"/>
                        <w:left w:val="none" w:sz="0" w:space="0" w:color="auto"/>
                        <w:bottom w:val="none" w:sz="0" w:space="0" w:color="auto"/>
                        <w:right w:val="none" w:sz="0" w:space="0" w:color="auto"/>
                      </w:divBdr>
                    </w:div>
                  </w:divsChild>
                </w:div>
                <w:div w:id="483088690">
                  <w:marLeft w:val="0"/>
                  <w:marRight w:val="0"/>
                  <w:marTop w:val="0"/>
                  <w:marBottom w:val="0"/>
                  <w:divBdr>
                    <w:top w:val="none" w:sz="0" w:space="0" w:color="auto"/>
                    <w:left w:val="none" w:sz="0" w:space="0" w:color="auto"/>
                    <w:bottom w:val="none" w:sz="0" w:space="0" w:color="auto"/>
                    <w:right w:val="none" w:sz="0" w:space="0" w:color="auto"/>
                  </w:divBdr>
                  <w:divsChild>
                    <w:div w:id="712314488">
                      <w:marLeft w:val="0"/>
                      <w:marRight w:val="0"/>
                      <w:marTop w:val="0"/>
                      <w:marBottom w:val="0"/>
                      <w:divBdr>
                        <w:top w:val="none" w:sz="0" w:space="0" w:color="auto"/>
                        <w:left w:val="none" w:sz="0" w:space="0" w:color="auto"/>
                        <w:bottom w:val="none" w:sz="0" w:space="0" w:color="auto"/>
                        <w:right w:val="none" w:sz="0" w:space="0" w:color="auto"/>
                      </w:divBdr>
                    </w:div>
                  </w:divsChild>
                </w:div>
                <w:div w:id="876963292">
                  <w:marLeft w:val="0"/>
                  <w:marRight w:val="0"/>
                  <w:marTop w:val="0"/>
                  <w:marBottom w:val="0"/>
                  <w:divBdr>
                    <w:top w:val="none" w:sz="0" w:space="0" w:color="auto"/>
                    <w:left w:val="none" w:sz="0" w:space="0" w:color="auto"/>
                    <w:bottom w:val="none" w:sz="0" w:space="0" w:color="auto"/>
                    <w:right w:val="none" w:sz="0" w:space="0" w:color="auto"/>
                  </w:divBdr>
                  <w:divsChild>
                    <w:div w:id="2073841707">
                      <w:marLeft w:val="0"/>
                      <w:marRight w:val="0"/>
                      <w:marTop w:val="0"/>
                      <w:marBottom w:val="0"/>
                      <w:divBdr>
                        <w:top w:val="none" w:sz="0" w:space="0" w:color="auto"/>
                        <w:left w:val="none" w:sz="0" w:space="0" w:color="auto"/>
                        <w:bottom w:val="none" w:sz="0" w:space="0" w:color="auto"/>
                        <w:right w:val="none" w:sz="0" w:space="0" w:color="auto"/>
                      </w:divBdr>
                    </w:div>
                  </w:divsChild>
                </w:div>
                <w:div w:id="1438672361">
                  <w:marLeft w:val="0"/>
                  <w:marRight w:val="0"/>
                  <w:marTop w:val="0"/>
                  <w:marBottom w:val="0"/>
                  <w:divBdr>
                    <w:top w:val="none" w:sz="0" w:space="0" w:color="auto"/>
                    <w:left w:val="none" w:sz="0" w:space="0" w:color="auto"/>
                    <w:bottom w:val="none" w:sz="0" w:space="0" w:color="auto"/>
                    <w:right w:val="none" w:sz="0" w:space="0" w:color="auto"/>
                  </w:divBdr>
                  <w:divsChild>
                    <w:div w:id="1086851141">
                      <w:marLeft w:val="0"/>
                      <w:marRight w:val="0"/>
                      <w:marTop w:val="0"/>
                      <w:marBottom w:val="0"/>
                      <w:divBdr>
                        <w:top w:val="none" w:sz="0" w:space="0" w:color="auto"/>
                        <w:left w:val="none" w:sz="0" w:space="0" w:color="auto"/>
                        <w:bottom w:val="none" w:sz="0" w:space="0" w:color="auto"/>
                        <w:right w:val="none" w:sz="0" w:space="0" w:color="auto"/>
                      </w:divBdr>
                    </w:div>
                  </w:divsChild>
                </w:div>
                <w:div w:id="1663194290">
                  <w:marLeft w:val="0"/>
                  <w:marRight w:val="0"/>
                  <w:marTop w:val="0"/>
                  <w:marBottom w:val="0"/>
                  <w:divBdr>
                    <w:top w:val="none" w:sz="0" w:space="0" w:color="auto"/>
                    <w:left w:val="none" w:sz="0" w:space="0" w:color="auto"/>
                    <w:bottom w:val="none" w:sz="0" w:space="0" w:color="auto"/>
                    <w:right w:val="none" w:sz="0" w:space="0" w:color="auto"/>
                  </w:divBdr>
                  <w:divsChild>
                    <w:div w:id="527837820">
                      <w:marLeft w:val="0"/>
                      <w:marRight w:val="0"/>
                      <w:marTop w:val="0"/>
                      <w:marBottom w:val="0"/>
                      <w:divBdr>
                        <w:top w:val="none" w:sz="0" w:space="0" w:color="auto"/>
                        <w:left w:val="none" w:sz="0" w:space="0" w:color="auto"/>
                        <w:bottom w:val="none" w:sz="0" w:space="0" w:color="auto"/>
                        <w:right w:val="none" w:sz="0" w:space="0" w:color="auto"/>
                      </w:divBdr>
                    </w:div>
                  </w:divsChild>
                </w:div>
                <w:div w:id="1588999171">
                  <w:marLeft w:val="0"/>
                  <w:marRight w:val="0"/>
                  <w:marTop w:val="0"/>
                  <w:marBottom w:val="0"/>
                  <w:divBdr>
                    <w:top w:val="none" w:sz="0" w:space="0" w:color="auto"/>
                    <w:left w:val="none" w:sz="0" w:space="0" w:color="auto"/>
                    <w:bottom w:val="none" w:sz="0" w:space="0" w:color="auto"/>
                    <w:right w:val="none" w:sz="0" w:space="0" w:color="auto"/>
                  </w:divBdr>
                  <w:divsChild>
                    <w:div w:id="1269043140">
                      <w:marLeft w:val="0"/>
                      <w:marRight w:val="0"/>
                      <w:marTop w:val="0"/>
                      <w:marBottom w:val="0"/>
                      <w:divBdr>
                        <w:top w:val="none" w:sz="0" w:space="0" w:color="auto"/>
                        <w:left w:val="none" w:sz="0" w:space="0" w:color="auto"/>
                        <w:bottom w:val="none" w:sz="0" w:space="0" w:color="auto"/>
                        <w:right w:val="none" w:sz="0" w:space="0" w:color="auto"/>
                      </w:divBdr>
                    </w:div>
                  </w:divsChild>
                </w:div>
                <w:div w:id="1959532886">
                  <w:marLeft w:val="0"/>
                  <w:marRight w:val="0"/>
                  <w:marTop w:val="0"/>
                  <w:marBottom w:val="0"/>
                  <w:divBdr>
                    <w:top w:val="none" w:sz="0" w:space="0" w:color="auto"/>
                    <w:left w:val="none" w:sz="0" w:space="0" w:color="auto"/>
                    <w:bottom w:val="none" w:sz="0" w:space="0" w:color="auto"/>
                    <w:right w:val="none" w:sz="0" w:space="0" w:color="auto"/>
                  </w:divBdr>
                  <w:divsChild>
                    <w:div w:id="952327524">
                      <w:marLeft w:val="0"/>
                      <w:marRight w:val="0"/>
                      <w:marTop w:val="0"/>
                      <w:marBottom w:val="0"/>
                      <w:divBdr>
                        <w:top w:val="none" w:sz="0" w:space="0" w:color="auto"/>
                        <w:left w:val="none" w:sz="0" w:space="0" w:color="auto"/>
                        <w:bottom w:val="none" w:sz="0" w:space="0" w:color="auto"/>
                        <w:right w:val="none" w:sz="0" w:space="0" w:color="auto"/>
                      </w:divBdr>
                    </w:div>
                  </w:divsChild>
                </w:div>
                <w:div w:id="577980537">
                  <w:marLeft w:val="0"/>
                  <w:marRight w:val="0"/>
                  <w:marTop w:val="0"/>
                  <w:marBottom w:val="0"/>
                  <w:divBdr>
                    <w:top w:val="none" w:sz="0" w:space="0" w:color="auto"/>
                    <w:left w:val="none" w:sz="0" w:space="0" w:color="auto"/>
                    <w:bottom w:val="none" w:sz="0" w:space="0" w:color="auto"/>
                    <w:right w:val="none" w:sz="0" w:space="0" w:color="auto"/>
                  </w:divBdr>
                  <w:divsChild>
                    <w:div w:id="1964728734">
                      <w:marLeft w:val="0"/>
                      <w:marRight w:val="0"/>
                      <w:marTop w:val="0"/>
                      <w:marBottom w:val="0"/>
                      <w:divBdr>
                        <w:top w:val="none" w:sz="0" w:space="0" w:color="auto"/>
                        <w:left w:val="none" w:sz="0" w:space="0" w:color="auto"/>
                        <w:bottom w:val="none" w:sz="0" w:space="0" w:color="auto"/>
                        <w:right w:val="none" w:sz="0" w:space="0" w:color="auto"/>
                      </w:divBdr>
                    </w:div>
                  </w:divsChild>
                </w:div>
                <w:div w:id="54553900">
                  <w:marLeft w:val="0"/>
                  <w:marRight w:val="0"/>
                  <w:marTop w:val="0"/>
                  <w:marBottom w:val="0"/>
                  <w:divBdr>
                    <w:top w:val="none" w:sz="0" w:space="0" w:color="auto"/>
                    <w:left w:val="none" w:sz="0" w:space="0" w:color="auto"/>
                    <w:bottom w:val="none" w:sz="0" w:space="0" w:color="auto"/>
                    <w:right w:val="none" w:sz="0" w:space="0" w:color="auto"/>
                  </w:divBdr>
                  <w:divsChild>
                    <w:div w:id="179468944">
                      <w:marLeft w:val="0"/>
                      <w:marRight w:val="0"/>
                      <w:marTop w:val="0"/>
                      <w:marBottom w:val="0"/>
                      <w:divBdr>
                        <w:top w:val="none" w:sz="0" w:space="0" w:color="auto"/>
                        <w:left w:val="none" w:sz="0" w:space="0" w:color="auto"/>
                        <w:bottom w:val="none" w:sz="0" w:space="0" w:color="auto"/>
                        <w:right w:val="none" w:sz="0" w:space="0" w:color="auto"/>
                      </w:divBdr>
                    </w:div>
                  </w:divsChild>
                </w:div>
                <w:div w:id="1516534739">
                  <w:marLeft w:val="0"/>
                  <w:marRight w:val="0"/>
                  <w:marTop w:val="0"/>
                  <w:marBottom w:val="0"/>
                  <w:divBdr>
                    <w:top w:val="none" w:sz="0" w:space="0" w:color="auto"/>
                    <w:left w:val="none" w:sz="0" w:space="0" w:color="auto"/>
                    <w:bottom w:val="none" w:sz="0" w:space="0" w:color="auto"/>
                    <w:right w:val="none" w:sz="0" w:space="0" w:color="auto"/>
                  </w:divBdr>
                  <w:divsChild>
                    <w:div w:id="1335837650">
                      <w:marLeft w:val="0"/>
                      <w:marRight w:val="0"/>
                      <w:marTop w:val="0"/>
                      <w:marBottom w:val="0"/>
                      <w:divBdr>
                        <w:top w:val="none" w:sz="0" w:space="0" w:color="auto"/>
                        <w:left w:val="none" w:sz="0" w:space="0" w:color="auto"/>
                        <w:bottom w:val="none" w:sz="0" w:space="0" w:color="auto"/>
                        <w:right w:val="none" w:sz="0" w:space="0" w:color="auto"/>
                      </w:divBdr>
                    </w:div>
                  </w:divsChild>
                </w:div>
                <w:div w:id="125779707">
                  <w:marLeft w:val="0"/>
                  <w:marRight w:val="0"/>
                  <w:marTop w:val="0"/>
                  <w:marBottom w:val="0"/>
                  <w:divBdr>
                    <w:top w:val="none" w:sz="0" w:space="0" w:color="auto"/>
                    <w:left w:val="none" w:sz="0" w:space="0" w:color="auto"/>
                    <w:bottom w:val="none" w:sz="0" w:space="0" w:color="auto"/>
                    <w:right w:val="none" w:sz="0" w:space="0" w:color="auto"/>
                  </w:divBdr>
                  <w:divsChild>
                    <w:div w:id="583953192">
                      <w:marLeft w:val="0"/>
                      <w:marRight w:val="0"/>
                      <w:marTop w:val="0"/>
                      <w:marBottom w:val="0"/>
                      <w:divBdr>
                        <w:top w:val="none" w:sz="0" w:space="0" w:color="auto"/>
                        <w:left w:val="none" w:sz="0" w:space="0" w:color="auto"/>
                        <w:bottom w:val="none" w:sz="0" w:space="0" w:color="auto"/>
                        <w:right w:val="none" w:sz="0" w:space="0" w:color="auto"/>
                      </w:divBdr>
                    </w:div>
                  </w:divsChild>
                </w:div>
                <w:div w:id="404303459">
                  <w:marLeft w:val="0"/>
                  <w:marRight w:val="0"/>
                  <w:marTop w:val="0"/>
                  <w:marBottom w:val="0"/>
                  <w:divBdr>
                    <w:top w:val="none" w:sz="0" w:space="0" w:color="auto"/>
                    <w:left w:val="none" w:sz="0" w:space="0" w:color="auto"/>
                    <w:bottom w:val="none" w:sz="0" w:space="0" w:color="auto"/>
                    <w:right w:val="none" w:sz="0" w:space="0" w:color="auto"/>
                  </w:divBdr>
                  <w:divsChild>
                    <w:div w:id="968317382">
                      <w:marLeft w:val="0"/>
                      <w:marRight w:val="0"/>
                      <w:marTop w:val="0"/>
                      <w:marBottom w:val="0"/>
                      <w:divBdr>
                        <w:top w:val="none" w:sz="0" w:space="0" w:color="auto"/>
                        <w:left w:val="none" w:sz="0" w:space="0" w:color="auto"/>
                        <w:bottom w:val="none" w:sz="0" w:space="0" w:color="auto"/>
                        <w:right w:val="none" w:sz="0" w:space="0" w:color="auto"/>
                      </w:divBdr>
                    </w:div>
                  </w:divsChild>
                </w:div>
                <w:div w:id="330648410">
                  <w:marLeft w:val="0"/>
                  <w:marRight w:val="0"/>
                  <w:marTop w:val="0"/>
                  <w:marBottom w:val="0"/>
                  <w:divBdr>
                    <w:top w:val="none" w:sz="0" w:space="0" w:color="auto"/>
                    <w:left w:val="none" w:sz="0" w:space="0" w:color="auto"/>
                    <w:bottom w:val="none" w:sz="0" w:space="0" w:color="auto"/>
                    <w:right w:val="none" w:sz="0" w:space="0" w:color="auto"/>
                  </w:divBdr>
                  <w:divsChild>
                    <w:div w:id="883643365">
                      <w:marLeft w:val="0"/>
                      <w:marRight w:val="0"/>
                      <w:marTop w:val="0"/>
                      <w:marBottom w:val="0"/>
                      <w:divBdr>
                        <w:top w:val="none" w:sz="0" w:space="0" w:color="auto"/>
                        <w:left w:val="none" w:sz="0" w:space="0" w:color="auto"/>
                        <w:bottom w:val="none" w:sz="0" w:space="0" w:color="auto"/>
                        <w:right w:val="none" w:sz="0" w:space="0" w:color="auto"/>
                      </w:divBdr>
                    </w:div>
                  </w:divsChild>
                </w:div>
                <w:div w:id="1728648375">
                  <w:marLeft w:val="0"/>
                  <w:marRight w:val="0"/>
                  <w:marTop w:val="0"/>
                  <w:marBottom w:val="0"/>
                  <w:divBdr>
                    <w:top w:val="none" w:sz="0" w:space="0" w:color="auto"/>
                    <w:left w:val="none" w:sz="0" w:space="0" w:color="auto"/>
                    <w:bottom w:val="none" w:sz="0" w:space="0" w:color="auto"/>
                    <w:right w:val="none" w:sz="0" w:space="0" w:color="auto"/>
                  </w:divBdr>
                  <w:divsChild>
                    <w:div w:id="1292052185">
                      <w:marLeft w:val="0"/>
                      <w:marRight w:val="0"/>
                      <w:marTop w:val="0"/>
                      <w:marBottom w:val="0"/>
                      <w:divBdr>
                        <w:top w:val="none" w:sz="0" w:space="0" w:color="auto"/>
                        <w:left w:val="none" w:sz="0" w:space="0" w:color="auto"/>
                        <w:bottom w:val="none" w:sz="0" w:space="0" w:color="auto"/>
                        <w:right w:val="none" w:sz="0" w:space="0" w:color="auto"/>
                      </w:divBdr>
                    </w:div>
                  </w:divsChild>
                </w:div>
                <w:div w:id="1500778828">
                  <w:marLeft w:val="0"/>
                  <w:marRight w:val="0"/>
                  <w:marTop w:val="0"/>
                  <w:marBottom w:val="0"/>
                  <w:divBdr>
                    <w:top w:val="none" w:sz="0" w:space="0" w:color="auto"/>
                    <w:left w:val="none" w:sz="0" w:space="0" w:color="auto"/>
                    <w:bottom w:val="none" w:sz="0" w:space="0" w:color="auto"/>
                    <w:right w:val="none" w:sz="0" w:space="0" w:color="auto"/>
                  </w:divBdr>
                  <w:divsChild>
                    <w:div w:id="369917172">
                      <w:marLeft w:val="0"/>
                      <w:marRight w:val="0"/>
                      <w:marTop w:val="0"/>
                      <w:marBottom w:val="0"/>
                      <w:divBdr>
                        <w:top w:val="none" w:sz="0" w:space="0" w:color="auto"/>
                        <w:left w:val="none" w:sz="0" w:space="0" w:color="auto"/>
                        <w:bottom w:val="none" w:sz="0" w:space="0" w:color="auto"/>
                        <w:right w:val="none" w:sz="0" w:space="0" w:color="auto"/>
                      </w:divBdr>
                    </w:div>
                  </w:divsChild>
                </w:div>
                <w:div w:id="308944887">
                  <w:marLeft w:val="0"/>
                  <w:marRight w:val="0"/>
                  <w:marTop w:val="0"/>
                  <w:marBottom w:val="0"/>
                  <w:divBdr>
                    <w:top w:val="none" w:sz="0" w:space="0" w:color="auto"/>
                    <w:left w:val="none" w:sz="0" w:space="0" w:color="auto"/>
                    <w:bottom w:val="none" w:sz="0" w:space="0" w:color="auto"/>
                    <w:right w:val="none" w:sz="0" w:space="0" w:color="auto"/>
                  </w:divBdr>
                  <w:divsChild>
                    <w:div w:id="24761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708275">
      <w:bodyDiv w:val="1"/>
      <w:marLeft w:val="0"/>
      <w:marRight w:val="0"/>
      <w:marTop w:val="0"/>
      <w:marBottom w:val="0"/>
      <w:divBdr>
        <w:top w:val="none" w:sz="0" w:space="0" w:color="auto"/>
        <w:left w:val="none" w:sz="0" w:space="0" w:color="auto"/>
        <w:bottom w:val="none" w:sz="0" w:space="0" w:color="auto"/>
        <w:right w:val="none" w:sz="0" w:space="0" w:color="auto"/>
      </w:divBdr>
      <w:divsChild>
        <w:div w:id="1533225836">
          <w:marLeft w:val="0"/>
          <w:marRight w:val="0"/>
          <w:marTop w:val="0"/>
          <w:marBottom w:val="0"/>
          <w:divBdr>
            <w:top w:val="none" w:sz="0" w:space="0" w:color="auto"/>
            <w:left w:val="none" w:sz="0" w:space="0" w:color="auto"/>
            <w:bottom w:val="none" w:sz="0" w:space="0" w:color="auto"/>
            <w:right w:val="none" w:sz="0" w:space="0" w:color="auto"/>
          </w:divBdr>
          <w:divsChild>
            <w:div w:id="549195115">
              <w:marLeft w:val="0"/>
              <w:marRight w:val="0"/>
              <w:marTop w:val="0"/>
              <w:marBottom w:val="0"/>
              <w:divBdr>
                <w:top w:val="none" w:sz="0" w:space="0" w:color="auto"/>
                <w:left w:val="none" w:sz="0" w:space="0" w:color="auto"/>
                <w:bottom w:val="none" w:sz="0" w:space="0" w:color="auto"/>
                <w:right w:val="none" w:sz="0" w:space="0" w:color="auto"/>
              </w:divBdr>
              <w:divsChild>
                <w:div w:id="737245253">
                  <w:marLeft w:val="0"/>
                  <w:marRight w:val="0"/>
                  <w:marTop w:val="0"/>
                  <w:marBottom w:val="0"/>
                  <w:divBdr>
                    <w:top w:val="none" w:sz="0" w:space="0" w:color="auto"/>
                    <w:left w:val="none" w:sz="0" w:space="0" w:color="auto"/>
                    <w:bottom w:val="none" w:sz="0" w:space="0" w:color="auto"/>
                    <w:right w:val="none" w:sz="0" w:space="0" w:color="auto"/>
                  </w:divBdr>
                  <w:divsChild>
                    <w:div w:id="1803766146">
                      <w:marLeft w:val="0"/>
                      <w:marRight w:val="0"/>
                      <w:marTop w:val="0"/>
                      <w:marBottom w:val="0"/>
                      <w:divBdr>
                        <w:top w:val="none" w:sz="0" w:space="0" w:color="auto"/>
                        <w:left w:val="none" w:sz="0" w:space="0" w:color="auto"/>
                        <w:bottom w:val="none" w:sz="0" w:space="0" w:color="auto"/>
                        <w:right w:val="none" w:sz="0" w:space="0" w:color="auto"/>
                      </w:divBdr>
                    </w:div>
                  </w:divsChild>
                </w:div>
                <w:div w:id="34234908">
                  <w:marLeft w:val="0"/>
                  <w:marRight w:val="0"/>
                  <w:marTop w:val="0"/>
                  <w:marBottom w:val="0"/>
                  <w:divBdr>
                    <w:top w:val="none" w:sz="0" w:space="0" w:color="auto"/>
                    <w:left w:val="none" w:sz="0" w:space="0" w:color="auto"/>
                    <w:bottom w:val="none" w:sz="0" w:space="0" w:color="auto"/>
                    <w:right w:val="none" w:sz="0" w:space="0" w:color="auto"/>
                  </w:divBdr>
                  <w:divsChild>
                    <w:div w:id="521817807">
                      <w:marLeft w:val="0"/>
                      <w:marRight w:val="0"/>
                      <w:marTop w:val="0"/>
                      <w:marBottom w:val="0"/>
                      <w:divBdr>
                        <w:top w:val="none" w:sz="0" w:space="0" w:color="auto"/>
                        <w:left w:val="none" w:sz="0" w:space="0" w:color="auto"/>
                        <w:bottom w:val="none" w:sz="0" w:space="0" w:color="auto"/>
                        <w:right w:val="none" w:sz="0" w:space="0" w:color="auto"/>
                      </w:divBdr>
                    </w:div>
                  </w:divsChild>
                </w:div>
                <w:div w:id="644091132">
                  <w:marLeft w:val="0"/>
                  <w:marRight w:val="0"/>
                  <w:marTop w:val="0"/>
                  <w:marBottom w:val="0"/>
                  <w:divBdr>
                    <w:top w:val="none" w:sz="0" w:space="0" w:color="auto"/>
                    <w:left w:val="none" w:sz="0" w:space="0" w:color="auto"/>
                    <w:bottom w:val="none" w:sz="0" w:space="0" w:color="auto"/>
                    <w:right w:val="none" w:sz="0" w:space="0" w:color="auto"/>
                  </w:divBdr>
                  <w:divsChild>
                    <w:div w:id="963778706">
                      <w:marLeft w:val="0"/>
                      <w:marRight w:val="0"/>
                      <w:marTop w:val="0"/>
                      <w:marBottom w:val="0"/>
                      <w:divBdr>
                        <w:top w:val="none" w:sz="0" w:space="0" w:color="auto"/>
                        <w:left w:val="none" w:sz="0" w:space="0" w:color="auto"/>
                        <w:bottom w:val="none" w:sz="0" w:space="0" w:color="auto"/>
                        <w:right w:val="none" w:sz="0" w:space="0" w:color="auto"/>
                      </w:divBdr>
                    </w:div>
                  </w:divsChild>
                </w:div>
                <w:div w:id="1476336733">
                  <w:marLeft w:val="0"/>
                  <w:marRight w:val="0"/>
                  <w:marTop w:val="0"/>
                  <w:marBottom w:val="0"/>
                  <w:divBdr>
                    <w:top w:val="none" w:sz="0" w:space="0" w:color="auto"/>
                    <w:left w:val="none" w:sz="0" w:space="0" w:color="auto"/>
                    <w:bottom w:val="none" w:sz="0" w:space="0" w:color="auto"/>
                    <w:right w:val="none" w:sz="0" w:space="0" w:color="auto"/>
                  </w:divBdr>
                  <w:divsChild>
                    <w:div w:id="675225674">
                      <w:marLeft w:val="0"/>
                      <w:marRight w:val="0"/>
                      <w:marTop w:val="0"/>
                      <w:marBottom w:val="0"/>
                      <w:divBdr>
                        <w:top w:val="none" w:sz="0" w:space="0" w:color="auto"/>
                        <w:left w:val="none" w:sz="0" w:space="0" w:color="auto"/>
                        <w:bottom w:val="none" w:sz="0" w:space="0" w:color="auto"/>
                        <w:right w:val="none" w:sz="0" w:space="0" w:color="auto"/>
                      </w:divBdr>
                    </w:div>
                  </w:divsChild>
                </w:div>
                <w:div w:id="704721871">
                  <w:marLeft w:val="0"/>
                  <w:marRight w:val="0"/>
                  <w:marTop w:val="0"/>
                  <w:marBottom w:val="0"/>
                  <w:divBdr>
                    <w:top w:val="none" w:sz="0" w:space="0" w:color="auto"/>
                    <w:left w:val="none" w:sz="0" w:space="0" w:color="auto"/>
                    <w:bottom w:val="none" w:sz="0" w:space="0" w:color="auto"/>
                    <w:right w:val="none" w:sz="0" w:space="0" w:color="auto"/>
                  </w:divBdr>
                  <w:divsChild>
                    <w:div w:id="822241445">
                      <w:marLeft w:val="0"/>
                      <w:marRight w:val="0"/>
                      <w:marTop w:val="0"/>
                      <w:marBottom w:val="0"/>
                      <w:divBdr>
                        <w:top w:val="none" w:sz="0" w:space="0" w:color="auto"/>
                        <w:left w:val="none" w:sz="0" w:space="0" w:color="auto"/>
                        <w:bottom w:val="none" w:sz="0" w:space="0" w:color="auto"/>
                        <w:right w:val="none" w:sz="0" w:space="0" w:color="auto"/>
                      </w:divBdr>
                    </w:div>
                  </w:divsChild>
                </w:div>
                <w:div w:id="291055414">
                  <w:marLeft w:val="0"/>
                  <w:marRight w:val="0"/>
                  <w:marTop w:val="0"/>
                  <w:marBottom w:val="0"/>
                  <w:divBdr>
                    <w:top w:val="none" w:sz="0" w:space="0" w:color="auto"/>
                    <w:left w:val="none" w:sz="0" w:space="0" w:color="auto"/>
                    <w:bottom w:val="none" w:sz="0" w:space="0" w:color="auto"/>
                    <w:right w:val="none" w:sz="0" w:space="0" w:color="auto"/>
                  </w:divBdr>
                  <w:divsChild>
                    <w:div w:id="510603995">
                      <w:marLeft w:val="0"/>
                      <w:marRight w:val="0"/>
                      <w:marTop w:val="0"/>
                      <w:marBottom w:val="0"/>
                      <w:divBdr>
                        <w:top w:val="none" w:sz="0" w:space="0" w:color="auto"/>
                        <w:left w:val="none" w:sz="0" w:space="0" w:color="auto"/>
                        <w:bottom w:val="none" w:sz="0" w:space="0" w:color="auto"/>
                        <w:right w:val="none" w:sz="0" w:space="0" w:color="auto"/>
                      </w:divBdr>
                    </w:div>
                  </w:divsChild>
                </w:div>
                <w:div w:id="821198545">
                  <w:marLeft w:val="0"/>
                  <w:marRight w:val="0"/>
                  <w:marTop w:val="0"/>
                  <w:marBottom w:val="0"/>
                  <w:divBdr>
                    <w:top w:val="none" w:sz="0" w:space="0" w:color="auto"/>
                    <w:left w:val="none" w:sz="0" w:space="0" w:color="auto"/>
                    <w:bottom w:val="none" w:sz="0" w:space="0" w:color="auto"/>
                    <w:right w:val="none" w:sz="0" w:space="0" w:color="auto"/>
                  </w:divBdr>
                  <w:divsChild>
                    <w:div w:id="303706527">
                      <w:marLeft w:val="0"/>
                      <w:marRight w:val="0"/>
                      <w:marTop w:val="0"/>
                      <w:marBottom w:val="0"/>
                      <w:divBdr>
                        <w:top w:val="none" w:sz="0" w:space="0" w:color="auto"/>
                        <w:left w:val="none" w:sz="0" w:space="0" w:color="auto"/>
                        <w:bottom w:val="none" w:sz="0" w:space="0" w:color="auto"/>
                        <w:right w:val="none" w:sz="0" w:space="0" w:color="auto"/>
                      </w:divBdr>
                    </w:div>
                  </w:divsChild>
                </w:div>
                <w:div w:id="1575817536">
                  <w:marLeft w:val="0"/>
                  <w:marRight w:val="0"/>
                  <w:marTop w:val="0"/>
                  <w:marBottom w:val="0"/>
                  <w:divBdr>
                    <w:top w:val="none" w:sz="0" w:space="0" w:color="auto"/>
                    <w:left w:val="none" w:sz="0" w:space="0" w:color="auto"/>
                    <w:bottom w:val="none" w:sz="0" w:space="0" w:color="auto"/>
                    <w:right w:val="none" w:sz="0" w:space="0" w:color="auto"/>
                  </w:divBdr>
                  <w:divsChild>
                    <w:div w:id="1211722024">
                      <w:marLeft w:val="0"/>
                      <w:marRight w:val="0"/>
                      <w:marTop w:val="0"/>
                      <w:marBottom w:val="0"/>
                      <w:divBdr>
                        <w:top w:val="none" w:sz="0" w:space="0" w:color="auto"/>
                        <w:left w:val="none" w:sz="0" w:space="0" w:color="auto"/>
                        <w:bottom w:val="none" w:sz="0" w:space="0" w:color="auto"/>
                        <w:right w:val="none" w:sz="0" w:space="0" w:color="auto"/>
                      </w:divBdr>
                    </w:div>
                  </w:divsChild>
                </w:div>
                <w:div w:id="1591967453">
                  <w:marLeft w:val="0"/>
                  <w:marRight w:val="0"/>
                  <w:marTop w:val="0"/>
                  <w:marBottom w:val="0"/>
                  <w:divBdr>
                    <w:top w:val="none" w:sz="0" w:space="0" w:color="auto"/>
                    <w:left w:val="none" w:sz="0" w:space="0" w:color="auto"/>
                    <w:bottom w:val="none" w:sz="0" w:space="0" w:color="auto"/>
                    <w:right w:val="none" w:sz="0" w:space="0" w:color="auto"/>
                  </w:divBdr>
                  <w:divsChild>
                    <w:div w:id="1600259265">
                      <w:marLeft w:val="0"/>
                      <w:marRight w:val="0"/>
                      <w:marTop w:val="0"/>
                      <w:marBottom w:val="0"/>
                      <w:divBdr>
                        <w:top w:val="none" w:sz="0" w:space="0" w:color="auto"/>
                        <w:left w:val="none" w:sz="0" w:space="0" w:color="auto"/>
                        <w:bottom w:val="none" w:sz="0" w:space="0" w:color="auto"/>
                        <w:right w:val="none" w:sz="0" w:space="0" w:color="auto"/>
                      </w:divBdr>
                    </w:div>
                  </w:divsChild>
                </w:div>
                <w:div w:id="488794853">
                  <w:marLeft w:val="0"/>
                  <w:marRight w:val="0"/>
                  <w:marTop w:val="0"/>
                  <w:marBottom w:val="0"/>
                  <w:divBdr>
                    <w:top w:val="none" w:sz="0" w:space="0" w:color="auto"/>
                    <w:left w:val="none" w:sz="0" w:space="0" w:color="auto"/>
                    <w:bottom w:val="none" w:sz="0" w:space="0" w:color="auto"/>
                    <w:right w:val="none" w:sz="0" w:space="0" w:color="auto"/>
                  </w:divBdr>
                  <w:divsChild>
                    <w:div w:id="2132433877">
                      <w:marLeft w:val="0"/>
                      <w:marRight w:val="0"/>
                      <w:marTop w:val="0"/>
                      <w:marBottom w:val="0"/>
                      <w:divBdr>
                        <w:top w:val="none" w:sz="0" w:space="0" w:color="auto"/>
                        <w:left w:val="none" w:sz="0" w:space="0" w:color="auto"/>
                        <w:bottom w:val="none" w:sz="0" w:space="0" w:color="auto"/>
                        <w:right w:val="none" w:sz="0" w:space="0" w:color="auto"/>
                      </w:divBdr>
                    </w:div>
                  </w:divsChild>
                </w:div>
                <w:div w:id="454102966">
                  <w:marLeft w:val="0"/>
                  <w:marRight w:val="0"/>
                  <w:marTop w:val="0"/>
                  <w:marBottom w:val="0"/>
                  <w:divBdr>
                    <w:top w:val="none" w:sz="0" w:space="0" w:color="auto"/>
                    <w:left w:val="none" w:sz="0" w:space="0" w:color="auto"/>
                    <w:bottom w:val="none" w:sz="0" w:space="0" w:color="auto"/>
                    <w:right w:val="none" w:sz="0" w:space="0" w:color="auto"/>
                  </w:divBdr>
                  <w:divsChild>
                    <w:div w:id="725029133">
                      <w:marLeft w:val="0"/>
                      <w:marRight w:val="0"/>
                      <w:marTop w:val="0"/>
                      <w:marBottom w:val="0"/>
                      <w:divBdr>
                        <w:top w:val="none" w:sz="0" w:space="0" w:color="auto"/>
                        <w:left w:val="none" w:sz="0" w:space="0" w:color="auto"/>
                        <w:bottom w:val="none" w:sz="0" w:space="0" w:color="auto"/>
                        <w:right w:val="none" w:sz="0" w:space="0" w:color="auto"/>
                      </w:divBdr>
                    </w:div>
                  </w:divsChild>
                </w:div>
                <w:div w:id="161509725">
                  <w:marLeft w:val="0"/>
                  <w:marRight w:val="0"/>
                  <w:marTop w:val="0"/>
                  <w:marBottom w:val="0"/>
                  <w:divBdr>
                    <w:top w:val="none" w:sz="0" w:space="0" w:color="auto"/>
                    <w:left w:val="none" w:sz="0" w:space="0" w:color="auto"/>
                    <w:bottom w:val="none" w:sz="0" w:space="0" w:color="auto"/>
                    <w:right w:val="none" w:sz="0" w:space="0" w:color="auto"/>
                  </w:divBdr>
                  <w:divsChild>
                    <w:div w:id="1489443468">
                      <w:marLeft w:val="0"/>
                      <w:marRight w:val="0"/>
                      <w:marTop w:val="0"/>
                      <w:marBottom w:val="0"/>
                      <w:divBdr>
                        <w:top w:val="none" w:sz="0" w:space="0" w:color="auto"/>
                        <w:left w:val="none" w:sz="0" w:space="0" w:color="auto"/>
                        <w:bottom w:val="none" w:sz="0" w:space="0" w:color="auto"/>
                        <w:right w:val="none" w:sz="0" w:space="0" w:color="auto"/>
                      </w:divBdr>
                    </w:div>
                  </w:divsChild>
                </w:div>
                <w:div w:id="1874075750">
                  <w:marLeft w:val="0"/>
                  <w:marRight w:val="0"/>
                  <w:marTop w:val="0"/>
                  <w:marBottom w:val="0"/>
                  <w:divBdr>
                    <w:top w:val="none" w:sz="0" w:space="0" w:color="auto"/>
                    <w:left w:val="none" w:sz="0" w:space="0" w:color="auto"/>
                    <w:bottom w:val="none" w:sz="0" w:space="0" w:color="auto"/>
                    <w:right w:val="none" w:sz="0" w:space="0" w:color="auto"/>
                  </w:divBdr>
                  <w:divsChild>
                    <w:div w:id="469175356">
                      <w:marLeft w:val="0"/>
                      <w:marRight w:val="0"/>
                      <w:marTop w:val="0"/>
                      <w:marBottom w:val="0"/>
                      <w:divBdr>
                        <w:top w:val="none" w:sz="0" w:space="0" w:color="auto"/>
                        <w:left w:val="none" w:sz="0" w:space="0" w:color="auto"/>
                        <w:bottom w:val="none" w:sz="0" w:space="0" w:color="auto"/>
                        <w:right w:val="none" w:sz="0" w:space="0" w:color="auto"/>
                      </w:divBdr>
                    </w:div>
                  </w:divsChild>
                </w:div>
                <w:div w:id="2040857048">
                  <w:marLeft w:val="0"/>
                  <w:marRight w:val="0"/>
                  <w:marTop w:val="0"/>
                  <w:marBottom w:val="0"/>
                  <w:divBdr>
                    <w:top w:val="none" w:sz="0" w:space="0" w:color="auto"/>
                    <w:left w:val="none" w:sz="0" w:space="0" w:color="auto"/>
                    <w:bottom w:val="none" w:sz="0" w:space="0" w:color="auto"/>
                    <w:right w:val="none" w:sz="0" w:space="0" w:color="auto"/>
                  </w:divBdr>
                  <w:divsChild>
                    <w:div w:id="662321739">
                      <w:marLeft w:val="0"/>
                      <w:marRight w:val="0"/>
                      <w:marTop w:val="0"/>
                      <w:marBottom w:val="0"/>
                      <w:divBdr>
                        <w:top w:val="none" w:sz="0" w:space="0" w:color="auto"/>
                        <w:left w:val="none" w:sz="0" w:space="0" w:color="auto"/>
                        <w:bottom w:val="none" w:sz="0" w:space="0" w:color="auto"/>
                        <w:right w:val="none" w:sz="0" w:space="0" w:color="auto"/>
                      </w:divBdr>
                    </w:div>
                  </w:divsChild>
                </w:div>
                <w:div w:id="1608078688">
                  <w:marLeft w:val="0"/>
                  <w:marRight w:val="0"/>
                  <w:marTop w:val="0"/>
                  <w:marBottom w:val="0"/>
                  <w:divBdr>
                    <w:top w:val="none" w:sz="0" w:space="0" w:color="auto"/>
                    <w:left w:val="none" w:sz="0" w:space="0" w:color="auto"/>
                    <w:bottom w:val="none" w:sz="0" w:space="0" w:color="auto"/>
                    <w:right w:val="none" w:sz="0" w:space="0" w:color="auto"/>
                  </w:divBdr>
                  <w:divsChild>
                    <w:div w:id="1074738692">
                      <w:marLeft w:val="0"/>
                      <w:marRight w:val="0"/>
                      <w:marTop w:val="0"/>
                      <w:marBottom w:val="0"/>
                      <w:divBdr>
                        <w:top w:val="none" w:sz="0" w:space="0" w:color="auto"/>
                        <w:left w:val="none" w:sz="0" w:space="0" w:color="auto"/>
                        <w:bottom w:val="none" w:sz="0" w:space="0" w:color="auto"/>
                        <w:right w:val="none" w:sz="0" w:space="0" w:color="auto"/>
                      </w:divBdr>
                    </w:div>
                  </w:divsChild>
                </w:div>
                <w:div w:id="674260936">
                  <w:marLeft w:val="0"/>
                  <w:marRight w:val="0"/>
                  <w:marTop w:val="0"/>
                  <w:marBottom w:val="0"/>
                  <w:divBdr>
                    <w:top w:val="none" w:sz="0" w:space="0" w:color="auto"/>
                    <w:left w:val="none" w:sz="0" w:space="0" w:color="auto"/>
                    <w:bottom w:val="none" w:sz="0" w:space="0" w:color="auto"/>
                    <w:right w:val="none" w:sz="0" w:space="0" w:color="auto"/>
                  </w:divBdr>
                  <w:divsChild>
                    <w:div w:id="1514683310">
                      <w:marLeft w:val="0"/>
                      <w:marRight w:val="0"/>
                      <w:marTop w:val="0"/>
                      <w:marBottom w:val="0"/>
                      <w:divBdr>
                        <w:top w:val="none" w:sz="0" w:space="0" w:color="auto"/>
                        <w:left w:val="none" w:sz="0" w:space="0" w:color="auto"/>
                        <w:bottom w:val="none" w:sz="0" w:space="0" w:color="auto"/>
                        <w:right w:val="none" w:sz="0" w:space="0" w:color="auto"/>
                      </w:divBdr>
                    </w:div>
                  </w:divsChild>
                </w:div>
                <w:div w:id="1652173364">
                  <w:marLeft w:val="0"/>
                  <w:marRight w:val="0"/>
                  <w:marTop w:val="0"/>
                  <w:marBottom w:val="0"/>
                  <w:divBdr>
                    <w:top w:val="none" w:sz="0" w:space="0" w:color="auto"/>
                    <w:left w:val="none" w:sz="0" w:space="0" w:color="auto"/>
                    <w:bottom w:val="none" w:sz="0" w:space="0" w:color="auto"/>
                    <w:right w:val="none" w:sz="0" w:space="0" w:color="auto"/>
                  </w:divBdr>
                  <w:divsChild>
                    <w:div w:id="468011266">
                      <w:marLeft w:val="0"/>
                      <w:marRight w:val="0"/>
                      <w:marTop w:val="0"/>
                      <w:marBottom w:val="0"/>
                      <w:divBdr>
                        <w:top w:val="none" w:sz="0" w:space="0" w:color="auto"/>
                        <w:left w:val="none" w:sz="0" w:space="0" w:color="auto"/>
                        <w:bottom w:val="none" w:sz="0" w:space="0" w:color="auto"/>
                        <w:right w:val="none" w:sz="0" w:space="0" w:color="auto"/>
                      </w:divBdr>
                    </w:div>
                  </w:divsChild>
                </w:div>
                <w:div w:id="427704153">
                  <w:marLeft w:val="0"/>
                  <w:marRight w:val="0"/>
                  <w:marTop w:val="0"/>
                  <w:marBottom w:val="0"/>
                  <w:divBdr>
                    <w:top w:val="none" w:sz="0" w:space="0" w:color="auto"/>
                    <w:left w:val="none" w:sz="0" w:space="0" w:color="auto"/>
                    <w:bottom w:val="none" w:sz="0" w:space="0" w:color="auto"/>
                    <w:right w:val="none" w:sz="0" w:space="0" w:color="auto"/>
                  </w:divBdr>
                  <w:divsChild>
                    <w:div w:id="231890754">
                      <w:marLeft w:val="0"/>
                      <w:marRight w:val="0"/>
                      <w:marTop w:val="0"/>
                      <w:marBottom w:val="0"/>
                      <w:divBdr>
                        <w:top w:val="none" w:sz="0" w:space="0" w:color="auto"/>
                        <w:left w:val="none" w:sz="0" w:space="0" w:color="auto"/>
                        <w:bottom w:val="none" w:sz="0" w:space="0" w:color="auto"/>
                        <w:right w:val="none" w:sz="0" w:space="0" w:color="auto"/>
                      </w:divBdr>
                    </w:div>
                  </w:divsChild>
                </w:div>
                <w:div w:id="738406357">
                  <w:marLeft w:val="0"/>
                  <w:marRight w:val="0"/>
                  <w:marTop w:val="0"/>
                  <w:marBottom w:val="0"/>
                  <w:divBdr>
                    <w:top w:val="none" w:sz="0" w:space="0" w:color="auto"/>
                    <w:left w:val="none" w:sz="0" w:space="0" w:color="auto"/>
                    <w:bottom w:val="none" w:sz="0" w:space="0" w:color="auto"/>
                    <w:right w:val="none" w:sz="0" w:space="0" w:color="auto"/>
                  </w:divBdr>
                  <w:divsChild>
                    <w:div w:id="1583560002">
                      <w:marLeft w:val="0"/>
                      <w:marRight w:val="0"/>
                      <w:marTop w:val="0"/>
                      <w:marBottom w:val="0"/>
                      <w:divBdr>
                        <w:top w:val="none" w:sz="0" w:space="0" w:color="auto"/>
                        <w:left w:val="none" w:sz="0" w:space="0" w:color="auto"/>
                        <w:bottom w:val="none" w:sz="0" w:space="0" w:color="auto"/>
                        <w:right w:val="none" w:sz="0" w:space="0" w:color="auto"/>
                      </w:divBdr>
                    </w:div>
                  </w:divsChild>
                </w:div>
                <w:div w:id="1718967738">
                  <w:marLeft w:val="0"/>
                  <w:marRight w:val="0"/>
                  <w:marTop w:val="0"/>
                  <w:marBottom w:val="0"/>
                  <w:divBdr>
                    <w:top w:val="none" w:sz="0" w:space="0" w:color="auto"/>
                    <w:left w:val="none" w:sz="0" w:space="0" w:color="auto"/>
                    <w:bottom w:val="none" w:sz="0" w:space="0" w:color="auto"/>
                    <w:right w:val="none" w:sz="0" w:space="0" w:color="auto"/>
                  </w:divBdr>
                  <w:divsChild>
                    <w:div w:id="2145417400">
                      <w:marLeft w:val="0"/>
                      <w:marRight w:val="0"/>
                      <w:marTop w:val="0"/>
                      <w:marBottom w:val="0"/>
                      <w:divBdr>
                        <w:top w:val="none" w:sz="0" w:space="0" w:color="auto"/>
                        <w:left w:val="none" w:sz="0" w:space="0" w:color="auto"/>
                        <w:bottom w:val="none" w:sz="0" w:space="0" w:color="auto"/>
                        <w:right w:val="none" w:sz="0" w:space="0" w:color="auto"/>
                      </w:divBdr>
                    </w:div>
                  </w:divsChild>
                </w:div>
                <w:div w:id="815756873">
                  <w:marLeft w:val="0"/>
                  <w:marRight w:val="0"/>
                  <w:marTop w:val="0"/>
                  <w:marBottom w:val="0"/>
                  <w:divBdr>
                    <w:top w:val="none" w:sz="0" w:space="0" w:color="auto"/>
                    <w:left w:val="none" w:sz="0" w:space="0" w:color="auto"/>
                    <w:bottom w:val="none" w:sz="0" w:space="0" w:color="auto"/>
                    <w:right w:val="none" w:sz="0" w:space="0" w:color="auto"/>
                  </w:divBdr>
                  <w:divsChild>
                    <w:div w:id="1603491667">
                      <w:marLeft w:val="0"/>
                      <w:marRight w:val="0"/>
                      <w:marTop w:val="0"/>
                      <w:marBottom w:val="0"/>
                      <w:divBdr>
                        <w:top w:val="none" w:sz="0" w:space="0" w:color="auto"/>
                        <w:left w:val="none" w:sz="0" w:space="0" w:color="auto"/>
                        <w:bottom w:val="none" w:sz="0" w:space="0" w:color="auto"/>
                        <w:right w:val="none" w:sz="0" w:space="0" w:color="auto"/>
                      </w:divBdr>
                    </w:div>
                  </w:divsChild>
                </w:div>
                <w:div w:id="1100644307">
                  <w:marLeft w:val="0"/>
                  <w:marRight w:val="0"/>
                  <w:marTop w:val="0"/>
                  <w:marBottom w:val="0"/>
                  <w:divBdr>
                    <w:top w:val="none" w:sz="0" w:space="0" w:color="auto"/>
                    <w:left w:val="none" w:sz="0" w:space="0" w:color="auto"/>
                    <w:bottom w:val="none" w:sz="0" w:space="0" w:color="auto"/>
                    <w:right w:val="none" w:sz="0" w:space="0" w:color="auto"/>
                  </w:divBdr>
                  <w:divsChild>
                    <w:div w:id="1901288356">
                      <w:marLeft w:val="0"/>
                      <w:marRight w:val="0"/>
                      <w:marTop w:val="0"/>
                      <w:marBottom w:val="0"/>
                      <w:divBdr>
                        <w:top w:val="none" w:sz="0" w:space="0" w:color="auto"/>
                        <w:left w:val="none" w:sz="0" w:space="0" w:color="auto"/>
                        <w:bottom w:val="none" w:sz="0" w:space="0" w:color="auto"/>
                        <w:right w:val="none" w:sz="0" w:space="0" w:color="auto"/>
                      </w:divBdr>
                    </w:div>
                  </w:divsChild>
                </w:div>
                <w:div w:id="1602835244">
                  <w:marLeft w:val="0"/>
                  <w:marRight w:val="0"/>
                  <w:marTop w:val="0"/>
                  <w:marBottom w:val="0"/>
                  <w:divBdr>
                    <w:top w:val="none" w:sz="0" w:space="0" w:color="auto"/>
                    <w:left w:val="none" w:sz="0" w:space="0" w:color="auto"/>
                    <w:bottom w:val="none" w:sz="0" w:space="0" w:color="auto"/>
                    <w:right w:val="none" w:sz="0" w:space="0" w:color="auto"/>
                  </w:divBdr>
                  <w:divsChild>
                    <w:div w:id="327028516">
                      <w:marLeft w:val="0"/>
                      <w:marRight w:val="0"/>
                      <w:marTop w:val="0"/>
                      <w:marBottom w:val="0"/>
                      <w:divBdr>
                        <w:top w:val="none" w:sz="0" w:space="0" w:color="auto"/>
                        <w:left w:val="none" w:sz="0" w:space="0" w:color="auto"/>
                        <w:bottom w:val="none" w:sz="0" w:space="0" w:color="auto"/>
                        <w:right w:val="none" w:sz="0" w:space="0" w:color="auto"/>
                      </w:divBdr>
                    </w:div>
                  </w:divsChild>
                </w:div>
                <w:div w:id="716979254">
                  <w:marLeft w:val="0"/>
                  <w:marRight w:val="0"/>
                  <w:marTop w:val="0"/>
                  <w:marBottom w:val="0"/>
                  <w:divBdr>
                    <w:top w:val="none" w:sz="0" w:space="0" w:color="auto"/>
                    <w:left w:val="none" w:sz="0" w:space="0" w:color="auto"/>
                    <w:bottom w:val="none" w:sz="0" w:space="0" w:color="auto"/>
                    <w:right w:val="none" w:sz="0" w:space="0" w:color="auto"/>
                  </w:divBdr>
                  <w:divsChild>
                    <w:div w:id="125779606">
                      <w:marLeft w:val="0"/>
                      <w:marRight w:val="0"/>
                      <w:marTop w:val="0"/>
                      <w:marBottom w:val="0"/>
                      <w:divBdr>
                        <w:top w:val="none" w:sz="0" w:space="0" w:color="auto"/>
                        <w:left w:val="none" w:sz="0" w:space="0" w:color="auto"/>
                        <w:bottom w:val="none" w:sz="0" w:space="0" w:color="auto"/>
                        <w:right w:val="none" w:sz="0" w:space="0" w:color="auto"/>
                      </w:divBdr>
                    </w:div>
                  </w:divsChild>
                </w:div>
                <w:div w:id="1983192143">
                  <w:marLeft w:val="0"/>
                  <w:marRight w:val="0"/>
                  <w:marTop w:val="0"/>
                  <w:marBottom w:val="0"/>
                  <w:divBdr>
                    <w:top w:val="none" w:sz="0" w:space="0" w:color="auto"/>
                    <w:left w:val="none" w:sz="0" w:space="0" w:color="auto"/>
                    <w:bottom w:val="none" w:sz="0" w:space="0" w:color="auto"/>
                    <w:right w:val="none" w:sz="0" w:space="0" w:color="auto"/>
                  </w:divBdr>
                  <w:divsChild>
                    <w:div w:id="9260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1119</Words>
  <Characters>6156</Characters>
  <Application>Microsoft Office Word</Application>
  <DocSecurity>0</DocSecurity>
  <Lines>51</Lines>
  <Paragraphs>14</Paragraphs>
  <ScaleCrop>false</ScaleCrop>
  <Company/>
  <LinksUpToDate>false</LinksUpToDate>
  <CharactersWithSpaces>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 PORTATIL</dc:creator>
  <cp:keywords/>
  <dc:description/>
  <cp:lastModifiedBy>CRAI PORTATIL</cp:lastModifiedBy>
  <cp:revision>1</cp:revision>
  <dcterms:created xsi:type="dcterms:W3CDTF">2026-09-07T19:38:00Z</dcterms:created>
  <dcterms:modified xsi:type="dcterms:W3CDTF">2026-09-07T19:50:00Z</dcterms:modified>
</cp:coreProperties>
</file>