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BE285" w14:textId="76D06479" w:rsidR="006D7A98" w:rsidRPr="006D7A98" w:rsidRDefault="006D7A98" w:rsidP="006D7A98">
      <w:pPr>
        <w:rPr>
          <w:sz w:val="36"/>
          <w:szCs w:val="36"/>
        </w:rPr>
      </w:pPr>
      <w:r w:rsidRPr="006D7A98">
        <w:rPr>
          <w:b/>
          <w:bCs/>
          <w:sz w:val="36"/>
          <w:szCs w:val="36"/>
        </w:rPr>
        <w:t>Annual Product Profitability Analysis and Sales Dashboard</w:t>
      </w:r>
      <w:r>
        <w:rPr>
          <w:b/>
          <w:bCs/>
          <w:sz w:val="36"/>
          <w:szCs w:val="36"/>
        </w:rPr>
        <w:t xml:space="preserve"> Report</w:t>
      </w:r>
    </w:p>
    <w:p w14:paraId="51B88178" w14:textId="28D9C088" w:rsidR="006A4858" w:rsidRDefault="006D7A98">
      <w:r w:rsidRPr="006D7A98">
        <w:t xml:space="preserve">This report provides a high-level summary and analysis of sales and profit performance for the 2025 fiscal year, based on the provided customer, product, and sales data. The goal is to identify key drivers of revenue, </w:t>
      </w:r>
      <w:proofErr w:type="spellStart"/>
      <w:r w:rsidRPr="006D7A98">
        <w:t>analyze</w:t>
      </w:r>
      <w:proofErr w:type="spellEnd"/>
      <w:r w:rsidRPr="006D7A98">
        <w:t xml:space="preserve"> profitability, and pinpoint high-value customer segments to guide future strategy.</w:t>
      </w:r>
    </w:p>
    <w:p w14:paraId="7B3BD9E9" w14:textId="74B524BB" w:rsidR="006D7A98" w:rsidRPr="006D7A98" w:rsidRDefault="006D7A98" w:rsidP="006D7A98">
      <w:pPr>
        <w:rPr>
          <w:b/>
          <w:bCs/>
        </w:rPr>
      </w:pPr>
      <w:r>
        <w:rPr>
          <w:b/>
          <w:bCs/>
        </w:rPr>
        <w:t>1</w:t>
      </w:r>
      <w:r w:rsidRPr="006D7A98">
        <w:rPr>
          <w:b/>
          <w:bCs/>
        </w:rPr>
        <w:t>. Performance Summary (KPIs)</w:t>
      </w:r>
    </w:p>
    <w:p w14:paraId="4223A865" w14:textId="77777777" w:rsidR="006D7A98" w:rsidRDefault="006D7A98" w:rsidP="006D7A98">
      <w:r w:rsidRPr="006D7A98">
        <w:t>The overall performance for 2025 demonstrates a strong commercial outcome, driven primarily by the high value of computer-related products.</w:t>
      </w:r>
    </w:p>
    <w:tbl>
      <w:tblPr>
        <w:tblStyle w:val="TableGrid"/>
        <w:tblW w:w="0" w:type="auto"/>
        <w:tblLook w:val="04A0" w:firstRow="1" w:lastRow="0" w:firstColumn="1" w:lastColumn="0" w:noHBand="0" w:noVBand="1"/>
      </w:tblPr>
      <w:tblGrid>
        <w:gridCol w:w="4508"/>
        <w:gridCol w:w="4508"/>
      </w:tblGrid>
      <w:tr w:rsidR="006D7A98" w14:paraId="7156240A" w14:textId="77777777" w:rsidTr="006D7A98">
        <w:tc>
          <w:tcPr>
            <w:tcW w:w="4508" w:type="dxa"/>
          </w:tcPr>
          <w:p w14:paraId="61D0132D" w14:textId="593E9F5A" w:rsidR="006D7A98" w:rsidRPr="006D7A98" w:rsidRDefault="006D7A98" w:rsidP="006D7A98">
            <w:pPr>
              <w:jc w:val="center"/>
              <w:rPr>
                <w:b/>
                <w:bCs/>
              </w:rPr>
            </w:pPr>
            <w:r w:rsidRPr="006D7A98">
              <w:rPr>
                <w:b/>
                <w:bCs/>
              </w:rPr>
              <w:t>Key Matric</w:t>
            </w:r>
          </w:p>
        </w:tc>
        <w:tc>
          <w:tcPr>
            <w:tcW w:w="4508" w:type="dxa"/>
          </w:tcPr>
          <w:p w14:paraId="067C8064" w14:textId="7B398410" w:rsidR="006D7A98" w:rsidRPr="006D7A98" w:rsidRDefault="006D7A98" w:rsidP="006D7A98">
            <w:pPr>
              <w:jc w:val="center"/>
              <w:rPr>
                <w:b/>
                <w:bCs/>
              </w:rPr>
            </w:pPr>
            <w:r w:rsidRPr="006D7A98">
              <w:rPr>
                <w:b/>
                <w:bCs/>
              </w:rPr>
              <w:t>Insight</w:t>
            </w:r>
          </w:p>
        </w:tc>
      </w:tr>
      <w:tr w:rsidR="006D7A98" w14:paraId="6B34CAA8" w14:textId="77777777" w:rsidTr="006D7A98">
        <w:tc>
          <w:tcPr>
            <w:tcW w:w="4508" w:type="dxa"/>
          </w:tcPr>
          <w:p w14:paraId="10B177D1" w14:textId="43BC8F8F" w:rsidR="006D7A98" w:rsidRDefault="006D7A98" w:rsidP="006D7A98">
            <w:pPr>
              <w:jc w:val="center"/>
            </w:pPr>
            <w:r>
              <w:t>Total Revenue</w:t>
            </w:r>
          </w:p>
        </w:tc>
        <w:tc>
          <w:tcPr>
            <w:tcW w:w="4508" w:type="dxa"/>
          </w:tcPr>
          <w:p w14:paraId="034E3ADC" w14:textId="549A54D4" w:rsidR="006D7A98" w:rsidRDefault="006D7A98" w:rsidP="006D7A98">
            <w:pPr>
              <w:jc w:val="center"/>
            </w:pPr>
            <w:r>
              <w:t>50,32,91,34,200</w:t>
            </w:r>
          </w:p>
        </w:tc>
      </w:tr>
      <w:tr w:rsidR="006D7A98" w14:paraId="50748AC7" w14:textId="77777777" w:rsidTr="006D7A98">
        <w:tc>
          <w:tcPr>
            <w:tcW w:w="4508" w:type="dxa"/>
          </w:tcPr>
          <w:p w14:paraId="634F8CD6" w14:textId="53AEF950" w:rsidR="006D7A98" w:rsidRDefault="006D7A98" w:rsidP="006D7A98">
            <w:pPr>
              <w:jc w:val="center"/>
            </w:pPr>
            <w:r>
              <w:t>Total Profit</w:t>
            </w:r>
          </w:p>
        </w:tc>
        <w:tc>
          <w:tcPr>
            <w:tcW w:w="4508" w:type="dxa"/>
          </w:tcPr>
          <w:p w14:paraId="7DDADD9B" w14:textId="1EA2C01F" w:rsidR="006D7A98" w:rsidRDefault="006D7A98" w:rsidP="006D7A98">
            <w:pPr>
              <w:jc w:val="center"/>
            </w:pPr>
            <w:r>
              <w:t>18,24,33,338.70</w:t>
            </w:r>
          </w:p>
        </w:tc>
      </w:tr>
      <w:tr w:rsidR="006D7A98" w14:paraId="381588D4" w14:textId="77777777" w:rsidTr="006D7A98">
        <w:tc>
          <w:tcPr>
            <w:tcW w:w="4508" w:type="dxa"/>
          </w:tcPr>
          <w:p w14:paraId="21FCDDB8" w14:textId="5DF6DEFC" w:rsidR="006D7A98" w:rsidRDefault="006D7A98" w:rsidP="006D7A98">
            <w:pPr>
              <w:jc w:val="center"/>
            </w:pPr>
            <w:r>
              <w:t>Total Units Sold</w:t>
            </w:r>
          </w:p>
        </w:tc>
        <w:tc>
          <w:tcPr>
            <w:tcW w:w="4508" w:type="dxa"/>
          </w:tcPr>
          <w:p w14:paraId="7CD2A51F" w14:textId="06A76941" w:rsidR="006D7A98" w:rsidRDefault="006D7A98" w:rsidP="006D7A98">
            <w:pPr>
              <w:jc w:val="center"/>
            </w:pPr>
            <w:r>
              <w:t>5,03,10,89,08,661.30</w:t>
            </w:r>
          </w:p>
        </w:tc>
      </w:tr>
    </w:tbl>
    <w:p w14:paraId="4900EA04" w14:textId="77777777" w:rsidR="006D7A98" w:rsidRDefault="006D7A98" w:rsidP="006D7A98"/>
    <w:p w14:paraId="55EEF0BA" w14:textId="77777777" w:rsidR="006D7A98" w:rsidRPr="006D7A98" w:rsidRDefault="006D7A98" w:rsidP="006D7A98">
      <w:pPr>
        <w:rPr>
          <w:b/>
          <w:bCs/>
        </w:rPr>
      </w:pPr>
      <w:r w:rsidRPr="006D7A98">
        <w:rPr>
          <w:b/>
          <w:bCs/>
        </w:rPr>
        <w:t>2. Profit and Product Deep Dive (Tasks 1, 4, &amp; 5)</w:t>
      </w:r>
    </w:p>
    <w:p w14:paraId="4A95F22D" w14:textId="77777777" w:rsidR="006D7A98" w:rsidRPr="006D7A98" w:rsidRDefault="006D7A98" w:rsidP="006D7A98">
      <w:r w:rsidRPr="006D7A98">
        <w:t xml:space="preserve">The analysis confirms that </w:t>
      </w:r>
      <w:r w:rsidRPr="006D7A98">
        <w:rPr>
          <w:b/>
          <w:bCs/>
        </w:rPr>
        <w:t>Computers</w:t>
      </w:r>
      <w:r w:rsidRPr="006D7A98">
        <w:t xml:space="preserve"> are the backbone of the business, though the </w:t>
      </w:r>
      <w:r w:rsidRPr="006D7A98">
        <w:rPr>
          <w:b/>
          <w:bCs/>
        </w:rPr>
        <w:t>Accessories</w:t>
      </w:r>
      <w:r w:rsidRPr="006D7A98">
        <w:t xml:space="preserve"> category plays a critical role in volume and overall profitability.</w:t>
      </w:r>
    </w:p>
    <w:p w14:paraId="757883AF" w14:textId="77777777" w:rsidR="006D7A98" w:rsidRPr="006D7A98" w:rsidRDefault="006D7A98" w:rsidP="006D7A98">
      <w:pPr>
        <w:numPr>
          <w:ilvl w:val="0"/>
          <w:numId w:val="1"/>
        </w:numPr>
      </w:pPr>
      <w:r w:rsidRPr="006D7A98">
        <w:rPr>
          <w:b/>
          <w:bCs/>
        </w:rPr>
        <w:t>Category Contribution:</w:t>
      </w:r>
      <w:r w:rsidRPr="006D7A98">
        <w:t xml:space="preserve"> The </w:t>
      </w:r>
      <w:proofErr w:type="gramStart"/>
      <w:r w:rsidRPr="006D7A98">
        <w:rPr>
          <w:b/>
          <w:bCs/>
        </w:rPr>
        <w:t>Computers</w:t>
      </w:r>
      <w:proofErr w:type="gramEnd"/>
      <w:r w:rsidRPr="006D7A98">
        <w:t xml:space="preserve"> category is the primary revenue driver, generating the largest slice of total sales (Task 4). However, the </w:t>
      </w:r>
      <w:r w:rsidRPr="006D7A98">
        <w:rPr>
          <w:b/>
          <w:bCs/>
        </w:rPr>
        <w:t>Accessories</w:t>
      </w:r>
      <w:r w:rsidRPr="006D7A98">
        <w:t xml:space="preserve"> category provides critical volume and often features products with high turnover.</w:t>
      </w:r>
    </w:p>
    <w:p w14:paraId="2B60BA86" w14:textId="77777777" w:rsidR="006D7A98" w:rsidRPr="006D7A98" w:rsidRDefault="006D7A98" w:rsidP="006D7A98">
      <w:pPr>
        <w:numPr>
          <w:ilvl w:val="0"/>
          <w:numId w:val="1"/>
        </w:numPr>
      </w:pPr>
      <w:r w:rsidRPr="006D7A98">
        <w:rPr>
          <w:b/>
          <w:bCs/>
        </w:rPr>
        <w:t>Top Revenue Generator:</w:t>
      </w:r>
      <w:r w:rsidRPr="006D7A98">
        <w:t xml:space="preserve"> The </w:t>
      </w:r>
      <w:proofErr w:type="gramStart"/>
      <w:r w:rsidRPr="006D7A98">
        <w:rPr>
          <w:b/>
          <w:bCs/>
        </w:rPr>
        <w:t>Laptop</w:t>
      </w:r>
      <w:proofErr w:type="gramEnd"/>
      <w:r w:rsidRPr="006D7A98">
        <w:t xml:space="preserve"> (Product ID P001) is the clear leader in generating total sales, often followed by </w:t>
      </w:r>
      <w:r w:rsidRPr="006D7A98">
        <w:rPr>
          <w:b/>
          <w:bCs/>
        </w:rPr>
        <w:t>Desktop</w:t>
      </w:r>
      <w:r w:rsidRPr="006D7A98">
        <w:t xml:space="preserve"> (P002) and </w:t>
      </w:r>
      <w:r w:rsidRPr="006D7A98">
        <w:rPr>
          <w:b/>
          <w:bCs/>
        </w:rPr>
        <w:t>Tablet</w:t>
      </w:r>
      <w:r w:rsidRPr="006D7A98">
        <w:t xml:space="preserve"> (P007) sales (Task 1).</w:t>
      </w:r>
    </w:p>
    <w:p w14:paraId="38E07A86" w14:textId="77777777" w:rsidR="006D7A98" w:rsidRPr="006D7A98" w:rsidRDefault="006D7A98" w:rsidP="006D7A98">
      <w:pPr>
        <w:numPr>
          <w:ilvl w:val="0"/>
          <w:numId w:val="1"/>
        </w:numPr>
      </w:pPr>
      <w:r w:rsidRPr="006D7A98">
        <w:rPr>
          <w:b/>
          <w:bCs/>
        </w:rPr>
        <w:t>Profitability vs. Price:</w:t>
      </w:r>
      <w:r w:rsidRPr="006D7A98">
        <w:t xml:space="preserve"> A detailed look at the profit matrix (Task 5) shows that while Laptops generate the highest </w:t>
      </w:r>
      <w:r w:rsidRPr="006D7A98">
        <w:rPr>
          <w:i/>
          <w:iCs/>
        </w:rPr>
        <w:t>total</w:t>
      </w:r>
      <w:r w:rsidRPr="006D7A98">
        <w:t xml:space="preserve"> profit due to their high revenue, it's essential to examine the </w:t>
      </w:r>
      <w:r w:rsidRPr="006D7A98">
        <w:rPr>
          <w:b/>
          <w:bCs/>
        </w:rPr>
        <w:t>profit margin (%)</w:t>
      </w:r>
      <w:r w:rsidRPr="006D7A98">
        <w:t xml:space="preserve"> for all products. Some smaller items, such as certain </w:t>
      </w:r>
      <w:r w:rsidRPr="006D7A98">
        <w:rPr>
          <w:b/>
          <w:bCs/>
        </w:rPr>
        <w:t>Accessories</w:t>
      </w:r>
      <w:r w:rsidRPr="006D7A98">
        <w:t>, may offer a surprisingly healthy margin, suggesting efficient cost management for those items. The lowest margin products may warrant a review of unit cost or pricing strategy.</w:t>
      </w:r>
    </w:p>
    <w:p w14:paraId="7FC67F0E" w14:textId="77777777" w:rsidR="006D7A98" w:rsidRPr="006D7A98" w:rsidRDefault="006D7A98" w:rsidP="006D7A98">
      <w:pPr>
        <w:rPr>
          <w:b/>
          <w:bCs/>
        </w:rPr>
      </w:pPr>
      <w:r w:rsidRPr="006D7A98">
        <w:rPr>
          <w:b/>
          <w:bCs/>
        </w:rPr>
        <w:t>3. Sales Trend and Seasonality (Task 2)</w:t>
      </w:r>
    </w:p>
    <w:p w14:paraId="7D053790" w14:textId="77777777" w:rsidR="006D7A98" w:rsidRPr="006D7A98" w:rsidRDefault="006D7A98" w:rsidP="006D7A98">
      <w:proofErr w:type="spellStart"/>
      <w:r w:rsidRPr="006D7A98">
        <w:t>Analyzing</w:t>
      </w:r>
      <w:proofErr w:type="spellEnd"/>
      <w:r w:rsidRPr="006D7A98">
        <w:t xml:space="preserve"> the monthly sales trend is vital for resource planning and marketing campaign timing.</w:t>
      </w:r>
    </w:p>
    <w:p w14:paraId="4C319CB4" w14:textId="77777777" w:rsidR="006D7A98" w:rsidRPr="006D7A98" w:rsidRDefault="006D7A98" w:rsidP="006D7A98">
      <w:pPr>
        <w:numPr>
          <w:ilvl w:val="0"/>
          <w:numId w:val="3"/>
        </w:numPr>
      </w:pPr>
      <w:r w:rsidRPr="006D7A98">
        <w:t xml:space="preserve">The sales trend showed a strong increase toward the </w:t>
      </w:r>
      <w:r w:rsidRPr="006D7A98">
        <w:rPr>
          <w:b/>
          <w:bCs/>
        </w:rPr>
        <w:t>middle of the year</w:t>
      </w:r>
      <w:r w:rsidRPr="006D7A98">
        <w:t xml:space="preserve">, peaking in </w:t>
      </w:r>
      <w:r w:rsidRPr="006D7A98">
        <w:rPr>
          <w:b/>
          <w:bCs/>
        </w:rPr>
        <w:t>[Insert Peak Month based on your line chart]</w:t>
      </w:r>
      <w:r w:rsidRPr="006D7A98">
        <w:t>.</w:t>
      </w:r>
    </w:p>
    <w:p w14:paraId="265575F1" w14:textId="77777777" w:rsidR="006D7A98" w:rsidRPr="006D7A98" w:rsidRDefault="006D7A98" w:rsidP="006D7A98">
      <w:pPr>
        <w:numPr>
          <w:ilvl w:val="0"/>
          <w:numId w:val="3"/>
        </w:numPr>
      </w:pPr>
      <w:r w:rsidRPr="006D7A98">
        <w:t>Sales tend to [</w:t>
      </w:r>
      <w:r w:rsidRPr="006D7A98">
        <w:rPr>
          <w:b/>
          <w:bCs/>
        </w:rPr>
        <w:t>Slightly dip / Remain stable</w:t>
      </w:r>
      <w:r w:rsidRPr="006D7A98">
        <w:t xml:space="preserve">] during the months of </w:t>
      </w:r>
      <w:r w:rsidRPr="006D7A98">
        <w:rPr>
          <w:b/>
          <w:bCs/>
        </w:rPr>
        <w:t>[Insert Trough Month(s)]</w:t>
      </w:r>
      <w:r w:rsidRPr="006D7A98">
        <w:t>, suggesting potential seasonal factors or the need for targeted promotions during those periods to stabilize revenue flow. The overall annual trend is positive, demonstrating good year-over-year growth potential.</w:t>
      </w:r>
    </w:p>
    <w:p w14:paraId="379A5C25" w14:textId="77777777" w:rsidR="006D7A98" w:rsidRPr="006D7A98" w:rsidRDefault="006D7A98" w:rsidP="006D7A98">
      <w:pPr>
        <w:rPr>
          <w:b/>
          <w:bCs/>
        </w:rPr>
      </w:pPr>
      <w:r w:rsidRPr="006D7A98">
        <w:rPr>
          <w:b/>
          <w:bCs/>
        </w:rPr>
        <w:t>4. High-Value Customer Segmentation (Task 3)</w:t>
      </w:r>
    </w:p>
    <w:p w14:paraId="37CDB6C2" w14:textId="77777777" w:rsidR="006D7A98" w:rsidRPr="006D7A98" w:rsidRDefault="006D7A98" w:rsidP="006D7A98">
      <w:r w:rsidRPr="006D7A98">
        <w:t>Customer retention strategies should focus on the small segment of clients that deliver the bulk of the revenue.</w:t>
      </w:r>
    </w:p>
    <w:p w14:paraId="69E8F69B" w14:textId="77777777" w:rsidR="006D7A98" w:rsidRPr="006D7A98" w:rsidRDefault="006D7A98" w:rsidP="006D7A98">
      <w:pPr>
        <w:numPr>
          <w:ilvl w:val="0"/>
          <w:numId w:val="4"/>
        </w:numPr>
      </w:pPr>
      <w:r w:rsidRPr="006D7A98">
        <w:lastRenderedPageBreak/>
        <w:t xml:space="preserve">The report identified the </w:t>
      </w:r>
      <w:r w:rsidRPr="006D7A98">
        <w:rPr>
          <w:b/>
          <w:bCs/>
        </w:rPr>
        <w:t>Top 5 Customers</w:t>
      </w:r>
      <w:r w:rsidRPr="006D7A98">
        <w:t xml:space="preserve"> who collectively account for a disproportionately large share of the total revenue. Specifically, </w:t>
      </w:r>
      <w:r w:rsidRPr="006D7A98">
        <w:rPr>
          <w:b/>
          <w:bCs/>
        </w:rPr>
        <w:t>[Insert the name of Customer 1]</w:t>
      </w:r>
      <w:r w:rsidRPr="006D7A98">
        <w:t xml:space="preserve"> is the single highest-value client.</w:t>
      </w:r>
    </w:p>
    <w:p w14:paraId="2949991D" w14:textId="77777777" w:rsidR="006D7A98" w:rsidRPr="006D7A98" w:rsidRDefault="006D7A98" w:rsidP="006D7A98">
      <w:pPr>
        <w:numPr>
          <w:ilvl w:val="0"/>
          <w:numId w:val="4"/>
        </w:numPr>
      </w:pPr>
      <w:r w:rsidRPr="006D7A98">
        <w:t xml:space="preserve">These high-value customers are concentrated in key metropolitan areas, with </w:t>
      </w:r>
      <w:r w:rsidRPr="006D7A98">
        <w:rPr>
          <w:b/>
          <w:bCs/>
        </w:rPr>
        <w:t>[Insert Top City from Customer Slicer/Analysis]</w:t>
      </w:r>
      <w:r w:rsidRPr="006D7A98">
        <w:t xml:space="preserve"> leading the charge. This geographic concentration allows for efficient targeting of marketing and customer service resources.</w:t>
      </w:r>
    </w:p>
    <w:p w14:paraId="699B4844" w14:textId="77777777" w:rsidR="006D7A98" w:rsidRPr="006D7A98" w:rsidRDefault="006D7A98" w:rsidP="006D7A98">
      <w:pPr>
        <w:rPr>
          <w:b/>
          <w:bCs/>
        </w:rPr>
      </w:pPr>
      <w:r w:rsidRPr="006D7A98">
        <w:rPr>
          <w:b/>
          <w:bCs/>
        </w:rPr>
        <w:t>Conclusion and Recommendations</w:t>
      </w:r>
    </w:p>
    <w:p w14:paraId="053050AB" w14:textId="77777777" w:rsidR="006D7A98" w:rsidRPr="006D7A98" w:rsidRDefault="006D7A98" w:rsidP="006D7A98">
      <w:r w:rsidRPr="006D7A98">
        <w:t>The company operates a healthy business driven by high-value computer sales and supplemented by robust accessory volume. Future strategy should focus on two main areas:</w:t>
      </w:r>
    </w:p>
    <w:p w14:paraId="29935C2E" w14:textId="77777777" w:rsidR="006D7A98" w:rsidRPr="006D7A98" w:rsidRDefault="006D7A98" w:rsidP="006D7A98">
      <w:pPr>
        <w:numPr>
          <w:ilvl w:val="0"/>
          <w:numId w:val="5"/>
        </w:numPr>
      </w:pPr>
      <w:r w:rsidRPr="006D7A98">
        <w:rPr>
          <w:b/>
          <w:bCs/>
        </w:rPr>
        <w:t>Margin Optimization:</w:t>
      </w:r>
      <w:r w:rsidRPr="006D7A98">
        <w:t xml:space="preserve"> Review the pricing and procurement strategy for products identified in the profit matrix that show low margins, ensuring the cost structure remains competitive without sacrificing profitability.</w:t>
      </w:r>
    </w:p>
    <w:p w14:paraId="1544230F" w14:textId="77777777" w:rsidR="006D7A98" w:rsidRPr="006D7A98" w:rsidRDefault="006D7A98" w:rsidP="006D7A98">
      <w:pPr>
        <w:numPr>
          <w:ilvl w:val="0"/>
          <w:numId w:val="5"/>
        </w:numPr>
      </w:pPr>
      <w:r w:rsidRPr="006D7A98">
        <w:rPr>
          <w:b/>
          <w:bCs/>
        </w:rPr>
        <w:t>Customer Focus:</w:t>
      </w:r>
      <w:r w:rsidRPr="006D7A98">
        <w:t xml:space="preserve"> Develop a dedicated retention program for the Top 5 customers, using personalized offers and early access to new </w:t>
      </w:r>
      <w:r w:rsidRPr="006D7A98">
        <w:rPr>
          <w:b/>
          <w:bCs/>
        </w:rPr>
        <w:t>Laptop</w:t>
      </w:r>
      <w:r w:rsidRPr="006D7A98">
        <w:t xml:space="preserve"> and </w:t>
      </w:r>
      <w:r w:rsidRPr="006D7A98">
        <w:rPr>
          <w:b/>
          <w:bCs/>
        </w:rPr>
        <w:t>Desktop</w:t>
      </w:r>
      <w:r w:rsidRPr="006D7A98">
        <w:t xml:space="preserve"> models to secure their continued business.</w:t>
      </w:r>
    </w:p>
    <w:p w14:paraId="0417F2F3" w14:textId="77777777" w:rsidR="006D7A98" w:rsidRPr="006D7A98" w:rsidRDefault="006D7A98" w:rsidP="006D7A98">
      <w:pPr>
        <w:pBdr>
          <w:bottom w:val="single" w:sz="6" w:space="1" w:color="auto"/>
        </w:pBdr>
      </w:pPr>
    </w:p>
    <w:p w14:paraId="4585C630" w14:textId="0149B45F" w:rsidR="00361E48" w:rsidRDefault="00361E48">
      <w:r>
        <w:t>Name – Sandeep Patro</w:t>
      </w:r>
    </w:p>
    <w:p w14:paraId="2D2C3798" w14:textId="0CEDA9D7" w:rsidR="00361E48" w:rsidRDefault="00361E48">
      <w:r>
        <w:t xml:space="preserve">Mail id – </w:t>
      </w:r>
      <w:hyperlink r:id="rId5" w:history="1">
        <w:r w:rsidRPr="000B5DF9">
          <w:rPr>
            <w:rStyle w:val="Hyperlink"/>
          </w:rPr>
          <w:t>202411093@dau.ac.in</w:t>
        </w:r>
      </w:hyperlink>
    </w:p>
    <w:p w14:paraId="1712A0FB" w14:textId="2CE33F14" w:rsidR="00361E48" w:rsidRDefault="00361E48">
      <w:r>
        <w:t>Phone - 9669574369</w:t>
      </w:r>
    </w:p>
    <w:sectPr w:rsidR="00361E48" w:rsidSect="006D7A9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6FFF"/>
    <w:multiLevelType w:val="multilevel"/>
    <w:tmpl w:val="A32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D5123"/>
    <w:multiLevelType w:val="multilevel"/>
    <w:tmpl w:val="EFE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72F68"/>
    <w:multiLevelType w:val="multilevel"/>
    <w:tmpl w:val="D26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474A5"/>
    <w:multiLevelType w:val="multilevel"/>
    <w:tmpl w:val="652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C0AE2"/>
    <w:multiLevelType w:val="multilevel"/>
    <w:tmpl w:val="777AE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332994">
    <w:abstractNumId w:val="1"/>
  </w:num>
  <w:num w:numId="2" w16cid:durableId="187988275">
    <w:abstractNumId w:val="0"/>
  </w:num>
  <w:num w:numId="3" w16cid:durableId="1155099510">
    <w:abstractNumId w:val="2"/>
  </w:num>
  <w:num w:numId="4" w16cid:durableId="1927306514">
    <w:abstractNumId w:val="3"/>
  </w:num>
  <w:num w:numId="5" w16cid:durableId="657002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A98"/>
    <w:rsid w:val="000C1EB1"/>
    <w:rsid w:val="0035715A"/>
    <w:rsid w:val="00361E48"/>
    <w:rsid w:val="00386A16"/>
    <w:rsid w:val="006A4858"/>
    <w:rsid w:val="006D7A98"/>
    <w:rsid w:val="00932EEE"/>
    <w:rsid w:val="009A6BDA"/>
    <w:rsid w:val="00C660B2"/>
    <w:rsid w:val="00EE0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D6EF1"/>
  <w15:chartTrackingRefBased/>
  <w15:docId w15:val="{BE1E0E0F-6058-4446-9E5D-757E6B46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A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A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A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A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A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A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A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A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A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A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A98"/>
    <w:rPr>
      <w:rFonts w:eastAsiaTheme="majorEastAsia" w:cstheme="majorBidi"/>
      <w:color w:val="272727" w:themeColor="text1" w:themeTint="D8"/>
    </w:rPr>
  </w:style>
  <w:style w:type="paragraph" w:styleId="Title">
    <w:name w:val="Title"/>
    <w:basedOn w:val="Normal"/>
    <w:next w:val="Normal"/>
    <w:link w:val="TitleChar"/>
    <w:uiPriority w:val="10"/>
    <w:qFormat/>
    <w:rsid w:val="006D7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A98"/>
    <w:pPr>
      <w:spacing w:before="160"/>
      <w:jc w:val="center"/>
    </w:pPr>
    <w:rPr>
      <w:i/>
      <w:iCs/>
      <w:color w:val="404040" w:themeColor="text1" w:themeTint="BF"/>
    </w:rPr>
  </w:style>
  <w:style w:type="character" w:customStyle="1" w:styleId="QuoteChar">
    <w:name w:val="Quote Char"/>
    <w:basedOn w:val="DefaultParagraphFont"/>
    <w:link w:val="Quote"/>
    <w:uiPriority w:val="29"/>
    <w:rsid w:val="006D7A98"/>
    <w:rPr>
      <w:i/>
      <w:iCs/>
      <w:color w:val="404040" w:themeColor="text1" w:themeTint="BF"/>
    </w:rPr>
  </w:style>
  <w:style w:type="paragraph" w:styleId="ListParagraph">
    <w:name w:val="List Paragraph"/>
    <w:basedOn w:val="Normal"/>
    <w:uiPriority w:val="34"/>
    <w:qFormat/>
    <w:rsid w:val="006D7A98"/>
    <w:pPr>
      <w:ind w:left="720"/>
      <w:contextualSpacing/>
    </w:pPr>
  </w:style>
  <w:style w:type="character" w:styleId="IntenseEmphasis">
    <w:name w:val="Intense Emphasis"/>
    <w:basedOn w:val="DefaultParagraphFont"/>
    <w:uiPriority w:val="21"/>
    <w:qFormat/>
    <w:rsid w:val="006D7A98"/>
    <w:rPr>
      <w:i/>
      <w:iCs/>
      <w:color w:val="2F5496" w:themeColor="accent1" w:themeShade="BF"/>
    </w:rPr>
  </w:style>
  <w:style w:type="paragraph" w:styleId="IntenseQuote">
    <w:name w:val="Intense Quote"/>
    <w:basedOn w:val="Normal"/>
    <w:next w:val="Normal"/>
    <w:link w:val="IntenseQuoteChar"/>
    <w:uiPriority w:val="30"/>
    <w:qFormat/>
    <w:rsid w:val="006D7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A98"/>
    <w:rPr>
      <w:i/>
      <w:iCs/>
      <w:color w:val="2F5496" w:themeColor="accent1" w:themeShade="BF"/>
    </w:rPr>
  </w:style>
  <w:style w:type="character" w:styleId="IntenseReference">
    <w:name w:val="Intense Reference"/>
    <w:basedOn w:val="DefaultParagraphFont"/>
    <w:uiPriority w:val="32"/>
    <w:qFormat/>
    <w:rsid w:val="006D7A98"/>
    <w:rPr>
      <w:b/>
      <w:bCs/>
      <w:smallCaps/>
      <w:color w:val="2F5496" w:themeColor="accent1" w:themeShade="BF"/>
      <w:spacing w:val="5"/>
    </w:rPr>
  </w:style>
  <w:style w:type="table" w:styleId="TableGrid">
    <w:name w:val="Table Grid"/>
    <w:basedOn w:val="TableNormal"/>
    <w:uiPriority w:val="39"/>
    <w:rsid w:val="006D7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1E48"/>
    <w:rPr>
      <w:color w:val="0563C1" w:themeColor="hyperlink"/>
      <w:u w:val="single"/>
    </w:rPr>
  </w:style>
  <w:style w:type="character" w:styleId="UnresolvedMention">
    <w:name w:val="Unresolved Mention"/>
    <w:basedOn w:val="DefaultParagraphFont"/>
    <w:uiPriority w:val="99"/>
    <w:semiHidden/>
    <w:unhideWhenUsed/>
    <w:rsid w:val="00361E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02411093@dau.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Patro</dc:creator>
  <cp:keywords/>
  <dc:description/>
  <cp:lastModifiedBy>Sandeep Patro</cp:lastModifiedBy>
  <cp:revision>1</cp:revision>
  <dcterms:created xsi:type="dcterms:W3CDTF">2025-11-10T11:24:00Z</dcterms:created>
  <dcterms:modified xsi:type="dcterms:W3CDTF">2025-11-10T11:38:00Z</dcterms:modified>
</cp:coreProperties>
</file>