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DEF0" w14:textId="5F1EEED4" w:rsidR="00897B9B" w:rsidRDefault="00025C0B">
      <w:pPr>
        <w:pStyle w:val="Title"/>
      </w:pPr>
      <w:r>
        <w:t>ShopNest (NexusGoods) E‑Commerce Dashboard —</w:t>
      </w:r>
      <w:r>
        <w:t>Analytical Report</w:t>
      </w:r>
    </w:p>
    <w:p w14:paraId="39BF7621" w14:textId="77777777" w:rsidR="00897B9B" w:rsidRDefault="00025C0B">
      <w:pPr>
        <w:pStyle w:val="Heading1"/>
      </w:pPr>
      <w:r>
        <w:t>1. Introduction</w:t>
      </w:r>
    </w:p>
    <w:p w14:paraId="01239AC5" w14:textId="241C064B" w:rsidR="00897B9B" w:rsidRDefault="00025C0B">
      <w:r>
        <w:t xml:space="preserve">This report presents a comprehensive business intelligence analysis of the Nexus </w:t>
      </w:r>
      <w:r>
        <w:t xml:space="preserve">Goods e‑commerce dataset </w:t>
      </w:r>
      <w:r>
        <w:t xml:space="preserve">developed using Power BI. The objective was to design a single‑sheet interactive dashboard delivering insights </w:t>
      </w:r>
      <w:r>
        <w:t>across sales performance, delivery efficiency, customer behavior, product satisfaction, and seasonal trends.</w:t>
      </w:r>
    </w:p>
    <w:p w14:paraId="4DF535AE" w14:textId="77777777" w:rsidR="00897B9B" w:rsidRDefault="00025C0B">
      <w:pPr>
        <w:pStyle w:val="Heading1"/>
      </w:pPr>
      <w:r>
        <w:t>2. Data Model Overview</w:t>
      </w:r>
    </w:p>
    <w:p w14:paraId="5319444E" w14:textId="77777777" w:rsidR="00897B9B" w:rsidRDefault="00025C0B">
      <w:r>
        <w:t>A star schema model was implemented.</w:t>
      </w:r>
      <w:r>
        <w:br/>
      </w:r>
      <w:r>
        <w:br/>
        <w:t>Fact Tables:</w:t>
      </w:r>
      <w:r>
        <w:br/>
        <w:t>• Orders</w:t>
      </w:r>
      <w:r>
        <w:br/>
        <w:t>• Order Items</w:t>
      </w:r>
      <w:r>
        <w:br/>
        <w:t>• Order Payments</w:t>
      </w:r>
      <w:r>
        <w:br/>
        <w:t>• Order Reviews</w:t>
      </w:r>
      <w:r>
        <w:br/>
      </w:r>
      <w:r>
        <w:br/>
        <w:t>Dimension Tables:</w:t>
      </w:r>
      <w:r>
        <w:br/>
        <w:t>• Customers</w:t>
      </w:r>
      <w:r>
        <w:br/>
        <w:t>• Products</w:t>
      </w:r>
      <w:r>
        <w:br/>
        <w:t>• Sellers</w:t>
      </w:r>
      <w:r>
        <w:br/>
        <w:t>• Category Translation</w:t>
      </w:r>
      <w:r>
        <w:br/>
        <w:t>• Date Table</w:t>
      </w:r>
      <w:r>
        <w:br/>
      </w:r>
      <w:r>
        <w:br/>
        <w:t>Revenue was calculated at the order‑item level including freight charges.</w:t>
      </w:r>
    </w:p>
    <w:p w14:paraId="0B5E3F74" w14:textId="77777777" w:rsidR="00897B9B" w:rsidRDefault="00025C0B">
      <w:pPr>
        <w:pStyle w:val="Heading1"/>
      </w:pPr>
      <w:r>
        <w:t>3. KPI Summary</w:t>
      </w:r>
    </w:p>
    <w:p w14:paraId="64768AC1" w14:textId="785E796B" w:rsidR="001739C3" w:rsidRDefault="00025C0B" w:rsidP="001739C3">
      <w:r>
        <w:t>Key performance indicators were placed in the top banner of the dashboard to provide an executive snapshot.</w:t>
      </w:r>
      <w:r>
        <w:br/>
      </w:r>
      <w:r>
        <w:br/>
        <w:t>KPIs Included:</w:t>
      </w:r>
      <w:r>
        <w:br/>
      </w:r>
      <w:r>
        <w:br/>
        <w:t>• Total Revenue — Sum of product price and freight value</w:t>
      </w:r>
      <w:r>
        <w:br/>
        <w:t>• Delayed Orders — Orders delivered after estimated date</w:t>
      </w:r>
      <w:r>
        <w:br/>
        <w:t>• Average Rating — Mean customer review score</w:t>
      </w:r>
      <w:r>
        <w:br/>
      </w:r>
      <w:r>
        <w:br/>
        <w:t>These KPIs enable rapid evaluation of business performance, operational efficiency, and customer satisfaction.</w:t>
      </w:r>
    </w:p>
    <w:p w14:paraId="741F21DA" w14:textId="77777777" w:rsidR="00C509C4" w:rsidRDefault="00C509C4">
      <w:pPr>
        <w:pStyle w:val="Heading1"/>
        <w:rPr>
          <w:noProof/>
        </w:rPr>
      </w:pPr>
    </w:p>
    <w:p w14:paraId="0870833B" w14:textId="15C65106" w:rsidR="001739C3" w:rsidRDefault="00C278F2">
      <w:pPr>
        <w:pStyle w:val="Heading1"/>
      </w:pPr>
      <w:r w:rsidRPr="00C278F2">
        <w:drawing>
          <wp:inline distT="0" distB="0" distL="0" distR="0" wp14:anchorId="5723C9B4" wp14:editId="21C3486B">
            <wp:extent cx="2556510" cy="1392315"/>
            <wp:effectExtent l="19050" t="19050" r="15240" b="17780"/>
            <wp:docPr id="155366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5691" name=""/>
                    <pic:cNvPicPr/>
                  </pic:nvPicPr>
                  <pic:blipFill rotWithShape="1">
                    <a:blip r:embed="rId6"/>
                    <a:srcRect l="3578" t="4776" r="5015" b="3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172" cy="1395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7210" w:rsidRPr="00687210">
        <w:rPr>
          <w:noProof/>
        </w:rPr>
        <w:t xml:space="preserve"> </w:t>
      </w:r>
    </w:p>
    <w:p w14:paraId="5E237B1F" w14:textId="65583A6C" w:rsidR="001739C3" w:rsidRDefault="00687210">
      <w:pPr>
        <w:pStyle w:val="Heading1"/>
      </w:pPr>
      <w:r w:rsidRPr="00687210">
        <w:drawing>
          <wp:inline distT="0" distB="0" distL="0" distR="0" wp14:anchorId="04C62112" wp14:editId="74FD4BCA">
            <wp:extent cx="2541270" cy="1388670"/>
            <wp:effectExtent l="19050" t="19050" r="11430" b="21590"/>
            <wp:docPr id="174135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56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7399" cy="1397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94815" w14:textId="77777777" w:rsidR="00C509C4" w:rsidRDefault="00C509C4" w:rsidP="00C509C4"/>
    <w:p w14:paraId="0A23C017" w14:textId="2E0EAE81" w:rsidR="001739C3" w:rsidRDefault="00282112" w:rsidP="00C509C4">
      <w:r w:rsidRPr="00282112">
        <w:drawing>
          <wp:inline distT="0" distB="0" distL="0" distR="0" wp14:anchorId="2A182844" wp14:editId="26259AC2">
            <wp:extent cx="2564130" cy="1512570"/>
            <wp:effectExtent l="19050" t="19050" r="26670" b="11430"/>
            <wp:docPr id="62017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75499" name=""/>
                    <pic:cNvPicPr/>
                  </pic:nvPicPr>
                  <pic:blipFill rotWithShape="1">
                    <a:blip r:embed="rId8"/>
                    <a:srcRect l="2645" t="3609" r="3471" b="6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495" cy="1512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77FF7" w14:textId="77777777" w:rsidR="00C509C4" w:rsidRDefault="00C509C4" w:rsidP="00C509C4"/>
    <w:p w14:paraId="144292D9" w14:textId="77777777" w:rsidR="00C509C4" w:rsidRDefault="00C509C4" w:rsidP="00C509C4"/>
    <w:p w14:paraId="2DEA369B" w14:textId="77777777" w:rsidR="00C509C4" w:rsidRDefault="00C509C4" w:rsidP="00C509C4"/>
    <w:p w14:paraId="0E61C199" w14:textId="77777777" w:rsidR="00C509C4" w:rsidRDefault="00C509C4" w:rsidP="00C509C4"/>
    <w:p w14:paraId="37BF24A1" w14:textId="77777777" w:rsidR="00C509C4" w:rsidRDefault="00C509C4" w:rsidP="00C509C4"/>
    <w:p w14:paraId="312676E4" w14:textId="77777777" w:rsidR="00C509C4" w:rsidRDefault="00C509C4" w:rsidP="00C509C4"/>
    <w:p w14:paraId="794C4C82" w14:textId="77777777" w:rsidR="00C509C4" w:rsidRDefault="00C509C4" w:rsidP="00C509C4"/>
    <w:p w14:paraId="0E23FDA5" w14:textId="77777777" w:rsidR="00C509C4" w:rsidRDefault="00C509C4" w:rsidP="00C509C4"/>
    <w:p w14:paraId="6DFA9F58" w14:textId="5BB6AD50" w:rsidR="00897B9B" w:rsidRDefault="00025C0B">
      <w:pPr>
        <w:pStyle w:val="Heading1"/>
      </w:pPr>
      <w:r>
        <w:lastRenderedPageBreak/>
        <w:t>4</w:t>
      </w:r>
      <w:r>
        <w:t>. Q1 — Top 10 Categories by Total Sales</w:t>
      </w:r>
    </w:p>
    <w:p w14:paraId="42BFEDED" w14:textId="09617D69" w:rsidR="00897B9B" w:rsidRDefault="00025C0B">
      <w:r>
        <w:t xml:space="preserve">Technology and electronics categories generate the highest revenue. Furniture contributes significant </w:t>
      </w:r>
      <w:r>
        <w:t>freight‑driven sales. Revenue concentration indicates demand skew toward key product segments.</w:t>
      </w:r>
    </w:p>
    <w:p w14:paraId="5FB7EB22" w14:textId="32397F6D" w:rsidR="008754DF" w:rsidRDefault="00E922E0">
      <w:r w:rsidRPr="00E922E0">
        <w:drawing>
          <wp:inline distT="0" distB="0" distL="0" distR="0" wp14:anchorId="62DA44F3" wp14:editId="4AEEE825">
            <wp:extent cx="5387340" cy="2461260"/>
            <wp:effectExtent l="19050" t="19050" r="22860" b="15240"/>
            <wp:docPr id="186140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08182" name=""/>
                    <pic:cNvPicPr/>
                  </pic:nvPicPr>
                  <pic:blipFill rotWithShape="1">
                    <a:blip r:embed="rId9"/>
                    <a:srcRect l="695" r="1111" b="1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461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660E4" w14:textId="77777777" w:rsidR="008754DF" w:rsidRDefault="008754DF"/>
    <w:p w14:paraId="581779C8" w14:textId="77777777" w:rsidR="00897B9B" w:rsidRDefault="00025C0B">
      <w:pPr>
        <w:pStyle w:val="Heading1"/>
      </w:pPr>
      <w:r>
        <w:t>5. Q2 — Delayed Orders by Category</w:t>
      </w:r>
    </w:p>
    <w:p w14:paraId="17A7E1F3" w14:textId="77777777" w:rsidR="00897B9B" w:rsidRDefault="00025C0B">
      <w:r>
        <w:t>Higher delivery delays are observed in bulky product categories due to logistics complexity,</w:t>
      </w:r>
      <w:r>
        <w:br/>
        <w:t>handling requirements, and shipping distances.</w:t>
      </w:r>
    </w:p>
    <w:p w14:paraId="7B38CDF8" w14:textId="77777777" w:rsidR="007E4679" w:rsidRDefault="007E4679"/>
    <w:p w14:paraId="123178E8" w14:textId="237250F1" w:rsidR="007E4679" w:rsidRDefault="001739C3">
      <w:r w:rsidRPr="001739C3">
        <w:drawing>
          <wp:inline distT="0" distB="0" distL="0" distR="0" wp14:anchorId="7397EFDC" wp14:editId="102D290C">
            <wp:extent cx="4357947" cy="2663190"/>
            <wp:effectExtent l="19050" t="19050" r="24130" b="22860"/>
            <wp:docPr id="1657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0325" name=""/>
                    <pic:cNvPicPr/>
                  </pic:nvPicPr>
                  <pic:blipFill rotWithShape="1">
                    <a:blip r:embed="rId10"/>
                    <a:srcRect t="1537" b="1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027" cy="2668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CB1CA" w14:textId="77777777" w:rsidR="00C509C4" w:rsidRDefault="00C509C4"/>
    <w:p w14:paraId="6626CB13" w14:textId="77777777" w:rsidR="00C509C4" w:rsidRDefault="00C509C4"/>
    <w:p w14:paraId="122D113B" w14:textId="77777777" w:rsidR="00C509C4" w:rsidRDefault="00C509C4"/>
    <w:p w14:paraId="1E93D729" w14:textId="749A9780" w:rsidR="00897B9B" w:rsidRDefault="00025C0B">
      <w:pPr>
        <w:pStyle w:val="Heading1"/>
      </w:pPr>
      <w:r>
        <w:t xml:space="preserve">6. Q3 — Monthly Delayed vs </w:t>
      </w:r>
      <w:proofErr w:type="gramStart"/>
      <w:r>
        <w:t>On</w:t>
      </w:r>
      <w:proofErr w:type="gramEnd"/>
      <w:r>
        <w:t>‑Time Orders</w:t>
      </w:r>
    </w:p>
    <w:p w14:paraId="6664F280" w14:textId="77777777" w:rsidR="004F391E" w:rsidRDefault="00025C0B" w:rsidP="004F391E">
      <w:r>
        <w:t>Delay spikes align with peak sales months, indicating operational strain during high‑volume periods.</w:t>
      </w:r>
      <w:r>
        <w:br/>
        <w:t>On‑time performance improves during off‑peak months.</w:t>
      </w:r>
      <w:r w:rsidR="00146538" w:rsidRPr="00146538">
        <w:drawing>
          <wp:inline distT="0" distB="0" distL="0" distR="0" wp14:anchorId="4E900F4C" wp14:editId="6840E165">
            <wp:extent cx="5356860" cy="2545080"/>
            <wp:effectExtent l="19050" t="19050" r="15240" b="26670"/>
            <wp:docPr id="12892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58485" name=""/>
                    <pic:cNvPicPr/>
                  </pic:nvPicPr>
                  <pic:blipFill rotWithShape="1">
                    <a:blip r:embed="rId11"/>
                    <a:srcRect l="916" t="133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545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6F0A8" w14:textId="524CC66C" w:rsidR="00897B9B" w:rsidRDefault="00025C0B" w:rsidP="004F391E">
      <w:r w:rsidRPr="004F391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7.</w:t>
      </w:r>
      <w:r>
        <w:t xml:space="preserve"> </w:t>
      </w:r>
      <w:r w:rsidRPr="004F391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Q4 — Payment Method Analysis</w:t>
      </w:r>
    </w:p>
    <w:p w14:paraId="2CBB3FA3" w14:textId="48200DEA" w:rsidR="00897B9B" w:rsidRDefault="00025C0B">
      <w:r>
        <w:t>C</w:t>
      </w:r>
      <w:r>
        <w:t xml:space="preserve">redit cards dominate transactions. Digital wallets show growing adoption, while installment payments </w:t>
      </w:r>
      <w:r>
        <w:t>are common for high‑value purchases.</w:t>
      </w:r>
    </w:p>
    <w:p w14:paraId="238823F9" w14:textId="2F387277" w:rsidR="005A7754" w:rsidRDefault="00500B85">
      <w:r w:rsidRPr="00500B85">
        <w:drawing>
          <wp:inline distT="0" distB="0" distL="0" distR="0" wp14:anchorId="238C1780" wp14:editId="44964DB5">
            <wp:extent cx="3141345" cy="2819400"/>
            <wp:effectExtent l="19050" t="19050" r="20955" b="19050"/>
            <wp:docPr id="92016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63616" name=""/>
                    <pic:cNvPicPr/>
                  </pic:nvPicPr>
                  <pic:blipFill rotWithShape="1">
                    <a:blip r:embed="rId12"/>
                    <a:srcRect l="2137" t="1575" b="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783" cy="2819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52B8E" w14:textId="77777777" w:rsidR="00897B9B" w:rsidRDefault="00025C0B">
      <w:pPr>
        <w:pStyle w:val="Heading1"/>
      </w:pPr>
      <w:r>
        <w:lastRenderedPageBreak/>
        <w:t>8. Q5 — Product Rating Analysis (Top &amp; Bottom 10)</w:t>
      </w:r>
    </w:p>
    <w:p w14:paraId="5657B47F" w14:textId="77777777" w:rsidR="00D34446" w:rsidRDefault="00025C0B">
      <w:r>
        <w:t>Reviews are captured at order level rather than product level, meaning all products within an order</w:t>
      </w:r>
      <w:r w:rsidR="00D34446">
        <w:t xml:space="preserve"> </w:t>
      </w:r>
      <w:r>
        <w:t>inherit the same rating.</w:t>
      </w:r>
    </w:p>
    <w:p w14:paraId="09350AC1" w14:textId="77777777" w:rsidR="00D34446" w:rsidRDefault="00D34446"/>
    <w:p w14:paraId="7E67A098" w14:textId="1948AB58" w:rsidR="00D34446" w:rsidRDefault="00F02AD6">
      <w:r w:rsidRPr="00F02AD6">
        <w:drawing>
          <wp:inline distT="0" distB="0" distL="0" distR="0" wp14:anchorId="13E20E83" wp14:editId="68064C1E">
            <wp:extent cx="5433060" cy="1981200"/>
            <wp:effectExtent l="19050" t="19050" r="15240" b="19050"/>
            <wp:docPr id="1496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870" name=""/>
                    <pic:cNvPicPr/>
                  </pic:nvPicPr>
                  <pic:blipFill rotWithShape="1">
                    <a:blip r:embed="rId13"/>
                    <a:srcRect l="972" t="1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98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A20DB" w14:textId="77777777" w:rsidR="00D34446" w:rsidRDefault="00D34446"/>
    <w:p w14:paraId="2D937C0A" w14:textId="77777777" w:rsidR="00D34446" w:rsidRDefault="00D34446"/>
    <w:p w14:paraId="28612DAE" w14:textId="25A37B96" w:rsidR="00897B9B" w:rsidRDefault="00025C0B" w:rsidP="00F02AD6">
      <w:pPr>
        <w:pStyle w:val="Heading1"/>
      </w:pPr>
      <w:r>
        <w:t>9. Q6 — State‑Wise Sales</w:t>
      </w:r>
    </w:p>
    <w:p w14:paraId="332241EE" w14:textId="77777777" w:rsidR="00897B9B" w:rsidRDefault="00025C0B">
      <w:r>
        <w:t>U</w:t>
      </w:r>
      <w:r>
        <w:t xml:space="preserve">rban states contribute </w:t>
      </w:r>
      <w:proofErr w:type="gramStart"/>
      <w:r>
        <w:t>the majority of</w:t>
      </w:r>
      <w:proofErr w:type="gramEnd"/>
      <w:r>
        <w:t xml:space="preserve"> revenue, while emerging regions demonstrate growth potential.</w:t>
      </w:r>
    </w:p>
    <w:p w14:paraId="4052E781" w14:textId="16757582" w:rsidR="001E0F82" w:rsidRDefault="00141CCA">
      <w:r w:rsidRPr="00141CCA">
        <w:drawing>
          <wp:inline distT="0" distB="0" distL="0" distR="0" wp14:anchorId="3329AAAF" wp14:editId="19CF77DF">
            <wp:extent cx="5486400" cy="1893570"/>
            <wp:effectExtent l="19050" t="19050" r="19050" b="11430"/>
            <wp:docPr id="16553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442" name=""/>
                    <pic:cNvPicPr/>
                  </pic:nvPicPr>
                  <pic:blipFill rotWithShape="1">
                    <a:blip r:embed="rId14"/>
                    <a:srcRect t="1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3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666DC" w14:textId="77777777" w:rsidR="001E0F82" w:rsidRDefault="001E0F82"/>
    <w:p w14:paraId="782FD287" w14:textId="77777777" w:rsidR="00F026EF" w:rsidRDefault="00F026EF"/>
    <w:p w14:paraId="3FF642D2" w14:textId="77777777" w:rsidR="00F026EF" w:rsidRDefault="00F026EF"/>
    <w:p w14:paraId="54993214" w14:textId="77777777" w:rsidR="00F026EF" w:rsidRDefault="00F026EF"/>
    <w:p w14:paraId="44481982" w14:textId="77777777" w:rsidR="00897B9B" w:rsidRDefault="00025C0B">
      <w:pPr>
        <w:pStyle w:val="Heading1"/>
      </w:pPr>
      <w:r>
        <w:lastRenderedPageBreak/>
        <w:t>10. Q7 — Seasonal Sales Patterns</w:t>
      </w:r>
    </w:p>
    <w:p w14:paraId="1D076619" w14:textId="77777777" w:rsidR="00897B9B" w:rsidRDefault="00025C0B">
      <w:r>
        <w:t>Quarterly analysis shows Q4 peak demand driven by holiday shopping followed by Q1 slowdown.</w:t>
      </w:r>
    </w:p>
    <w:p w14:paraId="35E409E4" w14:textId="77777777" w:rsidR="00267EA2" w:rsidRDefault="00267EA2"/>
    <w:p w14:paraId="5823EF8D" w14:textId="28592B39" w:rsidR="00267EA2" w:rsidRDefault="00F026EF">
      <w:r w:rsidRPr="00F026EF">
        <w:drawing>
          <wp:inline distT="0" distB="0" distL="0" distR="0" wp14:anchorId="7FDBEDD0" wp14:editId="4E5E3B3F">
            <wp:extent cx="4880610" cy="1764030"/>
            <wp:effectExtent l="19050" t="19050" r="15240" b="26670"/>
            <wp:docPr id="18824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582" name=""/>
                    <pic:cNvPicPr/>
                  </pic:nvPicPr>
                  <pic:blipFill rotWithShape="1">
                    <a:blip r:embed="rId15"/>
                    <a:srcRect t="1489" r="295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91" cy="17642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ACF4C" w14:textId="77777777" w:rsidR="00267EA2" w:rsidRDefault="00267EA2"/>
    <w:p w14:paraId="347E5F13" w14:textId="77777777" w:rsidR="00267EA2" w:rsidRDefault="00267EA2"/>
    <w:p w14:paraId="750C43D4" w14:textId="77777777" w:rsidR="00267EA2" w:rsidRDefault="00267EA2"/>
    <w:p w14:paraId="3FE486B4" w14:textId="77777777" w:rsidR="00897B9B" w:rsidRDefault="00025C0B">
      <w:pPr>
        <w:pStyle w:val="Heading1"/>
      </w:pPr>
      <w:r>
        <w:t>11. Q8 — Yearly Revenue Trend</w:t>
      </w:r>
    </w:p>
    <w:p w14:paraId="3D107504" w14:textId="77777777" w:rsidR="00897B9B" w:rsidRDefault="00025C0B">
      <w:r>
        <w:t>Year‑on‑year growth indicates expanding business performance supported by rising order volumes.</w:t>
      </w:r>
    </w:p>
    <w:p w14:paraId="4D6137E9" w14:textId="7423B22C" w:rsidR="00FB2EAE" w:rsidRDefault="00AB0351">
      <w:r w:rsidRPr="00AB0351">
        <w:drawing>
          <wp:inline distT="0" distB="0" distL="0" distR="0" wp14:anchorId="18774184" wp14:editId="08A5087F">
            <wp:extent cx="4972744" cy="1771897"/>
            <wp:effectExtent l="19050" t="19050" r="18415" b="19050"/>
            <wp:docPr id="167506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4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71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2AAAF" w14:textId="77777777" w:rsidR="00FB2EAE" w:rsidRDefault="00FB2EAE"/>
    <w:p w14:paraId="1802AE64" w14:textId="77777777" w:rsidR="00FB2EAE" w:rsidRDefault="00FB2EAE"/>
    <w:p w14:paraId="7D249808" w14:textId="77777777" w:rsidR="00025C0B" w:rsidRDefault="00025C0B"/>
    <w:p w14:paraId="3726B549" w14:textId="77777777" w:rsidR="00025C0B" w:rsidRDefault="00025C0B"/>
    <w:p w14:paraId="3B65FB30" w14:textId="77777777" w:rsidR="00897B9B" w:rsidRDefault="00025C0B">
      <w:pPr>
        <w:pStyle w:val="Heading1"/>
      </w:pPr>
      <w:r>
        <w:lastRenderedPageBreak/>
        <w:t>12. Dashboard Design</w:t>
      </w:r>
    </w:p>
    <w:p w14:paraId="52622705" w14:textId="1D574162" w:rsidR="00897B9B" w:rsidRDefault="00025C0B">
      <w:r>
        <w:t xml:space="preserve">A single‑sheet dashboard integrates KPIs, category performance, delivery metrics, payment analysis, </w:t>
      </w:r>
      <w:r>
        <w:t>geographic sales, and time‑intelligence visuals with interactive slicers.</w:t>
      </w:r>
    </w:p>
    <w:p w14:paraId="1A7FC8B4" w14:textId="77777777" w:rsidR="00897B9B" w:rsidRDefault="00025C0B">
      <w:pPr>
        <w:pStyle w:val="Heading1"/>
      </w:pPr>
      <w:r>
        <w:t>13. Conclusion</w:t>
      </w:r>
    </w:p>
    <w:p w14:paraId="33436BB8" w14:textId="77777777" w:rsidR="00897B9B" w:rsidRDefault="00025C0B">
      <w:r>
        <w:t>The dashboard delivers a unified analytical view enabling stakeholders to make informed strategic,</w:t>
      </w:r>
      <w:r>
        <w:br/>
        <w:t>operational, and customer‑experience decisions while identifying growth opportunities.</w:t>
      </w:r>
    </w:p>
    <w:sectPr w:rsidR="00897B9B" w:rsidSect="00C509C4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114433">
    <w:abstractNumId w:val="8"/>
  </w:num>
  <w:num w:numId="2" w16cid:durableId="888953717">
    <w:abstractNumId w:val="6"/>
  </w:num>
  <w:num w:numId="3" w16cid:durableId="746730733">
    <w:abstractNumId w:val="5"/>
  </w:num>
  <w:num w:numId="4" w16cid:durableId="332338086">
    <w:abstractNumId w:val="4"/>
  </w:num>
  <w:num w:numId="5" w16cid:durableId="1827866145">
    <w:abstractNumId w:val="7"/>
  </w:num>
  <w:num w:numId="6" w16cid:durableId="1753896554">
    <w:abstractNumId w:val="3"/>
  </w:num>
  <w:num w:numId="7" w16cid:durableId="795678385">
    <w:abstractNumId w:val="2"/>
  </w:num>
  <w:num w:numId="8" w16cid:durableId="905840920">
    <w:abstractNumId w:val="1"/>
  </w:num>
  <w:num w:numId="9" w16cid:durableId="34375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C0B"/>
    <w:rsid w:val="00034616"/>
    <w:rsid w:val="0006063C"/>
    <w:rsid w:val="00141CCA"/>
    <w:rsid w:val="00146538"/>
    <w:rsid w:val="0015074B"/>
    <w:rsid w:val="001739C3"/>
    <w:rsid w:val="001E0F82"/>
    <w:rsid w:val="00267EA2"/>
    <w:rsid w:val="00282112"/>
    <w:rsid w:val="0029639D"/>
    <w:rsid w:val="00312CB0"/>
    <w:rsid w:val="00326F90"/>
    <w:rsid w:val="004F391E"/>
    <w:rsid w:val="00500B85"/>
    <w:rsid w:val="005A7754"/>
    <w:rsid w:val="00687210"/>
    <w:rsid w:val="006C1ABC"/>
    <w:rsid w:val="007E4679"/>
    <w:rsid w:val="008124D8"/>
    <w:rsid w:val="008754DF"/>
    <w:rsid w:val="00897B9B"/>
    <w:rsid w:val="00AA1D8D"/>
    <w:rsid w:val="00AB0351"/>
    <w:rsid w:val="00B47730"/>
    <w:rsid w:val="00C278F2"/>
    <w:rsid w:val="00C509C4"/>
    <w:rsid w:val="00CB0664"/>
    <w:rsid w:val="00D34446"/>
    <w:rsid w:val="00E922E0"/>
    <w:rsid w:val="00F026EF"/>
    <w:rsid w:val="00F02AD6"/>
    <w:rsid w:val="00F74505"/>
    <w:rsid w:val="00FB2EAE"/>
    <w:rsid w:val="00FC5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654216D-1686-4B36-A580-523CADDE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-</cp:lastModifiedBy>
  <cp:revision>26</cp:revision>
  <dcterms:created xsi:type="dcterms:W3CDTF">2013-12-23T23:15:00Z</dcterms:created>
  <dcterms:modified xsi:type="dcterms:W3CDTF">2026-02-13T08:47:00Z</dcterms:modified>
  <cp:category/>
</cp:coreProperties>
</file>