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2E5AAC"/>
          <w:sz w:val="56"/>
          <w:szCs w:val="56"/>
        </w:rPr>
        <w:t xml:space="preserve">Clinical Practice Management Platform</w:t>
      </w:r>
    </w:p>
    <w:p>
      <w:pPr>
        <w:spacing w:after="400"/>
        <w:jc w:val="center"/>
      </w:pPr>
      <w:r>
        <w:rPr>
          <w:color w:val="444444"/>
          <w:sz w:val="36"/>
          <w:szCs w:val="36"/>
        </w:rPr>
        <w:t xml:space="preserve">Workflow &amp; Architecture Document</w:t>
      </w:r>
    </w:p>
    <w:p>
      <w:pPr>
        <w:spacing w:after="2400"/>
        <w:jc w:val="center"/>
      </w:pPr>
      <w:r>
        <w:rPr>
          <w:color w:val="666666"/>
          <w:sz w:val="24"/>
          <w:szCs w:val="24"/>
        </w:rPr>
        <w:t xml:space="preserve">UX Design  ·  Database Architecture  ·  Authentication &amp; Security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Multi-Tenant, HIPAA-Compliant SaaS for Clinical Practices in the USA</w:t>
      </w:r>
    </w:p>
    <w:p>
      <w:pPr>
        <w:jc w:val="center"/>
      </w:pPr>
      <w:r>
        <w:rPr>
          <w:color w:val="999999"/>
          <w:sz w:val="20"/>
          <w:szCs w:val="20"/>
        </w:rPr>
        <w:t xml:space="preserve">Version 1.0  ·  August 2026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1. Product Overview</w:t>
      </w:r>
    </w:p>
    <w:p>
      <w:pPr>
        <w:spacing w:after="120"/>
      </w:pPr>
      <w:r>
        <w:rPr>
          <w:sz w:val="22"/>
          <w:szCs w:val="22"/>
        </w:rPr>
        <w:t xml:space="preserve">A scalable, multi-tenant Clinical Practice Management platform for full-fledged clinical practices in the USA — behavioral health, primary care, and specialty clinics — designed for HIPAA compliance end to end and benchmarked against the leading products in the market (SimplePractice, TherapyNotes, Tebra/Kareo, Athenahealth, DrChrono). The platform is built to be sold as a SaaS product to other practice owners, which drives two foundational architecture decisions: full tenant isolation (each practice is a sealed environment) and clinician-level data isolation within a tenant (clinicians can never see other clinicians' clients or notes).</w:t>
      </w:r>
    </w:p>
    <w:p>
      <w:pPr>
        <w:pStyle w:val="Heading2"/>
        <w:spacing w:after="120" w:before="240"/>
      </w:pPr>
      <w:r>
        <w:rPr>
          <w:color w:val="2E5AAC"/>
        </w:rPr>
        <w:t xml:space="preserve">1.1 Core Product Workflow</w:t>
      </w:r>
    </w:p>
    <w:p>
      <w:pPr>
        <w:spacing w:after="120"/>
      </w:pPr>
      <w:r>
        <w:rPr>
          <w:sz w:val="22"/>
          <w:szCs w:val="22"/>
        </w:rPr>
        <w:t xml:space="preserve">The entire platform is organized around a single revenue-cycle spine:</w:t>
      </w:r>
    </w:p>
    <w:p>
      <w:pPr>
        <w:pBdr>
          <w:top w:val="single" w:color="2E5AAC" w:sz="6"/>
          <w:bottom w:val="single" w:color="2E5AAC" w:sz="6"/>
        </w:pBdr>
        <w:spacing w:after="200" w:before="120"/>
        <w:jc w:val="center"/>
      </w:pPr>
      <w:r>
        <w:rPr>
          <w:b/>
          <w:bCs/>
          <w:color w:val="2E5AAC"/>
          <w:sz w:val="22"/>
          <w:szCs w:val="22"/>
        </w:rPr>
        <w:t xml:space="preserve">Client → Appointment → Insurance Verification → Session → AI Clinical Notes → Billing → Claim → Claim Tracking → Payment → Reporting</w:t>
      </w:r>
    </w:p>
    <w:p>
      <w:pPr>
        <w:spacing w:after="120"/>
      </w:pPr>
      <w:r>
        <w:rPr>
          <w:sz w:val="22"/>
          <w:szCs w:val="22"/>
        </w:rPr>
        <w:t xml:space="preserve">Every feature — scheduling, Pverify eligibility checks, session recording, AI note generation, invoicing, electronic claims, the claim tracker, and analytics — is a stage in this pipeline. Data flows forward automatically: a completed session generates a note draft and a billable encounter; a signed note releases the encounter to billing; a submitted claim feeds the tracker; a posted payment feeds reporting.</w:t>
      </w:r>
    </w:p>
    <w:p>
      <w:pPr>
        <w:pStyle w:val="Heading2"/>
        <w:spacing w:after="120" w:before="240"/>
      </w:pPr>
      <w:r>
        <w:rPr>
          <w:color w:val="2E5AAC"/>
        </w:rPr>
        <w:t xml:space="preserve">1.2 Guiding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Clinician privacy: </w:t>
      </w:r>
      <w:r>
        <w:rPr>
          <w:sz w:val="22"/>
          <w:szCs w:val="22"/>
        </w:rPr>
        <w:t xml:space="preserve">complete separation between clinicians and their data within a practice. A clinician sees only their own caseload, calendar, notes, and claims.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Sellable multi-tenant SaaS: </w:t>
      </w:r>
      <w:r>
        <w:rPr>
          <w:sz w:val="22"/>
          <w:szCs w:val="22"/>
        </w:rPr>
        <w:t xml:space="preserve">one codebase and infrastructure serving many practices, with per-tenant branding, configuration, and billing.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SimplePractice parity and beyond: </w:t>
      </w:r>
      <w:r>
        <w:rPr>
          <w:sz w:val="22"/>
          <w:szCs w:val="22"/>
        </w:rPr>
        <w:t xml:space="preserve">billing and invoicing, electronic claims with rejection management, scheduling with online booking and waitlists, centralized client records, notes and treatment plans with e-signatures, reporting, and HIPAA-compliant role-based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Pverify integration: </w:t>
      </w:r>
      <w:r>
        <w:rPr>
          <w:sz w:val="22"/>
          <w:szCs w:val="22"/>
        </w:rPr>
        <w:t xml:space="preserve">real-time insurance eligibility, benefits, and coverage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AI note recording: </w:t>
      </w:r>
      <w:r>
        <w:rPr>
          <w:sz w:val="22"/>
          <w:szCs w:val="22"/>
        </w:rPr>
        <w:t xml:space="preserve">secure session recording with automatic clinical note generation (SOAP/DAP/BIRP); psychotherapy process notes handled with their special HIPAA protections (45 CFR §164.508 — stored separately, excluded from routine disclosures).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Full clinical scope (USA): </w:t>
      </w:r>
      <w:r>
        <w:rPr>
          <w:sz w:val="22"/>
          <w:szCs w:val="22"/>
        </w:rPr>
        <w:t xml:space="preserve">clinical charting (problems, medications, allergies, vitals), e-prescribing incl. EPCS via Surescripts, lab orders/results, telehealth, and FHIR R4 interoperability per the 21st Century Cures 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Claim tracker: </w:t>
      </w:r>
      <w:r>
        <w:rPr>
          <w:sz w:val="22"/>
          <w:szCs w:val="22"/>
        </w:rPr>
        <w:t xml:space="preserve">every claim visible from submission to payout with client, payout date, rate, claim number, provider, date of service, and status (Submitted, In Revision, Pending Patient Liability, Funded).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2. End-to-End Workflow (Stage by 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600"/>
        <w:gridCol w:w="3860"/>
      </w:tblGrid>
      <w:tr>
        <w:trPr>
          <w:tblHeader/>
        </w:trPr>
        <w:tc>
          <w:tcPr>
            <w:tcW w:type="dxa" w:w="4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8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Actions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intake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is created by front desk or self-registers via portal; completes intake forms and consents with e-signature.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record, demographics, insurance policy captured; documents stored; portal account provisioned.</w:t>
            </w:r>
          </w:p>
        </w:tc>
      </w:tr>
      <w:tr>
        <w:tc>
          <w:tcPr>
            <w:tcW w:type="dxa" w:w="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Appointment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Booked by staff or via online booking; waitlist auto-fills cancellations.</w:t>
            </w:r>
          </w:p>
        </w:tc>
        <w:tc>
          <w:tcPr>
            <w:tcW w:type="dxa" w:w="38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Calendar event created; reminders scheduled (SMS/email); telehealth link generated if virtual.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Insurance verification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Pverify eligibility check runs automatically 48h before the visit and on policy changes.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Eligibility, copay, deductible, and coverage stored on the encounter; failures flagged to the biller queue.</w:t>
            </w:r>
          </w:p>
        </w:tc>
      </w:tr>
      <w:tr>
        <w:tc>
          <w:tcPr>
            <w:tcW w:type="dxa" w:w="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 conducts the session; with client consent, audio is recorded.</w:t>
            </w:r>
          </w:p>
        </w:tc>
        <w:tc>
          <w:tcPr>
            <w:tcW w:type="dxa" w:w="38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Encounter opened; recording streamed to encrypted object storage; consent logged.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clinical notes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transcribes and drafts the clinical note (SOAP/DAP/BIRP) from the recording or clinician dictation.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 attached to encounter; clinician reviews, edits, and signs; signature locks the note. eRx and lab orders placed from the same workspace.</w:t>
            </w:r>
          </w:p>
        </w:tc>
      </w:tr>
      <w:tr>
        <w:tc>
          <w:tcPr>
            <w:tcW w:type="dxa" w:w="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Signed note releases the encounter to billing with CPT/ICD codes and rate.</w:t>
            </w:r>
          </w:p>
        </w:tc>
        <w:tc>
          <w:tcPr>
            <w:tcW w:type="dxa" w:w="38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 generated; copay charged; payment plans applied; superbill available.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Biller (or auto-rule) scrubs and submits the claim electronically via clearinghouse (837P).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 record created with claim number, provider, DOS, rate; validation errors returned for fix-and-resubmit.</w:t>
            </w:r>
          </w:p>
        </w:tc>
      </w:tr>
      <w:tr>
        <w:tc>
          <w:tcPr>
            <w:tcW w:type="dxa" w:w="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 tracking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Clearinghouse and payer status updates (277/ERA) flow into the tracker.</w:t>
            </w:r>
          </w:p>
        </w:tc>
        <w:tc>
          <w:tcPr>
            <w:tcW w:type="dxa" w:w="38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transitions: Submitted → In Revision / Pending Patient Liability → Funded (or Denied → resubmission workflow).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ERA (835) auto-posts payer payments; patient liability is billed or auto-charged.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records reconciled to claims and invoices; balances updated; refunds handled.</w:t>
            </w:r>
          </w:p>
        </w:tc>
      </w:tr>
      <w:tr>
        <w:tc>
          <w:tcPr>
            <w:tcW w:type="dxa" w:w="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Dashboards aggregate the pipeline.</w:t>
            </w:r>
          </w:p>
        </w:tc>
        <w:tc>
          <w:tcPr>
            <w:tcW w:type="dxa" w:w="38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Revenue, caseload, claim aging, denial rates, clinician productivity, outstanding balances.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E5AAC"/>
        </w:rPr>
        <w:t xml:space="preserve">2.1 Claim Status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 created from encounter, not yet submitted.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2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50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 electronically to clearinghouse/payer; awaiting adjudication.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Revision, Pending Patient Liability, Funded, Denied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Revision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 or returned for correction; biller edits and resubmits.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2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Patient Liability</w:t>
            </w:r>
          </w:p>
        </w:tc>
        <w:tc>
          <w:tcPr>
            <w:tcW w:type="dxa" w:w="50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Payer adjudicated; remaining balance owed by client (copay/deductible).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Funded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received and posted. Terminal state.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Denied</w:t>
            </w:r>
          </w:p>
        </w:tc>
        <w:tc>
          <w:tcPr>
            <w:tcW w:type="dxa" w:w="50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Payer denial; triggers appeal/resubmission workflow.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Revision, Closed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Each claim in the tracker displays exactly the fields specified: client/person, expected or actual payout date, billing rate, claim number, provider name, date of service, and status. Every status change is timestamped in claim_status_history for aging reports and audit.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3. UX Design</w:t>
      </w:r>
    </w:p>
    <w:p>
      <w:pPr>
        <w:pStyle w:val="Heading2"/>
        <w:spacing w:after="120" w:before="240"/>
      </w:pPr>
      <w:r>
        <w:rPr>
          <w:color w:val="2E5AAC"/>
        </w:rPr>
        <w:t xml:space="preserve">3.1 Personas &amp;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52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Jobs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Practice Owner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web app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Practice setup, clinician management, financial reports, subscription/billing, full visibility.</w:t>
            </w:r>
          </w:p>
        </w:tc>
      </w:tr>
      <w:tr>
        <w:tc>
          <w:tcPr>
            <w:tcW w:type="dxa" w:w="19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Practice Admin / Front Desk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web app</w:t>
            </w:r>
          </w:p>
        </w:tc>
        <w:tc>
          <w:tcPr>
            <w:tcW w:type="dxa" w:w="52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Scheduling, intake, insurance capture, reminders, payments at desk.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 web/mobile app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calendar, own caseload, sessions, AI notes, treatment plans, signing.</w:t>
            </w:r>
          </w:p>
        </w:tc>
      </w:tr>
      <w:tr>
        <w:tc>
          <w:tcPr>
            <w:tcW w:type="dxa" w:w="19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Biller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workspace</w:t>
            </w:r>
          </w:p>
        </w:tc>
        <w:tc>
          <w:tcPr>
            <w:tcW w:type="dxa" w:w="52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Eligibility exceptions, claim scrubbing/submission, tracker, ERA posting, denials.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/ Patient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portal (web/mobile)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Online booking, intake forms, telehealth, invoices/payments, secure messages.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The clinician experience is deliberately scoped: navigation, search, calendars, and reports are all filtered to the clinician's own caseload. There is no UI path to another clinician's clients — this mirrors the authorization model rather than merely hiding links.</w:t>
      </w:r>
    </w:p>
    <w:p>
      <w:pPr>
        <w:pStyle w:val="Heading2"/>
        <w:spacing w:after="120" w:before="240"/>
      </w:pPr>
      <w:r>
        <w:rPr>
          <w:color w:val="2E5AAC"/>
        </w:rPr>
        <w:t xml:space="preserve">3.2 Key Screens</w:t>
      </w:r>
    </w:p>
    <w:p>
      <w:pPr>
        <w:pStyle w:val="Heading3"/>
        <w:spacing w:after="100" w:before="180"/>
      </w:pPr>
      <w:r>
        <w:t xml:space="preserve">Practice Dashboard (Owner/Admin)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Today's schedule across the practice, eligibility alerts, unsigned notes count, claims needing attention, revenue snapshot.</w:t>
      </w:r>
    </w:p>
    <w:p>
      <w:pPr>
        <w:pStyle w:val="Heading3"/>
        <w:spacing w:after="100" w:before="180"/>
      </w:pPr>
      <w:r>
        <w:t xml:space="preserve">Calendar &amp;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Day/week/clinician views, drag-and-drop rescheduling, color-coded appointment types, recurring appointments.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Online booking page per clinician with self-service slots; waitlist prompts when a cancellation opens a slot.</w:t>
      </w:r>
    </w:p>
    <w:p>
      <w:pPr>
        <w:pStyle w:val="Heading3"/>
        <w:spacing w:after="100" w:before="180"/>
      </w:pPr>
      <w:r>
        <w:t xml:space="preserve">Client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Single-page chart: demographics, insurance and live eligibility status, appointments, notes timeline, problem list, active medications and allergies, vitals, treatment plan, lab results, documents, invoices/balance, message thread.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Insurance panel shows the latest Pverify result — plan, copay, deductible remaining, coverage flags — with a one-click re-verify.</w:t>
      </w:r>
    </w:p>
    <w:p>
      <w:pPr>
        <w:pStyle w:val="Heading3"/>
        <w:spacing w:after="100" w:before="180"/>
      </w:pPr>
      <w:r>
        <w:t xml:space="preserve">Session Workspace (Clinician)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session → consent prompt → record (or type). Timer, telehealth embed, previous note and treatment plan side-by-side.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session: AI-drafted clinical note appears for review. Clinician edits inline, selects template (SOAP/DAP/BIRP), and signs. Signing locks the note and releases billing.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From the same workspace: e-prescribe (with drug-drug/allergy interaction checks), order labs, and update the problem/medication lists — no context switching.</w:t>
      </w:r>
    </w:p>
    <w:p>
      <w:pPr>
        <w:pStyle w:val="Heading3"/>
        <w:spacing w:after="100" w:before="180"/>
      </w:pPr>
      <w:r>
        <w:t xml:space="preserve">Billing Center &amp; Claim Tracker (Biller)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 queues: unbilled encounters, rejected claims, unpaid patient balances, ERA exceptions.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Claim tracker: filterable board/table by status (Submitted, In Revision, Pending Patient Liability, Funded) showing client, payout date, rate, claim number, provider, and DOS. Click-through to full claim history.</w:t>
      </w:r>
    </w:p>
    <w:p>
      <w:pPr>
        <w:pStyle w:val="Heading3"/>
        <w:spacing w:after="100" w:before="18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(revenue, collections, aging), operational (caseload, utilization, no-show rates), clinical (unsigned notes, treatment plan compliance). Owner sees practice-wide; clinicians see only their own.</w:t>
      </w:r>
    </w:p>
    <w:p>
      <w:pPr>
        <w:pStyle w:val="Heading3"/>
        <w:spacing w:after="100" w:before="180"/>
      </w:pPr>
      <w:r>
        <w:t xml:space="preserve">Client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Book/reschedule, complete intake and consent forms, join telehealth, view invoices and pay, set up payment plans, secure messaging.</w:t>
      </w:r>
    </w:p>
    <w:p>
      <w:pPr>
        <w:pStyle w:val="Heading2"/>
        <w:spacing w:after="120" w:before="240"/>
      </w:pPr>
      <w:r>
        <w:rPr>
          <w:color w:val="2E5AAC"/>
        </w:rPr>
        <w:t xml:space="preserve">3.3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Pipeline-first navigation: the home screen for each role is their work queue for the revenue cycle, not a generic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re-entry: data captured once (intake, insurance, codes) flows through appointment → note → claim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Exception-driven: automation handles the happy path; humans only see eligibility failures, rejected claims, and unsigned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Mobile-responsive throughout; clinician and client experiences are fully usable on phones.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Accessibility: WCAG 2.1 AA targets for all portals.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4. Database Architecture</w:t>
      </w:r>
    </w:p>
    <w:p>
      <w:pPr>
        <w:pStyle w:val="Heading2"/>
        <w:spacing w:after="120" w:before="240"/>
      </w:pPr>
      <w:r>
        <w:rPr>
          <w:color w:val="2E5AAC"/>
        </w:rPr>
        <w:t xml:space="preserve">4.1 Multi-Tenancy &amp; Isolation Strategy</w:t>
      </w:r>
    </w:p>
    <w:p>
      <w:pPr>
        <w:spacing w:after="120"/>
      </w:pPr>
      <w:r>
        <w:rPr>
          <w:sz w:val="22"/>
          <w:szCs w:val="22"/>
        </w:rPr>
        <w:t xml:space="preserve">PostgreSQL with shared-schema multi-tenancy: every row carries a tenant_id (the practice), enforced by Postgres Row-Level Security (RLS). A second RLS layer enforces clinician isolation: clinician-role sessions can only read rows for clients they are assigned to via the client_assignments table. Isolation is therefore enforced in the database, not just the application — a query bug cannot leak another clinician's or another practice's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Tenant layer: RLS policy `tenant_id = current_setting('app.tenant_id')` on every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Clinician layer: RLS policy joining through client_assignments for clinician-role connections; owner/admin/biller roles bypass the clinician filter but never the tenant filter.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Escape hatch for growth: the tenant_id design allows sharding large tenants to dedicated databases later without schema changes.</w:t>
      </w:r>
    </w:p>
    <w:p>
      <w:pPr>
        <w:pStyle w:val="Heading2"/>
        <w:spacing w:after="120" w:before="240"/>
      </w:pPr>
      <w:r>
        <w:rPr>
          <w:color w:val="2E5AAC"/>
        </w:rPr>
        <w:t xml:space="preserve">4.2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4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subdomain, plan, settings_json, status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row per practice (the sellable unit). Branding and feature flags per tenant.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tenant_id, email, password_hash, mfa_secret, status, last_login_at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staff logins. Argon2id hashes; MFA secrets encrypted.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roles / user_roles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role: owner, admin, clinician, biller, front_desk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RBAC mapping; a user may hold multiple roles.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clinicians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tenant_id, user_id, npi, license_no, taxonomy, signature_img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 profile used on claims (provider name, NPI).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tenant_id, name, dob, contact, portal_user_id, status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 master record.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client_assignments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client_id, clinician_id, assigned_at, ended_at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Drives clinician-level RLS isolation.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insurance_payers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payer_id, clearinghouse_code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Payer directory.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client_policies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payer_id, member_id, group_no, rank (primary/secondary)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insurance policies.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eligibility_checks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policy_id, appointment_id, pverify_ref, result_json, copay, deductible_remaining, checked_at, status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Stored Pverify responses; drives verification alerts.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tenant_id, client_id, clinician_id, start/end, type, location, telehealth_url, status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Scheduling core; statuses: booked, confirmed, arrived, completed, no_show, cancelled.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waitlist_entries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clinician_id, preferred_windows_json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Auto-fill on cancellations.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encounters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appointment_id, client_id, clinician_id, dos, cpt_codes[], icd_codes[], rate, status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billable unit; bridges clinical and billing.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recordings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encounter_id, storage_uri, consent_id, duration, status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Pointers to encrypted audio in object storage; auto-purge policy.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encounter_id, template_type, ai_draft_json, final_text, signed_by, signed_at, locked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draft + clinician-signed final. Immutable after signing; amendments append.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note_templates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tenant_id, name, schema_json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SOAP/DAP/BIRP and custom templates.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treatment_plans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clinician_id, goals_json, review_date, signed_at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Versioned treatment plans with e-signature.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problems / allergies / medications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code (ICD-10/RxNorm), onset, status, source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 clinical chart lists; FHIR-mappable.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vitals / observations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encounter_id, type (LOINC), value, unit, at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Vitals and outcome measures (PHQ-9, GAD-7, etc.).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clinician_id, rxnorm_code, sig, pharmacy_id, surescripts_ref, status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eRx incl. EPCS; interaction-check results logged.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lab_orders / lab_results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clinician_id, loinc_codes[], lab_ref, result_json, status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HL7/FHIR interfaces to reference labs.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documents / esignatures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type, storage_uri, signed_by, signed_at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Intake forms, consents, uploads.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invoices / invoice_items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encounter_id, amount, balance, status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Patient-side billing; payment plans via payment_plans table.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encounter_id, claim_number, provider_id, payer_id, dos, rate, status, expected_payout_date, funded_at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per billed encounter per payer. Status enum from §2.1.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claim_status_history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claim_id, from_status, to_status, source (clearinghouse/manual), payload_json, at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audit trail powering the tracker.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remittances (ERA)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payer_id, era_835_ref, total, posted_at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Auto-posting of payer payments; lines link to claims.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client_id, invoice_id/claim_id, method, amount, processor_ref, at</w:t>
            </w:r>
          </w:p>
        </w:tc>
        <w:tc>
          <w:tcPr>
            <w:tcW w:type="dxa" w:w="44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Card/ACH via processor; reconciliation to invoices and claims.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audit_log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tenant_id, user_id, action, entity, entity_id, ip, at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Append-only; every PHI read and write. HIPAA requirement.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E5AAC"/>
        </w:rPr>
        <w:t xml:space="preserve">4.3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Encryption at rest (AES-256) for the database and object storage; TLS 1.2+ in transit; field-level encryption for SSNs and MFA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 recordings stored in a separate encrypted bucket with short-lived signed URLs; configurable retention/auto-purge after note signing.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Point-in-time recovery, cross-region backups, and per-tenant export (required for selling the product — customers will demand data portability).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Soft deletes with retention windows on clinical data; hard deletes only via compliance workflow.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5. User Authentication &amp; Access Control</w:t>
      </w:r>
    </w:p>
    <w:p>
      <w:pPr>
        <w:pStyle w:val="Heading2"/>
        <w:spacing w:after="120" w:before="240"/>
      </w:pPr>
      <w:r>
        <w:rPr>
          <w:color w:val="2E5AAC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+ password (Argon2id hashing) with mandatory TOTP MFA for all staff roles; WebAuthn/passkeys supported. Clients on the portal: password + email/SMS OTP.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Sessions: short-lived access JWT (15 min) + rotating refresh tokens (httpOnly, revocable server-side). Automatic idle timeout (HIPAA workstation rule) with re-auth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Tenant resolution by subdomain (e.g., acme.platform.com); the JWT is scoped to one tenant_id, which the API layer injects into every DB session for 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 SSO (SAML/OIDC) for larger group practices — a selling point for the SaaS offering.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Brute-force protection: progressive lockout, device fingerprinting, alerting on anomalous logins.</w:t>
      </w:r>
    </w:p>
    <w:p>
      <w:pPr>
        <w:pStyle w:val="Heading2"/>
        <w:spacing w:after="120" w:before="240"/>
      </w:pPr>
      <w:r>
        <w:rPr>
          <w:color w:val="2E5AAC"/>
        </w:rPr>
        <w:t xml:space="preserve">5.2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620"/>
        <w:gridCol w:w="1440"/>
        <w:gridCol w:w="1200"/>
        <w:gridCol w:w="1020"/>
      </w:tblGrid>
      <w:tr>
        <w:trPr>
          <w:tblHeader/>
        </w:trPr>
        <w:tc>
          <w:tcPr>
            <w:tcW w:type="dxa" w:w="27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32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2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Admin/Front Desk</w:t>
            </w:r>
          </w:p>
        </w:tc>
        <w:tc>
          <w:tcPr>
            <w:tcW w:type="dxa" w:w="144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Clinician</w:t>
            </w:r>
          </w:p>
        </w:tc>
        <w:tc>
          <w:tcPr>
            <w:tcW w:type="dxa" w:w="1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Biller</w:t>
            </w:r>
          </w:p>
        </w:tc>
        <w:tc>
          <w:tcPr>
            <w:tcW w:type="dxa" w:w="102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Practice settings, add clinicians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clients (demographics/scheduling)</w:t>
            </w:r>
          </w:p>
        </w:tc>
        <w:tc>
          <w:tcPr>
            <w:tcW w:type="dxa" w:w="13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caseload only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fields only</w:t>
            </w:r>
          </w:p>
        </w:tc>
        <w:tc>
          <w:tcPr>
            <w:tcW w:type="dxa" w:w="10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 only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Clinical notes &amp; recordings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Configurable*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clients only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Scheduling</w:t>
            </w:r>
          </w:p>
        </w:tc>
        <w:tc>
          <w:tcPr>
            <w:tcW w:type="dxa" w:w="13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calendar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0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Self-book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Eligibility &amp; insurance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Capture/verify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own clients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27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Claims &amp; billing</w:t>
            </w:r>
          </w:p>
        </w:tc>
        <w:tc>
          <w:tcPr>
            <w:tcW w:type="dxa" w:w="13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Invoices/payments</w:t>
            </w:r>
          </w:p>
        </w:tc>
        <w:tc>
          <w:tcPr>
            <w:tcW w:type="dxa" w:w="144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own claims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0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invoices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Practice-wide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metrics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Financial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13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6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2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*By default even the practice owner does not open clinical note content — notes are minimum-necessary restricted to the treating clinician, with a break-glass override that requires a documented reason and fires an audit alert. This directly implements the requirement that clinicians' data stays private, while preserving legally necessary access.</w:t>
      </w:r>
    </w:p>
    <w:p>
      <w:pPr>
        <w:pStyle w:val="Heading2"/>
        <w:spacing w:after="120" w:before="240"/>
      </w:pPr>
      <w:r>
        <w:rPr>
          <w:color w:val="2E5AAC"/>
        </w:rPr>
        <w:t xml:space="preserve">5.3 HIPAA Compliance Posture (US)</w:t>
      </w:r>
    </w:p>
    <w:p>
      <w:pPr>
        <w:pStyle w:val="Heading3"/>
        <w:spacing w:after="100" w:before="180"/>
      </w:pPr>
      <w:r>
        <w:t xml:space="preserve">Security Rule — Administrative Safeguards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Designated Security &amp; Privacy Officers; annual risk analysis and risk management plan (45 CFR §164.308).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Workforce security: role-based provisioning, quarterly access reviews, immediate deprovisioning on termination, security awareness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 response plan with breach notification workflow (§164.400–414: individuals within 60 days, HHS, media if 500+ records).</w:t>
      </w:r>
    </w:p>
    <w:p>
      <w:pPr>
        <w:pStyle w:val="Heading3"/>
        <w:spacing w:after="100" w:before="180"/>
      </w:pPr>
      <w:r>
        <w:t xml:space="preserve">Security Rule — Technical Safeguards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Unique user IDs, mandatory MFA, automatic logoff, and emergency-access (break-glass) procedures (§164.312).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Encryption at rest (AES-256) and in transit (TLS 1.2+); integrity controls; append-only audit log of every PHI create/read/update/delete with tamper-evident hashing.</w:t>
      </w:r>
    </w:p>
    <w:p>
      <w:pPr>
        <w:pStyle w:val="Heading3"/>
        <w:spacing w:after="100" w:before="180"/>
      </w:pPr>
      <w:r>
        <w:t xml:space="preserve">Privacy Rule &amp; Special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Minimum-necessary access enforced structurally by RLS + RBAC, not policy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Psychotherapy process notes stored separately with elevated protection — excluded from routine disclosures and requiring specific authorization (§164.508).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42 CFR Part 2 handling available for substance-use-disorder records (segmented consent-based sharing).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Recording consent captured per session and stored; state two-party consent rules configurable per tenant.</w:t>
      </w:r>
    </w:p>
    <w:p>
      <w:pPr>
        <w:pStyle w:val="Heading3"/>
        <w:spacing w:after="100" w:before="180"/>
      </w:pPr>
      <w:r>
        <w:t xml:space="preserve">Organizational &amp; Assurance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BAAs with all subprocessors (cloud provider, Pverify, clearinghouse, payment processor, Surescripts, labs, AI/transcription vendor). AI vendor must be zero-retention or self-hosted.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penetration testing, vulnerability scanning, SOC 2 Type II and HITRUST roadmap for enterprise sales; ONC health IT certification evaluated if positioning as a certified EHR.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6. System Architecture &amp; Scalability</w:t>
      </w:r>
    </w:p>
    <w:p>
      <w:pPr>
        <w:pStyle w:val="Heading2"/>
        <w:spacing w:after="120" w:before="240"/>
      </w:pPr>
      <w:r>
        <w:rPr>
          <w:color w:val="2E5AAC"/>
        </w:rPr>
        <w:t xml:space="preserve">6.1 Reference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2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React/Next.js (staff), React Native or responsive web (client portal)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component library across portals.</w:t>
            </w:r>
          </w:p>
        </w:tc>
      </w:tr>
      <w:tr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(NestJS) or Python (FastAPI), REST + WebSockets</w:t>
            </w:r>
          </w:p>
        </w:tc>
        <w:tc>
          <w:tcPr>
            <w:tcW w:type="dxa" w:w="42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Stateless, horizontally scalable behind a load balancer.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(managed, e.g., Aurora/Cloud SQL) with RLS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Isolation model in §4.1; read replicas for reporting.</w:t>
            </w:r>
          </w:p>
        </w:tc>
      </w:tr>
      <w:tr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Async jobs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 (SQS/Cloud Tasks) + workers</w:t>
            </w:r>
          </w:p>
        </w:tc>
        <w:tc>
          <w:tcPr>
            <w:tcW w:type="dxa" w:w="42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Eligibility checks, reminders, claim submission, ERA posting, AI note generation — all async.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notes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Speech-to-text + LLM drafting behind an internal service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Vendor-pluggable; PHI-safe (BAA/zero retention); human sign-off required.</w:t>
            </w:r>
          </w:p>
        </w:tc>
      </w:tr>
      <w:tr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Pverify (eligibility), clearinghouse API (837/277/835), Surescripts (eRx/EPCS), lab interfaces (HL7v2/FHIR), Stripe (payments), Twilio/SES (reminders)</w:t>
            </w:r>
          </w:p>
        </w:tc>
        <w:tc>
          <w:tcPr>
            <w:tcW w:type="dxa" w:w="42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isolated behind an adapter service with retry + dead-letter queues.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Interoperability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FHIR R4 API (US Core profiles), C-CDA export, patient data export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21st Century Cures Act information-blocking compliance; enables integrations and enterprise deals.</w:t>
            </w:r>
          </w:p>
        </w:tc>
      </w:tr>
      <w:tr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S3-class object storage (recordings, documents)</w:t>
            </w:r>
          </w:p>
        </w:tc>
        <w:tc>
          <w:tcPr>
            <w:tcW w:type="dxa" w:w="42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Encrypted, lifecycle policies.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Centralized logs/metrics/traces, per-tenant usage metering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Metering supports SaaS pricing tiers.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2E5AAC"/>
        </w:rPr>
        <w:t xml:space="preserve">6.2 Scaling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 (1–50 practices): single region, shared Postgres with RLS, autoscaling API pods.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2 (50–500): read replicas for reporting, queue-based fan-out for reminders/claims, CDN for portals, tenant usage metering and billing.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3 (500+): shard largest tenants to dedicated DBs (tenant_id design makes this a data move, not a rewrite), multi-region DR, enterprise SSO/SCIM.</w:t>
      </w:r>
    </w:p>
    <w:p>
      <w:pPr>
        <w:pStyle w:val="Heading2"/>
        <w:spacing w:after="120" w:before="240"/>
      </w:pPr>
      <w:r>
        <w:rPr>
          <w:color w:val="2E5AAC"/>
        </w:rPr>
        <w:t xml:space="preserve">6.3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 (0–4 mo)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Auth/RBAC/RLS, scheduling, client charts, notes with templates &amp; e-sign, invoicing, Stripe payments, client portal booking.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practice can run daily operations.</w:t>
            </w:r>
          </w:p>
        </w:tc>
      </w:tr>
      <w:tr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V1 (4–8 mo)</w:t>
            </w:r>
          </w:p>
        </w:tc>
        <w:tc>
          <w:tcPr>
            <w:tcW w:type="dxa" w:w="53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Pverify integration, clearinghouse claims (837P), claim tracker with status ingestion (277), ERA auto-posting (835), reporting suite.</w:t>
            </w:r>
          </w:p>
        </w:tc>
        <w:tc>
          <w:tcPr>
            <w:tcW w:type="dxa" w:w="2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revenue cycle — the core differentiator.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V1.5 (8–12 mo)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session recording &amp; note drafting, waitlist automation, payment plans, telehealth embed.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SimplePractice parity plus AI edge.</w:t>
            </w:r>
          </w:p>
        </w:tc>
      </w:tr>
      <w:tr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 (12–18 mo)</w:t>
            </w:r>
          </w:p>
        </w:tc>
        <w:tc>
          <w:tcPr>
            <w:tcW w:type="dxa" w:w="53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eRx/EPCS (Surescripts certification), lab interfaces, FHIR R4 API, outcome measures.</w:t>
            </w:r>
          </w:p>
        </w:tc>
        <w:tc>
          <w:tcPr>
            <w:tcW w:type="dxa" w:w="2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clinical practice capability.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V2.5 (18+ mo)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Multi-tenant self-serve signup, subscription billing, white-labeling, SSO, SOC 2/HITRUST.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Sellable SaaS at scale.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Recommended sequencing note: the claims pipeline (V1) is the hardest and highest-value slice — clearinghouse certification and ERA posting take calendar time regardless of engineering speed, so start payer/clearinghouse enrollment during MVP development.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5AAC"/>
        </w:rPr>
        <w:t xml:space="preserve">7. Market Best Practices Adopted</w:t>
      </w:r>
    </w:p>
    <w:p>
      <w:pPr>
        <w:spacing w:after="120"/>
      </w:pPr>
      <w:r>
        <w:rPr>
          <w:sz w:val="22"/>
          <w:szCs w:val="22"/>
        </w:rPr>
        <w:t xml:space="preserve">Design patterns proven by the leading US practice management and EHR products, incorporated into this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200"/>
        <w:gridCol w:w="4600"/>
      </w:tblGrid>
      <w:tr>
        <w:trPr>
          <w:tblHeader/>
        </w:trPr>
        <w:tc>
          <w:tcPr>
            <w:tcW w:type="dxa" w:w="256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2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Seen In</w:t>
            </w:r>
          </w:p>
        </w:tc>
        <w:tc>
          <w:tcPr>
            <w:tcW w:type="dxa" w:w="4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We Apply It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Card-on-file with auto-charge after adjudication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SimplePractice, Tebra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 liability charged automatically when a claim reaches Pending Patient Liability — the single biggest collections-rate lever.</w:t>
            </w:r>
          </w:p>
        </w:tc>
      </w:tr>
      <w:tr>
        <w:tc>
          <w:tcPr>
            <w:tcW w:type="dxa" w:w="25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 scrubbing before submission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Athenahealth, Tebra</w:t>
            </w:r>
          </w:p>
        </w:tc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Rules engine validates codes, modifiers, NPI, and payer-specific edits pre-submission; first-pass acceptance rate is a tracked KPI (target 95%+).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Exception-based work queues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Athenahealth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 never scan lists; they work queues of exceptions (failed eligibility, rejected claims, unsigned notes).</w:t>
            </w:r>
          </w:p>
        </w:tc>
      </w:tr>
      <w:tr>
        <w:tc>
          <w:tcPr>
            <w:tcW w:type="dxa" w:w="25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reminders to cut no-shows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SimplePractice, DrChrono</w:t>
            </w:r>
          </w:p>
        </w:tc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SMS/email reminder sequences with confirm/cancel links; no-show rate reported per clinician.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self-service portal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SimplePractice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Booking, intake, payments, and messaging offloaded to clients — reduces front-desk load and is a top buying criterion.</w:t>
            </w:r>
          </w:p>
        </w:tc>
      </w:tr>
      <w:tr>
        <w:tc>
          <w:tcPr>
            <w:tcW w:type="dxa" w:w="25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 templates + note-completion enforcement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TherapyNotes</w:t>
            </w:r>
          </w:p>
        </w:tc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Unsigned-note aging visible on dashboards; billing release gated on signed notes — keeps compliance and cash flow aligned.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Measurement-based care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TherapyNotes, Blueprint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PHQ-9/GAD-7 and custom outcome measures administered via portal, trended in the chart.</w:t>
            </w:r>
          </w:p>
        </w:tc>
      </w:tr>
      <w:tr>
        <w:tc>
          <w:tcPr>
            <w:tcW w:type="dxa" w:w="25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ambient documentation with human sign-off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Athenahealth + Abridge/Nuance DAX pattern</w:t>
            </w:r>
          </w:p>
        </w:tc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drafts, clinician signs; the signature is the legal record — AI never auto-finalizes.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Integrated everything (one login)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leaders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Scheduling, notes, eRx, labs, billing, telehealth in one system — practices are actively consolidating away from point tools.</w:t>
            </w:r>
          </w:p>
        </w:tc>
      </w:tr>
      <w:tr>
        <w:tc>
          <w:tcPr>
            <w:tcW w:type="dxa" w:w="25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Transparent claim tracking</w:t>
            </w:r>
          </w:p>
        </w:tc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Tebra</w:t>
            </w:r>
          </w:p>
        </w:tc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claim tracker (§2.1) gives owners payout-date visibility that legacy billing services hide.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Per-seat SaaS pricing with self-serve onboarding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SimplePractice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 self-signup, guided data import from competitors, and monthly per-clinician pricing for low-friction sales.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Competitive gaps this platform exploits: SimplePractice's limited insurance workflow depth, TherapyNotes' dated UX, and the big EHRs' (Athena/Epic) cost and complexity for small practices. The wedge is: modern UX + full revenue-cycle automation + AI documentation, priced for 1–50 clinician practices.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2026-08-03T07:21:35.596Z</dcterms:created>
  <dcterms:modified xsi:type="dcterms:W3CDTF">2026-08-03T07:21:35.596Z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