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b/>
          <w:bCs/>
          <w:color w:val="2563EB"/>
          <w:sz w:val="64"/>
          <w:szCs w:val="64"/>
        </w:rPr>
        <w:t xml:space="preserve">ClinicOS</w:t>
      </w:r>
    </w:p>
    <w:p>
      <w:pPr>
        <w:spacing w:after="200"/>
        <w:jc w:val="center"/>
      </w:pPr>
      <w:r>
        <w:rPr>
          <w:color w:val="444444"/>
          <w:sz w:val="36"/>
          <w:szCs w:val="36"/>
        </w:rPr>
        <w:t xml:space="preserve">Clinical Practice Management Platform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System Workflow &amp; Architecture — As Built</w:t>
      </w:r>
    </w:p>
    <w:p>
      <w:pPr>
        <w:spacing w:after="2200"/>
        <w:jc w:val="center"/>
      </w:pPr>
      <w:r>
        <w:rPr>
          <w:color w:val="666666"/>
          <w:sz w:val="22"/>
          <w:szCs w:val="22"/>
        </w:rPr>
        <w:t xml:space="preserve">Landing Page · Staff Application · Patient Portal · Revenue Cycle · AI Documentation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Multi-Tenant, HIPAA-Compliant SaaS for Clinical Practices in the USA</w:t>
      </w:r>
    </w:p>
    <w:p>
      <w:pPr>
        <w:jc w:val="center"/>
      </w:pPr>
      <w:r>
        <w:rPr>
          <w:color w:val="999999"/>
          <w:sz w:val="20"/>
          <w:szCs w:val="20"/>
        </w:rPr>
        <w:t xml:space="preserve">Version 2.0 (as-built)  ·  August 2026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ClinicOS is a working, multi-tenant clinic management platform for US practices, built to eka.care-class product scope on US compliance rails (HIPAA, X12 claims, ICD-10/CPT, TCPA). This document describes the system as actually implemented in the repository, including the redesigned user interface and the public landing page added in version 2.</w:t>
      </w:r>
    </w:p>
    <w:p>
      <w:pPr>
        <w:pStyle w:val="Heading2"/>
        <w:spacing w:after="120" w:before="240"/>
      </w:pPr>
      <w:r>
        <w:rPr>
          <w:color w:val="2563EB"/>
        </w:rPr>
        <w:t xml:space="preserve">1.1 Three Application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600"/>
        <w:gridCol w:w="3560"/>
      </w:tblGrid>
      <w:tr>
        <w:trPr>
          <w:tblHeader/>
        </w:trPr>
        <w:tc>
          <w:tcPr>
            <w:tcW w:type="dxa" w:w="17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5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5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eka-style marketing front door: hero, 360° module carousel, specialties, Gen AI cards, comparison, CTAs routing to the two sign-ins.</w:t>
            </w:r>
          </w:p>
        </w:tc>
      </w:tr>
      <w:tr>
        <w:tc>
          <w:tcPr>
            <w:tcW w:type="dxa" w:w="17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 application</w:t>
            </w:r>
          </w:p>
        </w:tc>
        <w:tc>
          <w:tcPr>
            <w:tcW w:type="dxa" w:w="1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/login → app</w:t>
            </w:r>
          </w:p>
        </w:tc>
        <w:tc>
          <w:tcPr>
            <w:tcW w:type="dxa" w:w="26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Owner, admin, clinician, biller, front desk</w:t>
            </w:r>
          </w:p>
        </w:tc>
        <w:tc>
          <w:tcPr>
            <w:tcW w:type="dxa" w:w="35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clinic operations: queue, patients, scheduling, notes, prescriptions, claims, remittances, analytics, settings.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portal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/portal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Visits, prescriptions, bills, and self-service booking — scoped by database policy to the signed-in patient only.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563EB"/>
        </w:rPr>
        <w:t xml:space="preserve">1.2 Core Pipeline (implemented end to end)</w:t>
      </w:r>
    </w:p>
    <w:p>
      <w:pPr>
        <w:pBdr>
          <w:top w:val="single" w:color="2563EB" w:sz="6"/>
          <w:bottom w:val="single" w:color="2563EB" w:sz="6"/>
        </w:pBdr>
        <w:spacing w:after="200" w:before="120"/>
        <w:jc w:val="center"/>
      </w:pPr>
      <w:r>
        <w:rPr>
          <w:b/>
          <w:bCs/>
          <w:color w:val="2563EB"/>
          <w:sz w:val="21"/>
          <w:szCs w:val="21"/>
        </w:rPr>
        <w:t xml:space="preserve">Patient → Appointment → Eligibility (Pverify) → Queue Check-in → Session → AI Note (sign-to-lock) → Rx → Claim (837P) → Tracking → ERA (835) Auto-Post → Payment → Analytics</w:t>
      </w:r>
    </w:p>
    <w:p>
      <w:pPr>
        <w:spacing w:after="120"/>
      </w:pPr>
      <w:r>
        <w:rPr>
          <w:sz w:val="22"/>
          <w:szCs w:val="22"/>
        </w:rPr>
        <w:t xml:space="preserve">Every stage is functional today: completing an appointment opens an encounter; signing the AI-drafted note releases billing and creates a draft claim; submitting builds an 837P and assigns a claim number; the mock payer adjudicates; ERA fetch auto-posts payment, marks the claim Funded, and invoices the patient balance — which then appears in the patient portal's Bills tab.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2. Operational Workflows (As Implemented)</w:t>
      </w:r>
    </w:p>
    <w:p>
      <w:pPr>
        <w:pStyle w:val="Heading2"/>
        <w:spacing w:after="120" w:before="240"/>
      </w:pPr>
      <w:r>
        <w:rPr>
          <w:color w:val="2563EB"/>
        </w:rPr>
        <w:t xml:space="preserve">2.1 Front Desk / Clinic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5660"/>
      </w:tblGrid>
      <w:tr>
        <w:trPr>
          <w:tblHeader/>
        </w:trPr>
        <w:tc>
          <w:tcPr>
            <w:tcW w:type="dxa" w:w="18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6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 patient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 desk / admin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created with phone + SMS consent checkbox (TCPA). Optional clinician assignment drives caseload isolation.</w:t>
            </w:r>
          </w:p>
        </w:tc>
      </w:tr>
      <w:tr>
        <w:tc>
          <w:tcPr>
            <w:tcW w:type="dxa" w:w="18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19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 or patient (portal)</w:t>
            </w:r>
          </w:p>
        </w:tc>
        <w:tc>
          <w:tcPr>
            <w:tcW w:type="dxa" w:w="56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Conflict check on clinician calendar; SMS reminder auto-scheduled 24h prior (sent only with phone + consent; otherwise logged as skipped).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insurance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 (one click) 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Pverify adapter returns copay / deductible; stored on eligibility_checks; visible on patient chart.</w:t>
            </w:r>
          </w:p>
        </w:tc>
      </w:tr>
      <w:tr>
        <w:tc>
          <w:tcPr>
            <w:tcW w:type="dxa" w:w="18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the day</w:t>
            </w:r>
          </w:p>
        </w:tc>
        <w:tc>
          <w:tcPr>
            <w:tcW w:type="dxa" w:w="19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 desk</w:t>
            </w:r>
          </w:p>
        </w:tc>
        <w:tc>
          <w:tcPr>
            <w:tcW w:type="dxa" w:w="56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 page: Waiting / Upcoming / Seen columns with Confirm → Check in → Complete visit; auto-refreshes every 30s.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visit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staff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Encounter auto-created in 'note_pending' — enters the clinician's documentation queue.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563EB"/>
        </w:rPr>
        <w:t xml:space="preserve">2.2 Clinician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Notes page lists unsigned encounters. Open → Generate AI draft (SOAP/DAP/BIRP) → edit → Sign &amp; lock. The signature locks the note (immutable), sets CPT codes and rate, and creates a draft claim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Digital Prescription page (or + New Rx from the patient chart): ICD-10 diagnoses, structured medication rows, advice, follow-up. Saving renders the printable branded Rx (practice name, clinician credentials, signature line) with one-click 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Clinicians see only their own caseload everywhere — enforced by database row-level security, not UI filtering.</w:t>
      </w:r>
    </w:p>
    <w:p>
      <w:pPr>
        <w:pStyle w:val="Heading2"/>
        <w:spacing w:after="120" w:before="240"/>
      </w:pPr>
      <w:r>
        <w:rPr>
          <w:color w:val="2563EB"/>
        </w:rPr>
        <w:t xml:space="preserve">2.3 Biller / Revenue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Status</w:t>
            </w:r>
          </w:p>
        </w:tc>
        <w:tc>
          <w:tcPr>
            <w:tcW w:type="dxa" w:w="45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automatically when a note is signed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 (837P)</w:t>
            </w:r>
          </w:p>
        </w:tc>
      </w:tr>
      <w:tr>
        <w:tc>
          <w:tcPr>
            <w:tcW w:type="dxa" w:w="24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45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Biller clicks Submit — X12 837P built, claim number assigned, expected payout date set</w:t>
            </w:r>
          </w:p>
        </w:tc>
        <w:tc>
          <w:tcPr>
            <w:tcW w:type="dxa" w:w="24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Payer adjudication (mock: ~20s)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in_revision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Rejection — biller fixes and resubmits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24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pending_patient_liability</w:t>
            </w:r>
          </w:p>
        </w:tc>
        <w:tc>
          <w:tcPr>
            <w:tcW w:type="dxa" w:w="45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Adjudicated; patient owes copay/deductible</w:t>
            </w:r>
          </w:p>
        </w:tc>
        <w:tc>
          <w:tcPr>
            <w:tcW w:type="dxa" w:w="24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funded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ERA fetch auto-posts payment; terminal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denied</w:t>
            </w:r>
          </w:p>
        </w:tc>
        <w:tc>
          <w:tcPr>
            <w:tcW w:type="dxa" w:w="45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Denial → appeal workflow</w:t>
            </w:r>
          </w:p>
        </w:tc>
        <w:tc>
          <w:tcPr>
            <w:tcW w:type="dxa" w:w="24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in_revision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Remittances page: 'Fetch &amp; auto-post ERAs' processes 835 remittance advice — records payer payment, flips claims to Funded with full status history, and auto-creates patient invoices for the residual (visible in the portal).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Analytics: revenue by month, claims funnel by dollar value, visits, and no-show rate.</w:t>
      </w:r>
    </w:p>
    <w:p>
      <w:pPr>
        <w:pStyle w:val="Heading2"/>
        <w:spacing w:after="120" w:before="240"/>
      </w:pPr>
      <w:r>
        <w:rPr>
          <w:color w:val="2563EB"/>
        </w:rPr>
        <w:t xml:space="preserve">2.4 Patient (Portal)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with email + date of birth on file (scaffold; OTP is the production path). Session is a separate JWT type valid 30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Next-visit hero card, then tabs: Visits (history + status), Prescriptions (medication cards with dosing instructions), Bills (auto-generated patient liabilities), Book (choose provider + time; server-side conflict check).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3. User Interface &amp; Landing Page (v2 Redesign)</w:t>
      </w:r>
    </w:p>
    <w:p>
      <w:pPr>
        <w:pStyle w:val="Heading2"/>
        <w:spacing w:after="120" w:before="240"/>
      </w:pPr>
      <w:r>
        <w:rPr>
          <w:color w:val="2563EB"/>
        </w:rPr>
        <w:t xml:space="preserve">3.1 Design Language (eka.care-derived)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blue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#2563EB (accent), #1D4ED8 (hover)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Buttons, active nav, links, stat numbers, section chips</w:t>
            </w:r>
          </w:p>
        </w:tc>
      </w:tr>
      <w:tr>
        <w:tc>
          <w:tcPr>
            <w:tcW w:type="dxa" w:w="19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 blue</w:t>
            </w:r>
          </w:p>
        </w:tc>
        <w:tc>
          <w:tcPr>
            <w:tcW w:type="dxa" w:w="3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#E8EFFD</w:t>
            </w:r>
          </w:p>
        </w:tc>
        <w:tc>
          <w:tcPr>
            <w:tcW w:type="dxa" w:w="42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Chips, icon tiles, active-state backgrounds, badge fills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#F5F6F9 app · #FFFFFF cards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Light-gray canvas with white cards</w:t>
            </w:r>
          </w:p>
        </w:tc>
      </w:tr>
      <w:tr>
        <w:tc>
          <w:tcPr>
            <w:tcW w:type="dxa" w:w="19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#10131A primary · #5F6675 muted</w:t>
            </w:r>
          </w:p>
        </w:tc>
        <w:tc>
          <w:tcPr>
            <w:tcW w:type="dxa" w:w="42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Near-black headlines, gray supporting text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16px card radius · 999px pill buttons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Rounded cards, fully-rounded buttons and chips</w:t>
            </w:r>
          </w:p>
        </w:tc>
      </w:tr>
      <w:tr>
        <w:tc>
          <w:tcPr>
            <w:tcW w:type="dxa" w:w="19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Elevation</w:t>
            </w:r>
          </w:p>
        </w:tc>
        <w:tc>
          <w:tcPr>
            <w:tcW w:type="dxa" w:w="3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2px 10px rgba(37,99,235,.06)</w:t>
            </w:r>
          </w:p>
        </w:tc>
        <w:tc>
          <w:tcPr>
            <w:tcW w:type="dxa" w:w="42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 blue-tinted shadows; stronger on hover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colors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green funded/completed · amber revision/no-show · red denied/liability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Pill badges throughout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563EB"/>
        </w:rPr>
        <w:t xml:space="preserve">3.2 Landing Page (public, at /)</w:t>
      </w:r>
    </w:p>
    <w:p>
      <w:pPr>
        <w:spacing w:after="120"/>
      </w:pPr>
      <w:r>
        <w:rPr>
          <w:sz w:val="22"/>
          <w:szCs w:val="22"/>
        </w:rPr>
        <w:t xml:space="preserve">Replicates the eka.care marketing structure, wired to the live product — every CTA routes to a real sign-in, and every module described exists in the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rPr>
          <w:tblHeader/>
        </w:trPr>
        <w:tc>
          <w:tcPr>
            <w:tcW w:type="dxa" w:w="5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Announcement strip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 bar: all-in-one clinic software, HIPAA-grade security.</w:t>
            </w:r>
          </w:p>
        </w:tc>
      </w:tr>
      <w:tr>
        <w:tc>
          <w:tcPr>
            <w:tcW w:type="dxa" w:w="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Logo, anchors (Practice Tool, Specialties, Gen AI), Patient Portal link, 'Sign in to your clinic' pill button.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Hero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Chip + 'The Smart Clinic Management Software for Modern Doctors' (blue accent line), sub-copy, dual CTAs (clinic sign-in / patient), stats row.</w:t>
            </w:r>
          </w:p>
        </w:tc>
      </w:tr>
      <w:tr>
        <w:tc>
          <w:tcPr>
            <w:tcW w:type="dxa" w:w="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360° Practice Management Tool</w:t>
            </w:r>
          </w:p>
        </w:tc>
        <w:tc>
          <w:tcPr>
            <w:tcW w:type="dxa" w:w="6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Interactive numbered carousel (1–6): Digital Prescription, Clinic Management, Patient Engagement, Practice Analytics, Multi-Login Setup, AI Scribe. Clicking an item swaps the detail panel with ✓ feature bullets and a Try Now CTA.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Specialty pads grid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Eight specialty cards (Cardiology, Neurology, Nephrology, Endocrinology, Paediatrics, Dental, Gyn &amp; Obs, Ophthalmology) with 'Customised Pad' chips.</w:t>
            </w:r>
          </w:p>
        </w:tc>
      </w:tr>
      <w:tr>
        <w:tc>
          <w:tcPr>
            <w:tcW w:type="dxa" w:w="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 AI</w:t>
            </w:r>
          </w:p>
        </w:tc>
        <w:tc>
          <w:tcPr>
            <w:tcW w:type="dxa" w:w="6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Four numbered cards: DocAssist Summary, DocAssist Chat, Simplified Digital Prescriptions, AI Scribe.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Switch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'Ditch the Paper Chart. Keep the Relationship.' — ✗ paper-charts card vs ✓ ClinicOS EHR card.</w:t>
            </w:r>
          </w:p>
        </w:tc>
      </w:tr>
      <w:tr>
        <w:tc>
          <w:tcPr>
            <w:tcW w:type="dxa" w:w="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Multi-doctor CTA + footer</w:t>
            </w:r>
          </w:p>
        </w:tc>
        <w:tc>
          <w:tcPr>
            <w:tcW w:type="dxa" w:w="6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Multi-doctor clinics pitch and closing sign-in CTA.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563EB"/>
        </w:rPr>
        <w:t xml:space="preserve">3.3 Staff Application 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 sidebar: brand mark, nav items with rounded icon tiles; the active item is a blue gradient pill. Role-aware — clinicians see Notes/Prescriptions, billers see Claims/Remittances, owners see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Topbar: global patient search (pill input; enter jumps to filtered patient list) and the signed-in user's initials avatar with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Dashboard: blue gradient hero greeting, gradient stat chips (today's appointments, 7-day load, unsigned notes, outstanding claims), the 360° module grid, and today's patient list with avatars.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 chart (/patients/:id): header card with avatar, age, contacts and '+ New Rx'; tabs for Overview (insurance + live eligibility re-check + recent visits), Prescriptions, and Appointments.</w:t>
      </w:r>
    </w:p>
    <w:p>
      <w:pPr>
        <w:pStyle w:val="Heading2"/>
        <w:spacing w:after="120" w:before="240"/>
      </w:pPr>
      <w:r>
        <w:rPr>
          <w:color w:val="2563EB"/>
        </w:rPr>
        <w:t xml:space="preserve">3.4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3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47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 (/)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 to staff login or patient portal</w:t>
            </w:r>
          </w:p>
        </w:tc>
      </w:tr>
      <w:tr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staff</w:t>
            </w:r>
          </w:p>
        </w:tc>
        <w:tc>
          <w:tcPr>
            <w:tcW w:type="dxa" w:w="47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KPIs, 360° module grid, today's patients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staff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flow; completing opens encounter</w:t>
            </w:r>
          </w:p>
        </w:tc>
      </w:tr>
      <w:tr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Patients + Chart</w:t>
            </w:r>
          </w:p>
        </w:tc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staff (scoped)</w:t>
            </w:r>
          </w:p>
        </w:tc>
        <w:tc>
          <w:tcPr>
            <w:tcW w:type="dxa" w:w="47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Search, create w/ SMS consent, eligibility check, chart tabs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staff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7-day view, status transitions, conflict-checked booking</w:t>
            </w:r>
          </w:p>
        </w:tc>
      </w:tr>
      <w:tr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</w:t>
            </w:r>
          </w:p>
        </w:tc>
        <w:tc>
          <w:tcPr>
            <w:tcW w:type="dxa" w:w="47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draft → edit → sign &amp; lock → auto draft claim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Rx builder, history, printable branded Rx</w:t>
            </w:r>
          </w:p>
        </w:tc>
      </w:tr>
      <w:tr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Claims</w:t>
            </w:r>
          </w:p>
        </w:tc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Owner, biller</w:t>
            </w:r>
          </w:p>
        </w:tc>
        <w:tc>
          <w:tcPr>
            <w:tcW w:type="dxa" w:w="47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 837P, status transitions, history, aging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Remittances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Owner, biller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Fetch &amp; auto-post ERAs; line-level drill-down</w:t>
            </w:r>
          </w:p>
        </w:tc>
      </w:tr>
      <w:tr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Owner, admin, biller</w:t>
            </w:r>
          </w:p>
        </w:tc>
        <w:tc>
          <w:tcPr>
            <w:tcW w:type="dxa" w:w="47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Revenue, claims funnel, no-show rate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staff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TOTP MFA enrollment; SMS reminder log</w:t>
            </w:r>
          </w:p>
        </w:tc>
      </w:tr>
      <w:tr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Portal (/portal)</w:t>
            </w:r>
          </w:p>
        </w:tc>
        <w:tc>
          <w:tcPr>
            <w:tcW w:type="dxa" w:w="23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47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Visits, prescriptions, bills, self-booking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4. Database Architecture (As Built)</w:t>
      </w:r>
    </w:p>
    <w:p>
      <w:pPr>
        <w:spacing w:after="120"/>
      </w:pPr>
      <w:r>
        <w:rPr>
          <w:sz w:val="22"/>
          <w:szCs w:val="22"/>
        </w:rPr>
        <w:t xml:space="preserve">PostgreSQL 16, shared-schema multi-tenancy, seven migrations (001–007). Isolation is enforced by Row-Level Security in three layers, so no application bug can cross a boundary: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RLS Layer</w:t>
            </w:r>
          </w:p>
        </w:tc>
        <w:tc>
          <w:tcPr>
            <w:tcW w:type="dxa" w:w="42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tenant_id = current_setting('app.tenant_id') policy on every table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practice can never read another practice's rows.</w:t>
            </w:r>
          </w:p>
        </w:tc>
      </w:tr>
      <w:tr>
        <w:tc>
          <w:tcPr>
            <w:tcW w:type="dxa" w:w="1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</w:t>
            </w:r>
          </w:p>
        </w:tc>
        <w:tc>
          <w:tcPr>
            <w:tcW w:type="dxa" w:w="4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RESTRICTIVE policies joining client_assignments</w:t>
            </w:r>
          </w:p>
        </w:tc>
        <w:tc>
          <w:tcPr>
            <w:tcW w:type="dxa" w:w="36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 sessions see only their assigned caseload (clients, appointments, encounters, notes, prescriptions).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(portal)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RESTRICTIVE policies: client_id = current_setting('app.client_id')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portal session can only read its own client, appointments, prescriptions, and invoices.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563EB"/>
        </w:rPr>
        <w:t xml:space="preserve">4.1 Table Inventory by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3060"/>
      </w:tblGrid>
      <w:tr>
        <w:trPr>
          <w:tblHeader/>
        </w:trPr>
        <w:tc>
          <w:tcPr>
            <w:tcW w:type="dxa" w:w="15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48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 / Objects</w:t>
            </w:r>
          </w:p>
        </w:tc>
        <w:tc>
          <w:tcPr>
            <w:tcW w:type="dxa" w:w="30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001_schema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tenants, users, user_roles, clinicians, clients, client_assignments, insurance_payers, client_policies, eligibility_checks, appointments, waitlist_entries, encounters, notes, invoices, claims, claim_status_history, payments, audit_log + RLS + break_glass_read_note()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platform</w:t>
            </w:r>
          </w:p>
        </w:tc>
      </w:tr>
      <w:tr>
        <w:tc>
          <w:tcPr>
            <w:tcW w:type="dxa" w:w="1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002/003_seed</w:t>
            </w:r>
          </w:p>
        </w:tc>
        <w:tc>
          <w:tcPr>
            <w:tcW w:type="dxa" w:w="48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tenant, users (owner/clinician/biller), clients, policies, sample pipeline</w:t>
            </w:r>
          </w:p>
        </w:tc>
        <w:tc>
          <w:tcPr>
            <w:tcW w:type="dxa" w:w="30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Working demo data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004_remittances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remittances, remittance_lines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ERA 835 posting</w:t>
            </w:r>
          </w:p>
        </w:tc>
      </w:tr>
      <w:tr>
        <w:tc>
          <w:tcPr>
            <w:tcW w:type="dxa" w:w="1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005_prescriptions</w:t>
            </w:r>
          </w:p>
        </w:tc>
        <w:tc>
          <w:tcPr>
            <w:tcW w:type="dxa" w:w="48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prescriptions (diagnoses/medications JSONB)</w:t>
            </w:r>
          </w:p>
        </w:tc>
        <w:tc>
          <w:tcPr>
            <w:tcW w:type="dxa" w:w="30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Digital Rx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006_mfa_reminders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users.mfa_enabled, clients.sms_consent, reminders; auth_login_lookup v2; fetch_due_reminders(), mark_reminder()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MFA + SMS</w:t>
            </w:r>
          </w:p>
        </w:tc>
      </w:tr>
      <w:tr>
        <w:tc>
          <w:tcPr>
            <w:tcW w:type="dxa" w:w="1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007_portal</w:t>
            </w:r>
          </w:p>
        </w:tc>
        <w:tc>
          <w:tcPr>
            <w:tcW w:type="dxa" w:w="48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portal RLS policies; portal_login_lookup()</w:t>
            </w:r>
          </w:p>
        </w:tc>
        <w:tc>
          <w:tcPr>
            <w:tcW w:type="dxa" w:w="30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portal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DEFINER functions are the only RLS bypass points: login lookups (staff and portal), the reminder worker's due-fetch/mark, and the audited break-glass note read. Each is single-purpose and grant-limited to app_user.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audit_log is append-only (UPDATE/DELETE revoked) and records every PHI create/read/update including break-glass reasons.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5. Authentication &amp; Access Control (As Built)</w:t>
      </w:r>
    </w:p>
    <w:p>
      <w:pPr>
        <w:pStyle w:val="Heading2"/>
        <w:spacing w:after="120" w:before="240"/>
      </w:pPr>
      <w:r>
        <w:rPr>
          <w:color w:val="2563EB"/>
        </w:rPr>
        <w:t xml:space="preserve">5.1 Staff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+ password (bcrypt in dev; Argon2id flagged for production) resolved via SECURITY DEFINER lookup — login works without a tenant context while RLS stays intact.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TOTP MFA (RFC 6238, dependency-free implementation, ±30s drift window): enroll in Settings (secret + otpauth URI for any authenticator app), verify to enable; sign-in then becomes password → 6-digit code (5-minute MFA token bridges the two steps).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Sessions: 15-minute access JWT + refresh token; a 401 clears the session cleanly and returns to login (no redirect loops).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RBAC: owner, admin, clinician, biller, front_desk — enforced at route level (requireRole) and again in the database via RLS session context.</w:t>
      </w:r>
    </w:p>
    <w:p>
      <w:pPr>
        <w:pStyle w:val="Heading2"/>
        <w:spacing w:after="120" w:before="240"/>
      </w:pPr>
      <w:r>
        <w:rPr>
          <w:color w:val="2563EB"/>
        </w:rPr>
        <w:t xml:space="preserve">5.2 Patient Portal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+ DOB match issues a 30-minute portal JWT (distinct token type; staff endpoints reject it). Production path: SMS/email OTP using the existing Twilio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Portal RLS layer guarantees self-only data access at the database level.</w:t>
      </w:r>
    </w:p>
    <w:p>
      <w:pPr>
        <w:pStyle w:val="Heading2"/>
        <w:spacing w:after="120" w:before="240"/>
      </w:pPr>
      <w:r>
        <w:rPr>
          <w:color w:val="2563EB"/>
        </w:rPr>
        <w:t xml:space="preserve">5.3 Compliance Posture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HIPAA Security Rule technical safeguards implemented: unique IDs, MFA, automatic logoff, audit controls, encryption-ready transport, break-glass with documented reason + audit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TCPA: SMS consent captured per patient; reminders without consent are recorded as skipped, never 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Production checklist retained in README: Argon2id, KMS encryption of MFA secrets, BAAs with all vendors, SOC 2 / HITRUST roadmap.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6. Integration Adapters &amp; Async Jobs</w:t>
      </w:r>
    </w:p>
    <w:p>
      <w:pPr>
        <w:spacing w:after="120"/>
      </w:pPr>
      <w:r>
        <w:rPr>
          <w:sz w:val="22"/>
          <w:szCs w:val="22"/>
        </w:rPr>
        <w:t xml:space="preserve">Every external dependency sits behind an adapter with a mock mode (full demo without credentials) and a real mode activated by environment variables — call sites never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42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Mock Behavior</w:t>
            </w:r>
          </w:p>
        </w:tc>
        <w:tc>
          <w:tcPr>
            <w:tcW w:type="dxa" w:w="26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Mode Switch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pverify.js — eligibility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Deterministic copay/deductible results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PVERIFY_CLIENT_ID / PVERIFY_CLIENT_SECRET</w:t>
            </w:r>
          </w:p>
        </w:tc>
      </w:tr>
      <w:tr>
        <w:tc>
          <w:tcPr>
            <w:tcW w:type="dxa" w:w="2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clearinghouse.js — claims</w:t>
            </w:r>
          </w:p>
        </w:tc>
        <w:tc>
          <w:tcPr>
            <w:tcW w:type="dxa" w:w="4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Builds 837P, assigns claim number, adjudicates ~20s later (75% pending-liability, 25% revision)</w:t>
            </w:r>
          </w:p>
        </w:tc>
        <w:tc>
          <w:tcPr>
            <w:tcW w:type="dxa" w:w="26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CLEARINGHOUSE_API_KEY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era.js — remittances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Generates 835-style ERA: 80% paid (CO-45), 20% patient responsibility (PR-2)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CLEARINGHOUSE_API_KEY</w:t>
            </w:r>
          </w:p>
        </w:tc>
      </w:tr>
      <w:tr>
        <w:tc>
          <w:tcPr>
            <w:tcW w:type="dxa" w:w="25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ai_notes.js — documentation</w:t>
            </w:r>
          </w:p>
        </w:tc>
        <w:tc>
          <w:tcPr>
            <w:tcW w:type="dxa" w:w="4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SOAP/DAP/BIRP template drafts</w:t>
            </w:r>
          </w:p>
        </w:tc>
        <w:tc>
          <w:tcPr>
            <w:tcW w:type="dxa" w:w="26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ANTHROPIC_API_KEY (BAA + zero retention required)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sms.js — reminders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 message, returns mock SID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TWILIO_ACCOUNT_SID / AUTH_TOKEN / FROM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jobs/queue.js: in-process queue with retry and exponential backoff (dead-letter logging), plus a 60-second reminder worker. Both are designed as swap seams for SQS/Cloud Tasks worker pods at scale.</w:t>
      </w:r>
    </w:p>
    <w:p>
      <w:pPr>
        <w:pStyle w:val="Heading2"/>
        <w:spacing w:after="120" w:before="240"/>
      </w:pPr>
      <w:r>
        <w:rPr>
          <w:color w:val="2563EB"/>
        </w:rPr>
        <w:t xml:space="preserve">6.1 Deployment &amp; Development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 compose up: Postgres 16 + API (migrations/seeds run on boot) + web. UI iteration: run Vite directly (npm run dev) against dockerized db/api for instant reload.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GitHub: single repo, main branch; colleagues clone, run, and review. Scaling path: stateless API pods → read replicas → tenant sharding (unchanged from v1 design).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63EB"/>
        </w:rPr>
        <w:t xml:space="preserve">7. Status &amp; Roadmap</w:t>
      </w:r>
    </w:p>
    <w:p>
      <w:pPr>
        <w:pStyle w:val="Heading2"/>
        <w:spacing w:after="120" w:before="240"/>
      </w:pPr>
      <w:r>
        <w:rPr>
          <w:color w:val="2563EB"/>
        </w:rPr>
        <w:t xml:space="preserve">7.1 Delivered (working 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Multi-tenant core, 3-layer RLS, audit log, RBAC, TOTP MFA</w:t>
            </w:r>
          </w:p>
        </w:tc>
      </w:tr>
      <w:tr>
        <w:tc>
          <w:tcPr>
            <w:tcW w:type="dxa" w:w="2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 ops</w:t>
            </w:r>
          </w:p>
        </w:tc>
        <w:tc>
          <w:tcPr>
            <w:tcW w:type="dxa" w:w="7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 with check-in flow, scheduling with conflicts + SMS reminders, patient chart with tabs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Clinical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note drafting with sign-to-lock, digital prescriptions with printable branded Rx</w:t>
            </w:r>
          </w:p>
        </w:tc>
      </w:tr>
      <w:tr>
        <w:tc>
          <w:tcPr>
            <w:tcW w:type="dxa" w:w="2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cycle</w:t>
            </w:r>
          </w:p>
        </w:tc>
        <w:tc>
          <w:tcPr>
            <w:tcW w:type="dxa" w:w="7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Eligibility (Pverify), 837P submission, claim tracker + status machine, ERA auto-posting, patient invoicing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Patient-facing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Portal: visits, Rx, bills, self-booking</w:t>
            </w:r>
          </w:p>
        </w:tc>
      </w:tr>
      <w:tr>
        <w:tc>
          <w:tcPr>
            <w:tcW w:type="dxa" w:w="220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  <w:tc>
          <w:tcPr>
            <w:tcW w:type="dxa" w:w="7160"/>
            <w:shd w:fill="F2F6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eka-blue design system, landing page with interactive 360° carousel, dashboards and analytics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563EB"/>
        </w:rPr>
        <w:t xml:space="preserve">7.2 Next Slices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Stripe payments — card-on-file, auto-charge patient liability, portal bill-pay (the largest collections lever).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Portal OTP login — replace email+DOB with SMS/email one-time codes (adapter already in place).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Specialty templates — per-specialty Rx pads and note templates to make the landing-page specialty cards fully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DocAssist-style AI — patient history summary and chart Q&amp;A (extends the existing AI adapter).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Voice-to-Rx / ambient scribe — audio capture feeding the existing AI note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Vendor enrollment (calendar-time items to start early): clearinghouse certification, Pverify production credentials, Twilio number, Surescripts if e-prescribing.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Bottom line: the platform now demonstrates the complete loop a buyer cares about — a patient books on the landing page's portal, the clinician documents with AI assistance, the claim submits and funds itself, and the balance appears on the patient's bill — with isolation guarantees enforced in the database at every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2026-08-03T11:01:58.816Z</dcterms:created>
  <dcterms:modified xsi:type="dcterms:W3CDTF">2026-08-03T11:01:58.816Z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