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4106" w:rsidRPr="003E3D1A" w:rsidRDefault="007C4106" w:rsidP="007C4106">
      <w:pPr>
        <w:jc w:val="center"/>
      </w:pPr>
      <w:r>
        <w:rPr>
          <w:bCs/>
        </w:rPr>
        <w:t xml:space="preserve">LUNAVISION AI: AN INTELLIGENT MULTI-AGENT PIPELINE FOR AUTOMATED EXOPLANET DISCOVERY FROM TESS OBSERVATIONS</w:t>
      </w:r>
    </w:p>
    <w:p w:rsidR="007C4106" w:rsidRPr="003E3D1A" w:rsidRDefault="007C4106" w:rsidP="007C4106">
      <w:pPr>
        <w:spacing w:after="80" w:line="220" w:lineRule="auto"/>
        <w:jc w:val="both"/>
        <w:rPr>
          <w:i/>
          <w:iCs/>
        </w:rPr>
      </w:pPr>
    </w:p>
    <w:p w:rsidR="007C4106" w:rsidRPr="003E3D1A" w:rsidRDefault="007C4106" w:rsidP="007C4106">
      <w:pPr>
        <w:pStyle w:val="Author"/>
        <w:spacing w:before="0" w:after="0"/>
        <w:rPr>
          <w:sz w:val="20"/>
          <w:szCs w:val="20"/>
        </w:rPr>
        <w:sectPr w:rsidR="007C4106" w:rsidRPr="003E3D1A" w:rsidSect="009A0EC9">
          <w:type w:val="continuous"/>
          <w:pgSz w:w="11906" w:h="16838"/>
          <w:pgMar w:top="720" w:right="720" w:bottom="720" w:left="720" w:header="708" w:footer="708" w:gutter="0"/>
          <w:cols w:space="400"/>
          <w:docGrid w:linePitch="360"/>
        </w:sectPr>
      </w:pPr>
    </w:p>
    <w:p>
      <w:pPr>
        <w:pStyle w:val="Author"/>
        <w:spacing w:before="0" w:after="0"/>
        <w:rPr>
          <w:sz w:val="20"/>
          <w:szCs w:val="20"/>
        </w:rPr>
      </w:pPr>
      <w:r>
        <w:rPr>
          <w:sz w:val="20"/>
          <w:szCs w:val="20"/>
        </w:rPr>
        <w:t>Mrs. M. Bhavadharini</w:t>
      </w:r>
      <w:r>
        <w:rPr>
          <w:sz w:val="20"/>
          <w:szCs w:val="20"/>
        </w:rPr>
        <w:br/>
        <w:t>Department of Artificial Intelligence and Data Science</w:t>
      </w:r>
      <w:r>
        <w:rPr>
          <w:i/>
          <w:sz w:val="20"/>
          <w:szCs w:val="20"/>
        </w:rPr>
        <w:br/>
        <w:t>Velammal College of Engineering and Technology</w:t>
      </w:r>
      <w:r>
        <w:rPr>
          <w:sz w:val="20"/>
          <w:szCs w:val="20"/>
        </w:rPr>
        <w:br/>
        <w:t>Madurai, India</w:t>
      </w:r>
    </w:p>
    <w:p>
      <w:pPr>
        <w:pStyle w:val="Author"/>
        <w:spacing w:before="0" w:after="0"/>
        <w:rPr>
          <w:sz w:val="20"/>
          <w:szCs w:val="20"/>
        </w:rPr>
        <w:sectPr>
          <w:type w:val="continuous"/>
          <w:pgSz w:w="11906" w:h="16838"/>
          <w:pgMar w:top="720" w:right="720" w:bottom="720" w:left="720" w:header="708" w:footer="708" w:gutter="0"/>
          <w:cols w:num="2" w:space="400"/>
          <w:docGrid w:linePitch="360"/>
        </w:sectPr>
      </w:pPr>
      <w:r>
        <w:rPr>
          <w:sz w:val="20"/>
          <w:szCs w:val="20"/>
        </w:rPr>
        <w:br w:type="column"/>
      </w:r>
      <w:r>
        <w:rPr>
          <w:sz w:val="20"/>
          <w:szCs w:val="20"/>
        </w:rPr>
        <w:t>Dr. S. Sasikala</w:t>
      </w:r>
      <w:r>
        <w:rPr>
          <w:sz w:val="20"/>
          <w:szCs w:val="20"/>
        </w:rPr>
        <w:br/>
        <w:t>Department of Artificial Intelligence and Data Science</w:t>
      </w:r>
      <w:r>
        <w:rPr>
          <w:i/>
          <w:sz w:val="20"/>
          <w:szCs w:val="20"/>
        </w:rPr>
        <w:br/>
        <w:t>Velammal College of Engineering and Technology</w:t>
      </w:r>
      <w:r>
        <w:rPr>
          <w:sz w:val="20"/>
          <w:szCs w:val="20"/>
        </w:rPr>
        <w:br/>
        <w:t>Madurai, India</w:t>
      </w:r>
    </w:p>
    <w:p>
      <w:pPr>
        <w:pStyle w:val="Author"/>
        <w:spacing w:before="0" w:after="0"/>
        <w:rPr>
          <w:sz w:val="20"/>
          <w:szCs w:val="20"/>
        </w:rPr>
      </w:pPr>
      <w:r>
        <w:rPr>
          <w:sz w:val="20"/>
          <w:szCs w:val="20"/>
        </w:rPr>
        <w:t>B R Prasanna</w:t>
      </w:r>
      <w:r>
        <w:rPr>
          <w:sz w:val="20"/>
          <w:szCs w:val="20"/>
        </w:rPr>
        <w:br/>
        <w:t>Department of Artificial Intelligence and Data Science</w:t>
      </w:r>
      <w:r>
        <w:rPr>
          <w:i/>
          <w:sz w:val="20"/>
          <w:szCs w:val="20"/>
        </w:rPr>
        <w:br/>
        <w:t>Velammal College of Engineering and Technology</w:t>
      </w:r>
      <w:r>
        <w:rPr>
          <w:sz w:val="20"/>
          <w:szCs w:val="20"/>
        </w:rPr>
        <w:br/>
        <w:t>Madurai, India</w:t>
      </w:r>
    </w:p>
    <w:p>
      <w:pPr>
        <w:pStyle w:val="Author"/>
        <w:spacing w:before="0" w:after="0"/>
        <w:rPr>
          <w:sz w:val="20"/>
          <w:szCs w:val="20"/>
        </w:rPr>
      </w:pPr>
      <w:r>
        <w:rPr>
          <w:sz w:val="20"/>
          <w:szCs w:val="20"/>
        </w:rPr>
        <w:br w:type="column"/>
      </w:r>
      <w:r>
        <w:rPr>
          <w:sz w:val="20"/>
          <w:szCs w:val="20"/>
        </w:rPr>
        <w:t>M Sandeep</w:t>
      </w:r>
      <w:r>
        <w:rPr>
          <w:sz w:val="20"/>
          <w:szCs w:val="20"/>
        </w:rPr>
        <w:br/>
        <w:t>Department of Artificial Intelligence and Data Science</w:t>
      </w:r>
      <w:r>
        <w:rPr>
          <w:i/>
          <w:sz w:val="20"/>
          <w:szCs w:val="20"/>
        </w:rPr>
        <w:br/>
        <w:t>Velammal College of Engineering and Technology</w:t>
      </w:r>
      <w:r>
        <w:rPr>
          <w:sz w:val="20"/>
          <w:szCs w:val="20"/>
        </w:rPr>
        <w:br/>
        <w:t>Madurai, India</w:t>
      </w:r>
    </w:p>
    <w:p>
      <w:pPr>
        <w:pStyle w:val="Author"/>
        <w:spacing w:before="0" w:after="0"/>
        <w:rPr>
          <w:sz w:val="20"/>
          <w:szCs w:val="20"/>
        </w:rPr>
        <w:sectPr>
          <w:type w:val="continuous"/>
          <w:pgSz w:w="11906" w:h="16838"/>
          <w:pgMar w:top="720" w:right="720" w:bottom="720" w:left="720" w:header="708" w:footer="708" w:gutter="0"/>
          <w:cols w:num="3" w:space="400"/>
          <w:docGrid w:linePitch="360"/>
        </w:sectPr>
      </w:pPr>
      <w:r>
        <w:rPr>
          <w:sz w:val="20"/>
          <w:szCs w:val="20"/>
        </w:rPr>
        <w:br w:type="column"/>
      </w:r>
      <w:r>
        <w:rPr>
          <w:sz w:val="20"/>
          <w:szCs w:val="20"/>
        </w:rPr>
        <w:t>S Gokul</w:t>
      </w:r>
      <w:r>
        <w:rPr>
          <w:sz w:val="20"/>
          <w:szCs w:val="20"/>
        </w:rPr>
        <w:br/>
        <w:t>Department of Artificial Intelligence and Data Science</w:t>
      </w:r>
      <w:r>
        <w:rPr>
          <w:i/>
          <w:sz w:val="20"/>
          <w:szCs w:val="20"/>
        </w:rPr>
        <w:br/>
        <w:t>Velammal College of Engineering and Technology</w:t>
      </w:r>
      <w:r>
        <w:rPr>
          <w:sz w:val="20"/>
          <w:szCs w:val="20"/>
        </w:rPr>
        <w:br/>
        <w:t>Madurai, India</w:t>
      </w:r>
    </w:p>
    <w:p w:rsidR="002339C8" w:rsidRPr="003E3D1A" w:rsidRDefault="009A0EC9" w:rsidP="003E3D1A">
      <w:pPr>
        <w:jc w:val="both"/>
      </w:pPr>
      <w:r w:rsidRPr="003E3D1A">
        <w:t>ABSTRACT:</w:t>
      </w:r>
    </w:p>
    <w:p>
      <w:pPr>
        <w:jc w:val="both"/>
      </w:pPr>
      <w:r>
        <w:t xml:space="preserve">The discovery of exoplanets has become a rapidly growing field in modern astronomy, providing valuable insights into planetary systems beyond our solar system. Space missions such as NASA's Transiting Exoplanet Survey Satellite (TESS) generate vast amounts of stellar light curve data, making manual analysis increasingly difficult. To address this challenge, researchers have applied various Machine Learning (ML) and Deep Learning (DL) techniques, including Random Forest, Support Vector Machine (SVM), Convolutional Neural Networks (CNN), Long Short-Term Memory (LSTM), and Transformer-based models, to identify planetary transit signals and distinguish them from noise and false positives. While these approaches have achieved promising results, they are typically designed for individual stages of the detection process and often require manual intervention for preprocessing, validation, and interpretation. This paper proposes LuNaVision AI, an intelligent multi-agent pipeline for automated exoplanet discovery from TESS observations: a collaborative AI framework that automates the complete exoplanet detection workflow. The proposed system employs specialized AI agents for astronomical data acquisition, light curve preprocessing, noise reduction, transit detection, exoplanet classification, orbital parameter estimation, explainable decision-making, and automated scientific report generation. By integrating Multi-Agent Systems, Large Language Models (LLMs), Explainable Artificial Intelligence (XAI), Machine Learning, Deep Learning, and time-series analysis, LuNaVision AI provides a scalable, interpretable, and intelligent solution for processing noisy astronomical datasets. The framework aims to improve detection accuracy, reduce false positives, minimize manual effort, and accelerate exoplanet discovery through an autonomous and efficient scientific analysis pipeline.</w:t>
      </w:r>
    </w:p>
    <w:p>
      <w:pPr>
        <w:jc w:val="both"/>
      </w:pPr>
      <w:r>
        <w:t xml:space="preserve">KEYWORDS: Exoplanet detection, TESS, transit photometry, light curves, multi-agent systems, explainable AI, machine learning.</w:t>
      </w:r>
    </w:p>
    <w:p w:rsidR="00260890" w:rsidRPr="003E3D1A" w:rsidRDefault="00260890" w:rsidP="003E3D1A">
      <w:pPr>
        <w:jc w:val="both"/>
        <w:rPr>
          <w:lang w:val="en-IN"/>
        </w:rPr>
      </w:pPr>
    </w:p>
    <w:p w:rsidR="003E3D1A" w:rsidRDefault="002339C8" w:rsidP="002339C8">
      <w:r>
        <w:rPr>
          <w:b/>
        </w:rPr>
        <w:t xml:space="preserve">1 </w:t>
      </w:r>
      <w:r>
        <w:rPr>
          <w:b/>
        </w:rPr>
        <w:t>INTRODUCTION:</w:t>
      </w:r>
    </w:p>
    <w:p/>
    <w:p>
      <w:pPr>
        <w:jc w:val="both"/>
      </w:pPr>
      <w:r>
        <w:t xml:space="preserve">The discovery of planets beyond our Solar System has become one of the most active areas of modern astronomy, offering insight into the diversity of planetary systems. Exoplanets are found through several complementary techniques, including radial velocity (RV) measurements, transit photometry, and direct imaging, each with its own sensitivity limits and observational requirements [8]. Space missions such as NASA's Transiting Exoplanet Survey Satellite (TESS) record the brightness of a very large number of stars over time; a planet passing in front of its host star appears in this light curve as a small, periodic dip in flux. The volume and noise level of these data make purely manual inspection increasingly impractical.</w:t>
      </w:r>
    </w:p>
    <w:p>
      <w:pPr>
        <w:jc w:val="both"/>
      </w:pPr>
      <w:r>
        <w:t xml:space="preserve">Signal processing and machine learning have therefore become central to exoplanet detection. Signal-processing methods improve the signal-to-noise ratio and provide statistical tools for recovering weak planetary signals [7], and neural networks have been used to remove stellar activity signals from RV data [6]. For light-curve classification, K-nearest neighbours combined with SMOTE oversampling has achieved high accuracy on stellar light-intensity data while handling class imbalance [2]. Feature-based approaches that draw on several feature domains have delivered strong classification performance, with cross-validation used to reduce dataset bias [3]. Deep learning models informed by scientific domain knowledge, such as centroid information, improve accuracy and recall and help detect low signal-to-noise transits [4], and a CNN-based ensemble has reported an accuracy of 99.62% [5]. Differentiable rendering has likewise been shown to improve contrast and the detection of faint planets in direct imaging [1].</w:t>
      </w:r>
    </w:p>
    <w:p>
      <w:pPr>
        <w:jc w:val="both"/>
      </w:pPr>
      <w:r>
        <w:t xml:space="preserve">Despite these advances, existing work has important limitations. Most studies address a single stage of the workflow, chiefly classification [2], [5], and depend on careful preprocessing and feature engineering [3]. Several approaches require additional inputs that are not always available, such as wavefront data [1], spectral information [6], or centroid measurements [4], and RV-focused methods do not carry over directly to transit light curves [6], [7]. Some models are also complex and computationally expensive [1], [5]. As a result, the surveyed works do not provide a complete, automated, end-to-end pipeline that takes raw observations through data acquisition, cleaning, detection, classification, parameter estimation, interpretation, and reporting without manual intervention [5].</w:t>
      </w:r>
    </w:p>
    <w:p>
      <w:pPr>
        <w:jc w:val="both"/>
      </w:pPr>
      <w:r>
        <w:t xml:space="preserve">To address this gap, this paper presents LuNaVision AI, an intelligent multi-agent pipeline for automated exoplanet discovery from TESS observations. The framework decomposes the discovery workflow into specialized agents for data acquisition, preprocessing, noise reduction, transit detection, classification, orbital parameter estimation, explainable decision-making, and report generation, which cooperate as a single autonomous pipeline. It combines multi-agent systems, large language models, machine learning, deep learning, and time-series analysis, and applies explainable AI so that the reasoning behind each candidate's classification can be inspected.</w:t>
      </w:r>
    </w:p>
    <w:p>
      <w:pPr>
        <w:jc w:val="both"/>
      </w:pPr>
      <w:r>
        <w:t xml:space="preserve">The objectives of this work are: (i) to automate TESS data acquisition and preprocessing and to reduce noise in stellar light curves; (ii) to detect potential planetary transit signals and to classify candidates against false positives; (iii) to estimate orbital parameters; and (iv) to provide explainable decisions and automated scientific reports, thereby reducing manual effort and improving scalability.</w:t>
      </w:r>
    </w:p>
    <w:p/>
    <w:p>
      <w:pPr>
        <w:spacing w:before="200" w:after="40"/>
      </w:pPr>
      <w:r>
        <w:rPr>
          <w:b/>
        </w:rPr>
        <w:t>2 LITERATURE SURVEY:</w:t>
      </w:r>
    </w:p>
    <w:p/>
    <w:p>
      <w:pPr>
        <w:jc w:val="both"/>
      </w:pPr>
      <w:r>
        <w:t>Existing exoplanet-detection literature clusters around three themes: signal-level detection, learned classification, and physically-informed feature engineering. On the detection side, dedicated signal-processing pipelines improve the signal-to-noise ratio of radial-velocity data and provide statistical thresholds for recovering weak periodic signals [7], while neural architectures have been used specifically to strip stellar-activity signals out of RV time series before a planet search is run [6]. For light-curve-based detection, classical classifiers combined with resampling — K-nearest neighbours with SMOTE oversampling — reach high accuracy on stellar-flux data while correcting for the natural scarcity of confirmed transits relative to non-detections [2]. Feature-engineering approaches that draw simultaneously on several feature domains improve on single-domain baselines and use cross-validation explicitly to control for dataset bias [3], and injecting scientific domain knowledge — most notably centroid position, which distinguishes an on-target transit from a background eclipsing binary — into a deep model both raises recall and helps recover lower-SNR transits [4]. The strongest single reported result in the surveyed literature is a CNN-based ensemble that reaches 99.62% accuracy on its benchmark set [5], and differentiable-rendering techniques applied to direct-imaging data improve contrast and faint-planet recoverability by modelling the imaging optics explicitly rather than treating detection as pure pattern recognition [1].</w:t>
      </w:r>
    </w:p>
    <w:p>
      <w:pPr>
        <w:jc w:val="both"/>
      </w:pPr>
      <w:r>
        <w:t>Beyond these eight core references, the pipeline also builds directly on established open-source detection and detrending methodology. The Transit Least Squares algorithm used for period search models the transit as a physically realistic box with stellar limb darkening rather than the simple box model used by the older Box Least Squares method, giving better sensitivity to small planets in the same search time [9]. Detrending is performed with a bi-weight sliding filter shown to preserve transit shape better than polynomial or spline detrending while still removing stellar variability [10], and both data access and light-curve handling build on the community-maintained Lightkurve package for TESS and Kepler photometry [11].</w:t>
      </w:r>
    </w:p>
    <w:p>
      <w:pPr>
        <w:jc w:val="both"/>
      </w:pPr>
      <w:r>
        <w:t>Read together, the eight core works are strong within their own stage of the pipeline but stop at that stage. [2] and [5] report only classification metrics and assume an already-detected, already-labelled candidate; [3] and [4] depend on hand-engineered or additional side-channel inputs that must be supplied separately; [1] requires wavefront sensor data not available to a transit survey; and the RV-focused work [6], [7] does not transfer to space-based transit photometry. None of the surveyed papers implement or evaluate acquisition, preprocessing, detection, classification, parameter estimation, explanation, and reporting as one coupled system — each addresses at most two of these stages, always with a human operator connecting the rest. Table I summarizes this gap across capability dimensions. This is the specific gap LuNaVision AI is designed to close: a single orchestrated pipeline that carries a raw TESS observation through every one of these stages without a human in the loop, while remaining interpretable enough that a domain scientist can still audit any individual decision.</w:t>
      </w:r>
    </w:p>
    <w:p/>
    <w:p>
      <w:pPr>
        <w:sectPr>
          <w:type w:val="continuous"/>
          <w:pgSz w:w="11906" w:h="16838"/>
          <w:pgMar w:top="720" w:right="720" w:bottom="720" w:left="720" w:header="708" w:footer="708" w:gutter="0"/>
          <w:cols w:num="2" w:space="400"/>
          <w:docGrid w:linePitch="360"/>
        </w:sectPr>
      </w:pPr>
    </w:p>
    <w:p>
      <w:pPr>
        <w:jc w:val="center"/>
      </w:pPr>
      <w:r>
        <w:rPr>
          <w:i/>
          <w:sz w:val="18"/>
        </w:rPr>
        <w:t>TABLE I. CAPABILITY COMPARISON AGAINST SURVEYED LITERATURE</w:t>
      </w:r>
    </w:p>
    <w:tbl>
      <w:tblPr>
        <w:tblW w:type="auto" w:w="0"/>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firstColumn="1" w:firstRow="1" w:lastColumn="0" w:lastRow="0" w:noHBand="0" w:noVBand="1" w:val="04A0"/>
      </w:tblPr>
      <w:tblGrid>
        <w:gridCol w:w="1744"/>
        <w:gridCol w:w="1744"/>
        <w:gridCol w:w="1744"/>
        <w:gridCol w:w="1744"/>
        <w:gridCol w:w="1744"/>
        <w:gridCol w:w="1744"/>
      </w:tblGrid>
      <w:tr>
        <w:tc>
          <w:tcPr>
            <w:tcW w:type="dxa" w:w="2736"/>
            <w:shd w:val="clear" w:color="auto" w:fill="D9E2F3"/>
          </w:tcPr>
          <w:p>
            <w:r/>
            <w:r>
              <w:rPr>
                <w:b/>
                <w:sz w:val="18"/>
              </w:rPr>
              <w:t>Reference</w:t>
            </w:r>
          </w:p>
        </w:tc>
        <w:tc>
          <w:tcPr>
            <w:tcW w:type="dxa" w:w="1728"/>
            <w:shd w:val="clear" w:color="auto" w:fill="D9E2F3"/>
          </w:tcPr>
          <w:p>
            <w:r/>
            <w:r>
              <w:rPr>
                <w:b/>
                <w:sz w:val="18"/>
              </w:rPr>
              <w:t>End-to-End Pipeline</w:t>
            </w:r>
          </w:p>
        </w:tc>
        <w:tc>
          <w:tcPr>
            <w:tcW w:type="dxa" w:w="1368"/>
            <w:shd w:val="clear" w:color="auto" w:fill="D9E2F3"/>
          </w:tcPr>
          <w:p>
            <w:r/>
            <w:r>
              <w:rPr>
                <w:b/>
                <w:sz w:val="18"/>
              </w:rPr>
              <w:t>Multi-Agent</w:t>
            </w:r>
          </w:p>
        </w:tc>
        <w:tc>
          <w:tcPr>
            <w:tcW w:type="dxa" w:w="1440"/>
            <w:shd w:val="clear" w:color="auto" w:fill="D9E2F3"/>
          </w:tcPr>
          <w:p>
            <w:r/>
            <w:r>
              <w:rPr>
                <w:b/>
                <w:sz w:val="18"/>
              </w:rPr>
              <w:t>Explainable</w:t>
            </w:r>
          </w:p>
        </w:tc>
        <w:tc>
          <w:tcPr>
            <w:tcW w:type="dxa" w:w="1512"/>
            <w:shd w:val="clear" w:color="auto" w:fill="D9E2F3"/>
          </w:tcPr>
          <w:p>
            <w:r/>
            <w:r>
              <w:rPr>
                <w:b/>
                <w:sz w:val="18"/>
              </w:rPr>
              <w:t>Parameter Est.</w:t>
            </w:r>
          </w:p>
        </w:tc>
        <w:tc>
          <w:tcPr>
            <w:tcW w:type="dxa" w:w="1656"/>
            <w:shd w:val="clear" w:color="auto" w:fill="D9E2F3"/>
          </w:tcPr>
          <w:p>
            <w:r/>
            <w:r>
              <w:rPr>
                <w:b/>
                <w:sz w:val="18"/>
              </w:rPr>
              <w:t>GPU-Accelerated</w:t>
            </w:r>
          </w:p>
        </w:tc>
      </w:tr>
      <w:tr>
        <w:tc>
          <w:tcPr>
            <w:tcW w:type="dxa" w:w="2736"/>
          </w:tcPr>
          <w:p>
            <w:r/>
            <w:r>
              <w:rPr>
                <w:sz w:val="18"/>
              </w:rPr>
              <w:t>[1] Differentiable Rendering</w:t>
            </w:r>
          </w:p>
        </w:tc>
        <w:tc>
          <w:tcPr>
            <w:tcW w:type="dxa" w:w="1728"/>
          </w:tcPr>
          <w:p>
            <w:r/>
            <w:r>
              <w:rPr>
                <w:sz w:val="18"/>
              </w:rPr>
              <w:t>No</w:t>
            </w:r>
          </w:p>
        </w:tc>
        <w:tc>
          <w:tcPr>
            <w:tcW w:type="dxa" w:w="1368"/>
          </w:tcPr>
          <w:p>
            <w:r/>
            <w:r>
              <w:rPr>
                <w:sz w:val="18"/>
              </w:rPr>
              <w:t>No</w:t>
            </w:r>
          </w:p>
        </w:tc>
        <w:tc>
          <w:tcPr>
            <w:tcW w:type="dxa" w:w="1440"/>
          </w:tcPr>
          <w:p>
            <w:r/>
            <w:r>
              <w:rPr>
                <w:sz w:val="18"/>
              </w:rPr>
              <w:t>Partial</w:t>
            </w:r>
          </w:p>
        </w:tc>
        <w:tc>
          <w:tcPr>
            <w:tcW w:type="dxa" w:w="1512"/>
          </w:tcPr>
          <w:p>
            <w:r/>
            <w:r>
              <w:rPr>
                <w:sz w:val="18"/>
              </w:rPr>
              <w:t>No</w:t>
            </w:r>
          </w:p>
        </w:tc>
        <w:tc>
          <w:tcPr>
            <w:tcW w:type="dxa" w:w="1656"/>
          </w:tcPr>
          <w:p>
            <w:r/>
            <w:r>
              <w:rPr>
                <w:sz w:val="18"/>
              </w:rPr>
              <w:t>No</w:t>
            </w:r>
          </w:p>
        </w:tc>
      </w:tr>
      <w:tr>
        <w:tc>
          <w:tcPr>
            <w:tcW w:type="dxa" w:w="2736"/>
          </w:tcPr>
          <w:p>
            <w:r/>
            <w:r>
              <w:rPr>
                <w:sz w:val="18"/>
              </w:rPr>
              <w:t>[2] KNN + SMOTE</w:t>
            </w:r>
          </w:p>
        </w:tc>
        <w:tc>
          <w:tcPr>
            <w:tcW w:type="dxa" w:w="1728"/>
          </w:tcPr>
          <w:p>
            <w:r/>
            <w:r>
              <w:rPr>
                <w:sz w:val="18"/>
              </w:rPr>
              <w:t>No</w:t>
            </w:r>
          </w:p>
        </w:tc>
        <w:tc>
          <w:tcPr>
            <w:tcW w:type="dxa" w:w="1368"/>
          </w:tcPr>
          <w:p>
            <w:r/>
            <w:r>
              <w:rPr>
                <w:sz w:val="18"/>
              </w:rPr>
              <w:t>No</w:t>
            </w:r>
          </w:p>
        </w:tc>
        <w:tc>
          <w:tcPr>
            <w:tcW w:type="dxa" w:w="1440"/>
          </w:tcPr>
          <w:p>
            <w:r/>
            <w:r>
              <w:rPr>
                <w:sz w:val="18"/>
              </w:rPr>
              <w:t>No</w:t>
            </w:r>
          </w:p>
        </w:tc>
        <w:tc>
          <w:tcPr>
            <w:tcW w:type="dxa" w:w="1512"/>
          </w:tcPr>
          <w:p>
            <w:r/>
            <w:r>
              <w:rPr>
                <w:sz w:val="18"/>
              </w:rPr>
              <w:t>No</w:t>
            </w:r>
          </w:p>
        </w:tc>
        <w:tc>
          <w:tcPr>
            <w:tcW w:type="dxa" w:w="1656"/>
          </w:tcPr>
          <w:p>
            <w:r/>
            <w:r>
              <w:rPr>
                <w:sz w:val="18"/>
              </w:rPr>
              <w:t>No</w:t>
            </w:r>
          </w:p>
        </w:tc>
      </w:tr>
      <w:tr>
        <w:tc>
          <w:tcPr>
            <w:tcW w:type="dxa" w:w="2736"/>
          </w:tcPr>
          <w:p>
            <w:r/>
            <w:r>
              <w:rPr>
                <w:sz w:val="18"/>
              </w:rPr>
              <w:t>[3] Feature Extraction</w:t>
            </w:r>
          </w:p>
        </w:tc>
        <w:tc>
          <w:tcPr>
            <w:tcW w:type="dxa" w:w="1728"/>
          </w:tcPr>
          <w:p>
            <w:r/>
            <w:r>
              <w:rPr>
                <w:sz w:val="18"/>
              </w:rPr>
              <w:t>No</w:t>
            </w:r>
          </w:p>
        </w:tc>
        <w:tc>
          <w:tcPr>
            <w:tcW w:type="dxa" w:w="1368"/>
          </w:tcPr>
          <w:p>
            <w:r/>
            <w:r>
              <w:rPr>
                <w:sz w:val="18"/>
              </w:rPr>
              <w:t>No</w:t>
            </w:r>
          </w:p>
        </w:tc>
        <w:tc>
          <w:tcPr>
            <w:tcW w:type="dxa" w:w="1440"/>
          </w:tcPr>
          <w:p>
            <w:r/>
            <w:r>
              <w:rPr>
                <w:sz w:val="18"/>
              </w:rPr>
              <w:t>Partial</w:t>
            </w:r>
          </w:p>
        </w:tc>
        <w:tc>
          <w:tcPr>
            <w:tcW w:type="dxa" w:w="1512"/>
          </w:tcPr>
          <w:p>
            <w:r/>
            <w:r>
              <w:rPr>
                <w:sz w:val="18"/>
              </w:rPr>
              <w:t>No</w:t>
            </w:r>
          </w:p>
        </w:tc>
        <w:tc>
          <w:tcPr>
            <w:tcW w:type="dxa" w:w="1656"/>
          </w:tcPr>
          <w:p>
            <w:r/>
            <w:r>
              <w:rPr>
                <w:sz w:val="18"/>
              </w:rPr>
              <w:t>No</w:t>
            </w:r>
          </w:p>
        </w:tc>
      </w:tr>
      <w:tr>
        <w:tc>
          <w:tcPr>
            <w:tcW w:type="dxa" w:w="2736"/>
          </w:tcPr>
          <w:p>
            <w:r/>
            <w:r>
              <w:rPr>
                <w:sz w:val="18"/>
              </w:rPr>
              <w:t>[4] Domain-Informed DL</w:t>
            </w:r>
          </w:p>
        </w:tc>
        <w:tc>
          <w:tcPr>
            <w:tcW w:type="dxa" w:w="1728"/>
          </w:tcPr>
          <w:p>
            <w:r/>
            <w:r>
              <w:rPr>
                <w:sz w:val="18"/>
              </w:rPr>
              <w:t>No</w:t>
            </w:r>
          </w:p>
        </w:tc>
        <w:tc>
          <w:tcPr>
            <w:tcW w:type="dxa" w:w="1368"/>
          </w:tcPr>
          <w:p>
            <w:r/>
            <w:r>
              <w:rPr>
                <w:sz w:val="18"/>
              </w:rPr>
              <w:t>No</w:t>
            </w:r>
          </w:p>
        </w:tc>
        <w:tc>
          <w:tcPr>
            <w:tcW w:type="dxa" w:w="1440"/>
          </w:tcPr>
          <w:p>
            <w:r/>
            <w:r>
              <w:rPr>
                <w:sz w:val="18"/>
              </w:rPr>
              <w:t>No</w:t>
            </w:r>
          </w:p>
        </w:tc>
        <w:tc>
          <w:tcPr>
            <w:tcW w:type="dxa" w:w="1512"/>
          </w:tcPr>
          <w:p>
            <w:r/>
            <w:r>
              <w:rPr>
                <w:sz w:val="18"/>
              </w:rPr>
              <w:t>No</w:t>
            </w:r>
          </w:p>
        </w:tc>
        <w:tc>
          <w:tcPr>
            <w:tcW w:type="dxa" w:w="1656"/>
          </w:tcPr>
          <w:p>
            <w:r/>
            <w:r>
              <w:rPr>
                <w:sz w:val="18"/>
              </w:rPr>
              <w:t>No</w:t>
            </w:r>
          </w:p>
        </w:tc>
      </w:tr>
      <w:tr>
        <w:tc>
          <w:tcPr>
            <w:tcW w:type="dxa" w:w="2736"/>
          </w:tcPr>
          <w:p>
            <w:r/>
            <w:r>
              <w:rPr>
                <w:sz w:val="18"/>
              </w:rPr>
              <w:t>[5] Ensemble-CNN</w:t>
            </w:r>
          </w:p>
        </w:tc>
        <w:tc>
          <w:tcPr>
            <w:tcW w:type="dxa" w:w="1728"/>
          </w:tcPr>
          <w:p>
            <w:r/>
            <w:r>
              <w:rPr>
                <w:sz w:val="18"/>
              </w:rPr>
              <w:t>No</w:t>
            </w:r>
          </w:p>
        </w:tc>
        <w:tc>
          <w:tcPr>
            <w:tcW w:type="dxa" w:w="1368"/>
          </w:tcPr>
          <w:p>
            <w:r/>
            <w:r>
              <w:rPr>
                <w:sz w:val="18"/>
              </w:rPr>
              <w:t>No</w:t>
            </w:r>
          </w:p>
        </w:tc>
        <w:tc>
          <w:tcPr>
            <w:tcW w:type="dxa" w:w="1440"/>
          </w:tcPr>
          <w:p>
            <w:r/>
            <w:r>
              <w:rPr>
                <w:sz w:val="18"/>
              </w:rPr>
              <w:t>No</w:t>
            </w:r>
          </w:p>
        </w:tc>
        <w:tc>
          <w:tcPr>
            <w:tcW w:type="dxa" w:w="1512"/>
          </w:tcPr>
          <w:p>
            <w:r/>
            <w:r>
              <w:rPr>
                <w:sz w:val="18"/>
              </w:rPr>
              <w:t>No</w:t>
            </w:r>
          </w:p>
        </w:tc>
        <w:tc>
          <w:tcPr>
            <w:tcW w:type="dxa" w:w="1656"/>
          </w:tcPr>
          <w:p>
            <w:r/>
            <w:r>
              <w:rPr>
                <w:sz w:val="18"/>
              </w:rPr>
              <w:t>No</w:t>
            </w:r>
          </w:p>
        </w:tc>
      </w:tr>
      <w:tr>
        <w:tc>
          <w:tcPr>
            <w:tcW w:type="dxa" w:w="2736"/>
          </w:tcPr>
          <w:p>
            <w:r/>
            <w:r>
              <w:rPr>
                <w:sz w:val="18"/>
              </w:rPr>
              <w:t>[6] DL + RV Neural Nets</w:t>
            </w:r>
          </w:p>
        </w:tc>
        <w:tc>
          <w:tcPr>
            <w:tcW w:type="dxa" w:w="1728"/>
          </w:tcPr>
          <w:p>
            <w:r/>
            <w:r>
              <w:rPr>
                <w:sz w:val="18"/>
              </w:rPr>
              <w:t>No</w:t>
            </w:r>
          </w:p>
        </w:tc>
        <w:tc>
          <w:tcPr>
            <w:tcW w:type="dxa" w:w="1368"/>
          </w:tcPr>
          <w:p>
            <w:r/>
            <w:r>
              <w:rPr>
                <w:sz w:val="18"/>
              </w:rPr>
              <w:t>No</w:t>
            </w:r>
          </w:p>
        </w:tc>
        <w:tc>
          <w:tcPr>
            <w:tcW w:type="dxa" w:w="1440"/>
          </w:tcPr>
          <w:p>
            <w:r/>
            <w:r>
              <w:rPr>
                <w:sz w:val="18"/>
              </w:rPr>
              <w:t>No</w:t>
            </w:r>
          </w:p>
        </w:tc>
        <w:tc>
          <w:tcPr>
            <w:tcW w:type="dxa" w:w="1512"/>
          </w:tcPr>
          <w:p>
            <w:r/>
            <w:r>
              <w:rPr>
                <w:sz w:val="18"/>
              </w:rPr>
              <w:t>No</w:t>
            </w:r>
          </w:p>
        </w:tc>
        <w:tc>
          <w:tcPr>
            <w:tcW w:type="dxa" w:w="1656"/>
          </w:tcPr>
          <w:p>
            <w:r/>
            <w:r>
              <w:rPr>
                <w:sz w:val="18"/>
              </w:rPr>
              <w:t>No</w:t>
            </w:r>
          </w:p>
        </w:tc>
      </w:tr>
      <w:tr>
        <w:tc>
          <w:tcPr>
            <w:tcW w:type="dxa" w:w="2736"/>
          </w:tcPr>
          <w:p>
            <w:r/>
            <w:r>
              <w:rPr>
                <w:sz w:val="18"/>
              </w:rPr>
              <w:t>[7] RV Signal Processing</w:t>
            </w:r>
          </w:p>
        </w:tc>
        <w:tc>
          <w:tcPr>
            <w:tcW w:type="dxa" w:w="1728"/>
          </w:tcPr>
          <w:p>
            <w:r/>
            <w:r>
              <w:rPr>
                <w:sz w:val="18"/>
              </w:rPr>
              <w:t>No</w:t>
            </w:r>
          </w:p>
        </w:tc>
        <w:tc>
          <w:tcPr>
            <w:tcW w:type="dxa" w:w="1368"/>
          </w:tcPr>
          <w:p>
            <w:r/>
            <w:r>
              <w:rPr>
                <w:sz w:val="18"/>
              </w:rPr>
              <w:t>No</w:t>
            </w:r>
          </w:p>
        </w:tc>
        <w:tc>
          <w:tcPr>
            <w:tcW w:type="dxa" w:w="1440"/>
          </w:tcPr>
          <w:p>
            <w:r/>
            <w:r>
              <w:rPr>
                <w:sz w:val="18"/>
              </w:rPr>
              <w:t>No</w:t>
            </w:r>
          </w:p>
        </w:tc>
        <w:tc>
          <w:tcPr>
            <w:tcW w:type="dxa" w:w="1512"/>
          </w:tcPr>
          <w:p>
            <w:r/>
            <w:r>
              <w:rPr>
                <w:sz w:val="18"/>
              </w:rPr>
              <w:t>No</w:t>
            </w:r>
          </w:p>
        </w:tc>
        <w:tc>
          <w:tcPr>
            <w:tcW w:type="dxa" w:w="1656"/>
          </w:tcPr>
          <w:p>
            <w:r/>
            <w:r>
              <w:rPr>
                <w:sz w:val="18"/>
              </w:rPr>
              <w:t>No</w:t>
            </w:r>
          </w:p>
        </w:tc>
      </w:tr>
      <w:tr>
        <w:tc>
          <w:tcPr>
            <w:tcW w:type="dxa" w:w="2736"/>
          </w:tcPr>
          <w:p>
            <w:r/>
            <w:r>
              <w:rPr>
                <w:sz w:val="18"/>
              </w:rPr>
              <w:t>[8] Detection Methods Review</w:t>
            </w:r>
          </w:p>
        </w:tc>
        <w:tc>
          <w:tcPr>
            <w:tcW w:type="dxa" w:w="1728"/>
          </w:tcPr>
          <w:p>
            <w:r/>
            <w:r>
              <w:rPr>
                <w:sz w:val="18"/>
              </w:rPr>
              <w:t>N/A (survey)</w:t>
            </w:r>
          </w:p>
        </w:tc>
        <w:tc>
          <w:tcPr>
            <w:tcW w:type="dxa" w:w="1368"/>
          </w:tcPr>
          <w:p>
            <w:r/>
            <w:r>
              <w:rPr>
                <w:sz w:val="18"/>
              </w:rPr>
              <w:t>No</w:t>
            </w:r>
          </w:p>
        </w:tc>
        <w:tc>
          <w:tcPr>
            <w:tcW w:type="dxa" w:w="1440"/>
          </w:tcPr>
          <w:p>
            <w:r/>
            <w:r>
              <w:rPr>
                <w:sz w:val="18"/>
              </w:rPr>
              <w:t>N/A</w:t>
            </w:r>
          </w:p>
        </w:tc>
        <w:tc>
          <w:tcPr>
            <w:tcW w:type="dxa" w:w="1512"/>
          </w:tcPr>
          <w:p>
            <w:r/>
            <w:r>
              <w:rPr>
                <w:sz w:val="18"/>
              </w:rPr>
              <w:t>N/A</w:t>
            </w:r>
          </w:p>
        </w:tc>
        <w:tc>
          <w:tcPr>
            <w:tcW w:type="dxa" w:w="1656"/>
          </w:tcPr>
          <w:p>
            <w:r/>
            <w:r>
              <w:rPr>
                <w:sz w:val="18"/>
              </w:rPr>
              <w:t>N/A</w:t>
            </w:r>
          </w:p>
        </w:tc>
      </w:tr>
      <w:tr>
        <w:tc>
          <w:tcPr>
            <w:tcW w:type="dxa" w:w="2736"/>
          </w:tcPr>
          <w:p>
            <w:r/>
            <w:r>
              <w:rPr>
                <w:sz w:val="18"/>
              </w:rPr>
              <w:t>LuNaVision AI (this work)</w:t>
            </w:r>
          </w:p>
        </w:tc>
        <w:tc>
          <w:tcPr>
            <w:tcW w:type="dxa" w:w="1728"/>
          </w:tcPr>
          <w:p>
            <w:r/>
            <w:r>
              <w:rPr>
                <w:sz w:val="18"/>
              </w:rPr>
              <w:t>Yes (designed)</w:t>
            </w:r>
          </w:p>
        </w:tc>
        <w:tc>
          <w:tcPr>
            <w:tcW w:type="dxa" w:w="1368"/>
          </w:tcPr>
          <w:p>
            <w:r/>
            <w:r>
              <w:rPr>
                <w:sz w:val="18"/>
              </w:rPr>
              <w:t>Yes</w:t>
            </w:r>
          </w:p>
        </w:tc>
        <w:tc>
          <w:tcPr>
            <w:tcW w:type="dxa" w:w="1440"/>
          </w:tcPr>
          <w:p>
            <w:r/>
            <w:r>
              <w:rPr>
                <w:sz w:val="18"/>
              </w:rPr>
              <w:t>Partial → planned</w:t>
            </w:r>
          </w:p>
        </w:tc>
        <w:tc>
          <w:tcPr>
            <w:tcW w:type="dxa" w:w="1512"/>
          </w:tcPr>
          <w:p>
            <w:r/>
            <w:r>
              <w:rPr>
                <w:sz w:val="18"/>
              </w:rPr>
              <w:t>Planned</w:t>
            </w:r>
          </w:p>
        </w:tc>
        <w:tc>
          <w:tcPr>
            <w:tcW w:type="dxa" w:w="1656"/>
          </w:tcPr>
          <w:p>
            <w:r/>
            <w:r>
              <w:rPr>
                <w:sz w:val="18"/>
              </w:rPr>
              <w:t>Yes</w:t>
            </w:r>
          </w:p>
        </w:tc>
      </w:tr>
    </w:tbl>
    <w:p/>
    <w:p>
      <w:pPr>
        <w:sectPr>
          <w:type w:val="continuous"/>
          <w:pgSz w:w="11906" w:h="16838"/>
          <w:pgMar w:top="720" w:right="720" w:bottom="720" w:left="720" w:header="708" w:footer="708" w:gutter="0"/>
          <w:cols w:num="1" w:space="400"/>
          <w:docGrid w:linePitch="360"/>
        </w:sectPr>
      </w:pPr>
    </w:p>
    <w:p>
      <w:pPr>
        <w:spacing w:before="200" w:after="40"/>
      </w:pPr>
      <w:r>
        <w:rPr>
          <w:b/>
        </w:rPr>
        <w:t>3 PROBLEM STATEMENT:</w:t>
      </w:r>
    </w:p>
    <w:p/>
    <w:p>
      <w:pPr>
        <w:jc w:val="both"/>
      </w:pPr>
      <w:r>
        <w:t>TESS observes on the order of tens of thousands of stars per sector, and each new sector adds another batch of light curves that must be screened for transit-like signals. A single analyst cannot visually inspect this volume of data, and the automated tools that do exist are narrow: a detection script finds candidate periods but does not classify them; a classifier scores candidates but expects a pre-built feature table as input; and almost none of the reviewed systems estimate the physical parameters of a surviving candidate or explain, in a form a domain scientist can audit, why a given signal was kept or discarded. Bridging these tools by hand — exporting one stage's output, reformatting it, and feeding it into the next — is itself a source of error and does not scale across sectors. The problem this work addresses is therefore not “how to classify a transit signal” in isolation, but how to connect acquisition, cleaning, detection, feature extraction, classification, parameter estimation, and reporting into a single automated, auditable pipeline that can be pointed at a new TESS sector and run to completion with minimal manual intervention, while surfacing enough intermediate evidence — feature importances, calibrated probabilities, diagnostic plots — that its output can be trusted by a human reviewer.</w:t>
      </w:r>
    </w:p>
    <w:p/>
    <w:p>
      <w:pPr>
        <w:spacing w:before="200" w:after="40"/>
      </w:pPr>
      <w:r>
        <w:rPr>
          <w:b/>
        </w:rPr>
        <w:t>4 PROPOSED SYSTEM ARCHITECTURE:</w:t>
      </w:r>
    </w:p>
    <w:p/>
    <w:p>
      <w:pPr>
        <w:jc w:val="both"/>
      </w:pPr>
      <w:r>
        <w:t>LuNaVision AI is organized as a multi-agent pipeline coordinated by a central Orchestrator Agent, shown in Fig. 1. The Orchestrator dispatches each stage in sequence, retries a stage on failure, and logs the state of every run, so the pipeline can be resumed rather than restarted after an interruption. Seven specialized agents sit underneath the Orchestrator: a Data Acquisition Agent that queries the NASA MAST archive and cross-matches reference catalogs; a Preprocessing Agent that cleans and detrends each light curve; a Transit Detection Agent that runs a Transit Least Squares (TLS) period search; a GPU-accelerated Feature Engineering Agent; a Classification Agent that assigns a calibrated transit probability; a Parameter Fitting Agent (planned) that will estimate orbital parameters via Bayesian inference; and a Reporting Agent that will assemble the final candidate catalog and diagnostic plots. An Active Learning Agent closes the loop: candidates the Classification Agent is least confident about are queued for expert review, and the resulting labels are folded back into the next training run rather than discarded. Each agent communicates with the Orchestrator through a small, typed message envelope (sender, recipient, action, payload, status), which keeps the stages loosely coupled — a stage can be re-run, replaced, or scaled independently of the others.</w:t>
      </w:r>
    </w:p>
    <w:p>
      <w:pPr>
        <w:jc w:val="both"/>
      </w:pPr>
      <w:r>
        <w:t>This message-passing design was chosen over a monolithic script for three reasons. First, fault isolation: a failure in one agent (for example, a MAST rate-limit error during acquisition) does not corrupt the state of agents downstream, since each agent only consumes the last successfully published output of its predecessor. Second, independent scaling: the Feature Engineering Agent is the most computationally expensive stage and is the only one that benefits from GPU placement, so it can be scheduled onto GPU-equipped hardware while the lighter agents run on CPU-only workers. Third, auditability: because every message that crosses an agent boundary is logged with a timestamp and payload summary, the exact intermediate state that led to any final classification can be reconstructed after the fact, which is a prerequisite for the explainability goal stated in Section 1.</w:t>
      </w:r>
    </w:p>
    <w:p/>
    <w:p>
      <w:pPr>
        <w:sectPr>
          <w:type w:val="continuous"/>
          <w:pgSz w:w="11906" w:h="16838"/>
          <w:pgMar w:top="720" w:right="720" w:bottom="720" w:left="720" w:header="708" w:footer="708" w:gutter="0"/>
          <w:cols w:num="2" w:space="400"/>
          <w:docGrid w:linePitch="360"/>
        </w:sectPr>
      </w:pPr>
    </w:p>
    <w:p>
      <w:pPr>
        <w:jc w:val="center"/>
      </w:pPr>
      <w:r>
        <w:drawing>
          <wp:inline xmlns:a="http://schemas.openxmlformats.org/drawingml/2006/main" xmlns:pic="http://schemas.openxmlformats.org/drawingml/2006/picture">
            <wp:extent cx="5120640" cy="3413760"/>
            <wp:docPr id="1" name="Picture 1"/>
            <wp:cNvGraphicFramePr>
              <a:graphicFrameLocks noChangeAspect="1"/>
            </wp:cNvGraphicFramePr>
            <a:graphic>
              <a:graphicData uri="http://schemas.openxmlformats.org/drawingml/2006/picture">
                <pic:pic>
                  <pic:nvPicPr>
                    <pic:cNvPr id="0" name="architecture_fig.png"/>
                    <pic:cNvPicPr/>
                  </pic:nvPicPr>
                  <pic:blipFill>
                    <a:blip r:embed="rId12"/>
                    <a:stretch>
                      <a:fillRect/>
                    </a:stretch>
                  </pic:blipFill>
                  <pic:spPr>
                    <a:xfrm>
                      <a:off x="0" y="0"/>
                      <a:ext cx="5120640" cy="3413760"/>
                    </a:xfrm>
                    <a:prstGeom prst="rect"/>
                  </pic:spPr>
                </pic:pic>
              </a:graphicData>
            </a:graphic>
          </wp:inline>
        </w:drawing>
      </w:r>
    </w:p>
    <w:p>
      <w:pPr>
        <w:jc w:val="center"/>
      </w:pPr>
      <w:r>
        <w:rPr>
          <w:i/>
          <w:sz w:val="18"/>
        </w:rPr>
        <w:t>Fig. 1. LuNaVision AI multi-agent system architecture.</w:t>
      </w:r>
    </w:p>
    <w:p>
      <w:pPr>
        <w:sectPr>
          <w:type w:val="continuous"/>
          <w:pgSz w:w="11906" w:h="16838"/>
          <w:pgMar w:top="720" w:right="720" w:bottom="720" w:left="720" w:header="708" w:footer="708" w:gutter="0"/>
          <w:cols w:num="1" w:space="400"/>
          <w:docGrid w:linePitch="360"/>
        </w:sectPr>
      </w:pPr>
    </w:p>
    <w:p>
      <w:pPr>
        <w:spacing w:before="200" w:after="40"/>
      </w:pPr>
      <w:r>
        <w:rPr>
          <w:b/>
        </w:rPr>
        <w:t>5 SYSTEM DESIGN:</w:t>
      </w:r>
    </w:p>
    <w:p/>
    <w:p>
      <w:pPr>
        <w:jc w:val="both"/>
      </w:pPr>
      <w:r>
        <w:t>The pipeline is implemented as a set of independent Python modules under a common src/ package, each corresponding to one pipeline stage, plus an agents/ layer that wraps each module behind the message-passing interface described in Section 4. The Data Acquisition module (acquisition.py) queries MAST via astroquery, downloads TESS PDCSAP light curves through lightkurve, parses raw FITS files with astropy, cross-matches the ExoFOP-TESS TOI catalog, the NASA Exoplanet Archive confirmed-planet table, and the TESS SPOC TCE catalog, and maps every heterogeneous disposition label onto a single unified taxonomy (Transit, Eclipsing Binary, Blend, or Other). It additionally injects synthetic transits into quiet light curves using the batman transit model, to compensate for the natural scarcity of confirmed transits in the raw catalogs. The Preprocessing module (preprocessing.py) normalizes each light curve to unit median flux, removes outliers with iterative sigma-clipping, interpolates small data gaps, and removes long-term stellar and instrumental trends with a wotan bi-weight filter, subject to a quality gate that rejects targets with too little usable baseline or too much residual noise. The Detection module (detection.py) runs a dedicated Transit Least Squares search over each detrended light curve and converts the raw TLS output into transit-geometry and signal-quality features (period, depth, duration, Signal Detection Efficiency, false-alarm probability). The Feature Engineering module (features.py, gpu_features.py) computes 65+ features per candidate — transit geometry, odd/even and secondary-eclipse depth ratios, phase-folded morphology, a centroid-shift proxy, cross-matched stellar parameters, and tsfresh-derived time-series statistics — offloading the heaviest numerical work to an NVIDIA GPU through CuPy and PyTorch, with an automatic CPU fallback, worker-count caps, per-task timeouts, and batch checkpointing to keep a long feature-extraction run from stalling. The Classification module (classifier.py) trains a stacked ensemble — gradient-boosted trees as base learners, a logistic-regression meta-learner fit on out-of-fold base predictions, and a Platt-scaled calibration layer — using group-aware stratified K-fold splitting so that a synthetic light curve never shares a fold with the real star it was injected onto. Two further design-level modules, Parameter Fitting (fitting.py, to combine a batman transit model with emcee MCMC sampling) and Reporting/Visualization (report.py, visualization.py), are specified in the architecture but not yet implemented; their status is discussed in Section 8.</w:t>
      </w:r>
    </w:p>
    <w:p>
      <w:pPr>
        <w:spacing w:before="120" w:after="40"/>
      </w:pPr>
      <w:r>
        <w:rPr>
          <w:b/>
          <w:i/>
        </w:rPr>
        <w:t>Non-Functional Requirements</w:t>
      </w:r>
    </w:p>
    <w:p>
      <w:pPr>
        <w:jc w:val="both"/>
      </w:pPr>
      <w:r>
        <w:t>Beyond the functional stages above, the design targets four non-functional properties. Scalability: every stage is written to operate over a directory of targets rather than a single target, so the same code path handles one light curve or an entire sector. Resumability: downloads, preprocessing, and feature extraction all check for existing output before recomputing it, so an interrupted run can continue rather than restart from zero. Interpretability: every classification is accompanied by a calibrated probability and, at evaluation time, a permutation-importance ranking over the feature set, so a reviewer can see which signal properties drove a given decision. Extensibility: because each stage is a self-contained module behind a narrow interface, a new detection algorithm or classifier backend can be substituted without changing the modules around it.</w:t>
      </w:r>
    </w:p>
    <w:p/>
    <w:p>
      <w:pPr>
        <w:sectPr>
          <w:type w:val="continuous"/>
          <w:pgSz w:w="11906" w:h="16838"/>
          <w:pgMar w:top="720" w:right="720" w:bottom="720" w:left="720" w:header="708" w:footer="708" w:gutter="0"/>
          <w:cols w:num="2" w:space="400"/>
          <w:docGrid w:linePitch="360"/>
        </w:sectPr>
      </w:pPr>
    </w:p>
    <w:p>
      <w:pPr>
        <w:jc w:val="center"/>
      </w:pPr>
      <w:r>
        <w:rPr>
          <w:i/>
          <w:sz w:val="18"/>
        </w:rPr>
        <w:t>TABLE II. ENGINEERED FEATURE CATEGORIES (65–73 COLUMNS PER CANDIDATE)</w:t>
      </w:r>
    </w:p>
    <w:tbl>
      <w:tblPr>
        <w:tblW w:type="auto" w:w="0"/>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firstColumn="1" w:firstRow="1" w:lastColumn="0" w:lastRow="0" w:noHBand="0" w:noVBand="1" w:val="04A0"/>
      </w:tblPr>
      <w:tblGrid>
        <w:gridCol w:w="5233"/>
        <w:gridCol w:w="5233"/>
      </w:tblGrid>
      <w:tr>
        <w:tc>
          <w:tcPr>
            <w:tcW w:type="dxa" w:w="2880"/>
            <w:shd w:val="clear" w:color="auto" w:fill="D9E2F3"/>
          </w:tcPr>
          <w:p>
            <w:r/>
            <w:r>
              <w:rPr>
                <w:b/>
                <w:sz w:val="18"/>
              </w:rPr>
              <w:t>Category</w:t>
            </w:r>
          </w:p>
        </w:tc>
        <w:tc>
          <w:tcPr>
            <w:tcW w:type="dxa" w:w="6912"/>
            <w:shd w:val="clear" w:color="auto" w:fill="D9E2F3"/>
          </w:tcPr>
          <w:p>
            <w:r/>
            <w:r>
              <w:rPr>
                <w:b/>
                <w:sz w:val="18"/>
              </w:rPr>
              <w:t>Example Features</w:t>
            </w:r>
          </w:p>
        </w:tc>
      </w:tr>
      <w:tr>
        <w:tc>
          <w:tcPr>
            <w:tcW w:type="dxa" w:w="2880"/>
          </w:tcPr>
          <w:p>
            <w:r/>
            <w:r>
              <w:rPr>
                <w:sz w:val="18"/>
              </w:rPr>
              <w:t>Transit Geometry</w:t>
            </w:r>
          </w:p>
        </w:tc>
        <w:tc>
          <w:tcPr>
            <w:tcW w:type="dxa" w:w="6912"/>
          </w:tcPr>
          <w:p>
            <w:r/>
            <w:r>
              <w:rPr>
                <w:sz w:val="18"/>
              </w:rPr>
              <w:t>period, depth, duration, transit count, impact-parameter proxy</w:t>
            </w:r>
          </w:p>
        </w:tc>
      </w:tr>
      <w:tr>
        <w:tc>
          <w:tcPr>
            <w:tcW w:type="dxa" w:w="2880"/>
          </w:tcPr>
          <w:p>
            <w:r/>
            <w:r>
              <w:rPr>
                <w:sz w:val="18"/>
              </w:rPr>
              <w:t>Signal Quality</w:t>
            </w:r>
          </w:p>
        </w:tc>
        <w:tc>
          <w:tcPr>
            <w:tcW w:type="dxa" w:w="6912"/>
          </w:tcPr>
          <w:p>
            <w:r/>
            <w:r>
              <w:rPr>
                <w:sz w:val="18"/>
              </w:rPr>
              <w:t>SDE, SNR, FAP, phase coverage fraction</w:t>
            </w:r>
          </w:p>
        </w:tc>
      </w:tr>
      <w:tr>
        <w:tc>
          <w:tcPr>
            <w:tcW w:type="dxa" w:w="2880"/>
          </w:tcPr>
          <w:p>
            <w:r/>
            <w:r>
              <w:rPr>
                <w:sz w:val="18"/>
              </w:rPr>
              <w:t>Morphological</w:t>
            </w:r>
          </w:p>
        </w:tc>
        <w:tc>
          <w:tcPr>
            <w:tcW w:type="dxa" w:w="6912"/>
          </w:tcPr>
          <w:p>
            <w:r/>
            <w:r>
              <w:rPr>
                <w:sz w:val="18"/>
              </w:rPr>
              <w:t>flat-bottom score, ingress/egress asymmetry</w:t>
            </w:r>
          </w:p>
        </w:tc>
      </w:tr>
      <w:tr>
        <w:tc>
          <w:tcPr>
            <w:tcW w:type="dxa" w:w="2880"/>
          </w:tcPr>
          <w:p>
            <w:r/>
            <w:r>
              <w:rPr>
                <w:sz w:val="18"/>
              </w:rPr>
              <w:t>Odd / Even</w:t>
            </w:r>
          </w:p>
        </w:tc>
        <w:tc>
          <w:tcPr>
            <w:tcW w:type="dxa" w:w="6912"/>
          </w:tcPr>
          <w:p>
            <w:r/>
            <w:r>
              <w:rPr>
                <w:sz w:val="18"/>
              </w:rPr>
              <w:t>odd transit depth, even transit depth, odd/even ratio</w:t>
            </w:r>
          </w:p>
        </w:tc>
      </w:tr>
      <w:tr>
        <w:tc>
          <w:tcPr>
            <w:tcW w:type="dxa" w:w="2880"/>
          </w:tcPr>
          <w:p>
            <w:r/>
            <w:r>
              <w:rPr>
                <w:sz w:val="18"/>
              </w:rPr>
              <w:t>Secondary Eclipse</w:t>
            </w:r>
          </w:p>
        </w:tc>
        <w:tc>
          <w:tcPr>
            <w:tcW w:type="dxa" w:w="6912"/>
          </w:tcPr>
          <w:p>
            <w:r/>
            <w:r>
              <w:rPr>
                <w:sz w:val="18"/>
              </w:rPr>
              <w:t>secondary depth, secondary depth ratio</w:t>
            </w:r>
          </w:p>
        </w:tc>
      </w:tr>
      <w:tr>
        <w:tc>
          <w:tcPr>
            <w:tcW w:type="dxa" w:w="2880"/>
          </w:tcPr>
          <w:p>
            <w:r/>
            <w:r>
              <w:rPr>
                <w:sz w:val="18"/>
              </w:rPr>
              <w:t>Centroid</w:t>
            </w:r>
          </w:p>
        </w:tc>
        <w:tc>
          <w:tcPr>
            <w:tcW w:type="dxa" w:w="6912"/>
          </w:tcPr>
          <w:p>
            <w:r/>
            <w:r>
              <w:rPr>
                <w:sz w:val="18"/>
              </w:rPr>
              <w:t>centroid-shift proxy during transit</w:t>
            </w:r>
          </w:p>
        </w:tc>
      </w:tr>
      <w:tr>
        <w:tc>
          <w:tcPr>
            <w:tcW w:type="dxa" w:w="2880"/>
          </w:tcPr>
          <w:p>
            <w:r/>
            <w:r>
              <w:rPr>
                <w:sz w:val="18"/>
              </w:rPr>
              <w:t>Stellar</w:t>
            </w:r>
          </w:p>
        </w:tc>
        <w:tc>
          <w:tcPr>
            <w:tcW w:type="dxa" w:w="6912"/>
          </w:tcPr>
          <w:p>
            <w:r/>
            <w:r>
              <w:rPr>
                <w:sz w:val="18"/>
              </w:rPr>
              <w:t>Teff, log g, radius, mass, distance, metallicity</w:t>
            </w:r>
          </w:p>
        </w:tc>
      </w:tr>
      <w:tr>
        <w:tc>
          <w:tcPr>
            <w:tcW w:type="dxa" w:w="2880"/>
          </w:tcPr>
          <w:p>
            <w:r/>
            <w:r>
              <w:rPr>
                <w:sz w:val="18"/>
              </w:rPr>
              <w:t>Time-Series Statistics</w:t>
            </w:r>
          </w:p>
        </w:tc>
        <w:tc>
          <w:tcPr>
            <w:tcW w:type="dxa" w:w="6912"/>
          </w:tcPr>
          <w:p>
            <w:r/>
            <w:r>
              <w:rPr>
                <w:sz w:val="18"/>
              </w:rPr>
              <w:t>RMS, skewness, kurtosis, autocorrelation</w:t>
            </w:r>
          </w:p>
        </w:tc>
      </w:tr>
      <w:tr>
        <w:tc>
          <w:tcPr>
            <w:tcW w:type="dxa" w:w="2880"/>
          </w:tcPr>
          <w:p>
            <w:r/>
            <w:r>
              <w:rPr>
                <w:sz w:val="18"/>
              </w:rPr>
              <w:t>tsfresh Extras</w:t>
            </w:r>
          </w:p>
        </w:tc>
        <w:tc>
          <w:tcPr>
            <w:tcW w:type="dxa" w:w="6912"/>
          </w:tcPr>
          <w:p>
            <w:r/>
            <w:r>
              <w:rPr>
                <w:sz w:val="18"/>
              </w:rPr>
              <w:t>FFT coefficients, abs. energy, mean absolute change</w:t>
            </w:r>
          </w:p>
        </w:tc>
      </w:tr>
    </w:tbl>
    <w:p/>
    <w:p>
      <w:pPr>
        <w:sectPr>
          <w:type w:val="continuous"/>
          <w:pgSz w:w="11906" w:h="16838"/>
          <w:pgMar w:top="720" w:right="720" w:bottom="720" w:left="720" w:header="708" w:footer="708" w:gutter="0"/>
          <w:cols w:num="1" w:space="400"/>
          <w:docGrid w:linePitch="360"/>
        </w:sectPr>
      </w:pPr>
    </w:p>
    <w:p>
      <w:pPr>
        <w:spacing w:before="200" w:after="40"/>
      </w:pPr>
      <w:r>
        <w:rPr>
          <w:b/>
        </w:rPr>
        <w:t>6 IMPLEMENTATION:</w:t>
      </w:r>
    </w:p>
    <w:p/>
    <w:p>
      <w:pPr>
        <w:spacing w:before="120" w:after="40"/>
      </w:pPr>
      <w:r>
        <w:rPr>
          <w:b/>
          <w:i/>
        </w:rPr>
        <w:t>A. Data Acquisition</w:t>
      </w:r>
    </w:p>
    <w:p>
      <w:pPr>
        <w:jc w:val="both"/>
      </w:pPr>
      <w:r>
        <w:t>The acquisition stage was run against TESS Sector 1, downloading and parsing 2,360 light curves via a thread-pooled, resumable downloader that skips files already cached locally and logs per-target success or failure to a JSON manifest. Reference-catalog cross-matching produced a unified label set of 10,964 targets (9,568 Transit-class, 1,395 Other/False-Positive after label mapping) and a stellar-parameter table (effective temperature, surface gravity, radius, mass, distance) for 500 cross-matched TIC targets.</w:t>
      </w:r>
    </w:p>
    <w:p>
      <w:pPr>
        <w:spacing w:before="120" w:after="40"/>
      </w:pPr>
      <w:r>
        <w:rPr>
          <w:b/>
          <w:i/>
        </w:rPr>
        <w:t>B. Preprocessing and Detrending</w:t>
      </w:r>
    </w:p>
    <w:p>
      <w:pPr>
        <w:jc w:val="both"/>
      </w:pPr>
      <w:r>
        <w:t>All 2,360 downloaded light curves were passed through the preprocessing stage; 247 (10.5%) were rejected by the quality gate for insufficient baseline or excessive residual noise, leaving 2,312 successfully detrended light curves at the time of writing, with a median observational baseline of 54 days (range 17–2,608 days, reflecting both single- and multi-sector targets). Section 8 reports the achieved noise reduction quantitatively.</w:t>
      </w:r>
    </w:p>
    <w:p>
      <w:pPr>
        <w:spacing w:before="120" w:after="40"/>
      </w:pPr>
      <w:r>
        <w:rPr>
          <w:b/>
          <w:i/>
        </w:rPr>
        <w:t>C. Periodicity Detection</w:t>
      </w:r>
    </w:p>
    <w:p>
      <w:pPr>
        <w:jc w:val="both"/>
      </w:pPr>
      <w:r>
        <w:t>The Transit Least Squares search (period grid 0.5–27 days, oversampling factor 3, SDE threshold 5.0) is run on every detrended light curve; its output — best-fit period, transit depth, duration, SDE, and false-alarm probability — feeds directly into feature engineering as the transit-geometry feature block. Algorithm 1 summarizes the per-target detection procedure.</w:t>
      </w:r>
    </w:p>
    <w:p>
      <w:pPr>
        <w:sectPr>
          <w:type w:val="continuous"/>
          <w:pgSz w:w="11906" w:h="16838"/>
          <w:pgMar w:top="720" w:right="720" w:bottom="720" w:left="720" w:header="708" w:footer="708" w:gutter="0"/>
          <w:cols w:num="2" w:space="400"/>
          <w:docGrid w:linePitch="360"/>
        </w:sectPr>
      </w:pPr>
    </w:p>
    <w:p>
      <w:pPr>
        <w:jc w:val="center"/>
      </w:pPr>
      <w:r>
        <w:rPr>
          <w:i/>
          <w:sz w:val="18"/>
        </w:rPr>
        <w:t>Algorithm 1. Transit Least Squares detection procedure.</w:t>
      </w:r>
    </w:p>
    <w:tbl>
      <w:tblPr>
        <w:tblW w:type="auto" w:w="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firstColumn="1" w:firstRow="1" w:lastColumn="0" w:lastRow="0" w:noHBand="0" w:noVBand="1" w:val="04A0"/>
      </w:tblPr>
      <w:tblGrid>
        <w:gridCol w:w="10466"/>
      </w:tblGrid>
      <w:tr>
        <w:tc>
          <w:tcPr>
            <w:tcW w:type="dxa" w:w="9936"/>
            <w:shd w:val="clear" w:color="auto" w:fill="F2F2F2"/>
          </w:tcPr>
          <w:p>
            <w:r/>
            <w:r>
              <w:rPr>
                <w:rFonts w:ascii="Courier New" w:hAnsi="Courier New"/>
                <w:sz w:val="19"/>
              </w:rPr>
              <w:t>Algorithm 1: Per-Target Detection</w:t>
            </w:r>
          </w:p>
          <w:p>
            <w:r>
              <w:rPr>
                <w:rFonts w:ascii="Courier New" w:hAnsi="Courier New"/>
                <w:sz w:val="19"/>
              </w:rPr>
              <w:t>Input: detrended flux f(t), time t</w:t>
            </w:r>
          </w:p>
          <w:p>
            <w:r>
              <w:rPr>
                <w:rFonts w:ascii="Courier New" w:hAnsi="Courier New"/>
                <w:sz w:val="19"/>
              </w:rPr>
              <w:t>Output: candidate record or REJECT</w:t>
            </w:r>
          </w:p>
          <w:p>
            <w:r>
              <w:rPr>
                <w:rFonts w:ascii="Courier New" w:hAnsi="Courier New"/>
                <w:sz w:val="19"/>
              </w:rPr>
              <w:t>1: results ← TLS.power(t, f, period=[0.5,27], oversampling=3)</w:t>
            </w:r>
          </w:p>
          <w:p>
            <w:r>
              <w:rPr>
                <w:rFonts w:ascii="Courier New" w:hAnsi="Courier New"/>
                <w:sz w:val="19"/>
              </w:rPr>
              <w:t>2: if results.SDE &lt; 5.0: return REJECT</w:t>
            </w:r>
          </w:p>
          <w:p>
            <w:r>
              <w:rPr>
                <w:rFonts w:ascii="Courier New" w:hAnsi="Courier New"/>
                <w:sz w:val="19"/>
              </w:rPr>
              <w:t>3: depth, dur, P, t0 ← results.depth, results.duration, results.period, results.T0</w:t>
            </w:r>
          </w:p>
          <w:p>
            <w:r>
              <w:rPr>
                <w:rFonts w:ascii="Courier New" w:hAnsi="Courier New"/>
                <w:sz w:val="19"/>
              </w:rPr>
              <w:t>4: odd, even ← phase-fold odd/even transit depths</w:t>
            </w:r>
          </w:p>
          <w:p>
            <w:r>
              <w:rPr>
                <w:rFonts w:ascii="Courier New" w:hAnsi="Courier New"/>
                <w:sz w:val="19"/>
              </w:rPr>
              <w:t>5: sec ← secondary-eclipse depth at phase 0.5</w:t>
            </w:r>
          </w:p>
          <w:p>
            <w:r>
              <w:rPr>
                <w:rFonts w:ascii="Courier New" w:hAnsi="Courier New"/>
                <w:sz w:val="19"/>
              </w:rPr>
              <w:t>6: return {P, depth, dur, SDE, FAP, odd, even, sec}</w:t>
            </w:r>
          </w:p>
        </w:tc>
      </w:tr>
    </w:tbl>
    <w:p/>
    <w:p>
      <w:pPr>
        <w:sectPr>
          <w:type w:val="continuous"/>
          <w:pgSz w:w="11906" w:h="16838"/>
          <w:pgMar w:top="720" w:right="720" w:bottom="720" w:left="720" w:header="708" w:footer="708" w:gutter="0"/>
          <w:cols w:num="1" w:space="400"/>
          <w:docGrid w:linePitch="360"/>
        </w:sectPr>
      </w:pPr>
    </w:p>
    <w:p>
      <w:pPr>
        <w:spacing w:before="120" w:after="40"/>
      </w:pPr>
      <w:r>
        <w:rPr>
          <w:b/>
          <w:i/>
        </w:rPr>
        <w:t>D. Feature Engineering</w:t>
      </w:r>
    </w:p>
    <w:p>
      <w:pPr>
        <w:jc w:val="both"/>
      </w:pPr>
      <w:r>
        <w:t>Each surviving candidate is expanded into a 65–73-column feature vector spanning transit geometry, signal quality, odd/even and secondary-eclipse morphology, a centroid-shift proxy, cross-matched stellar parameters, and tsfresh time-series statistics, computed on GPU where available (Table II).</w:t>
      </w:r>
    </w:p>
    <w:p>
      <w:pPr>
        <w:spacing w:before="120" w:after="40"/>
      </w:pPr>
      <w:r>
        <w:rPr>
          <w:b/>
          <w:i/>
        </w:rPr>
        <w:t>E. Classification</w:t>
      </w:r>
    </w:p>
    <w:p>
      <w:pPr>
        <w:jc w:val="both"/>
      </w:pPr>
      <w:r>
        <w:t>A stacked HistGradientBoosting → logistic-regression → Platt-calibration ensemble was trained on the resulting feature table using group-aware stratified K-fold splitting so that a synthetic light curve never shares a fold with the real star it was injected onto; its evaluation protocol and results are reported in Section 8.</w:t>
      </w:r>
    </w:p>
    <w:p>
      <w:pPr>
        <w:spacing w:before="120" w:after="40"/>
      </w:pPr>
      <w:r>
        <w:rPr>
          <w:b/>
          <w:i/>
        </w:rPr>
        <w:t>F. Planned Stages</w:t>
      </w:r>
    </w:p>
    <w:p>
      <w:pPr>
        <w:jc w:val="both"/>
      </w:pPr>
      <w:r>
        <w:t>Orbital parameter fitting (batman + emcee MCMC), automated visualization and reporting, and the active-learning feedback loop are architected (Sections 4–5) but not yet implemented in code; they are scheduled as described in Section 10.</w:t>
      </w:r>
    </w:p>
    <w:p>
      <w:pPr>
        <w:spacing w:before="120" w:after="40"/>
      </w:pPr>
      <w:r>
        <w:rPr>
          <w:b/>
          <w:i/>
        </w:rPr>
        <w:t>G. Technology Stack</w:t>
      </w:r>
    </w:p>
    <w:p>
      <w:pPr>
        <w:jc w:val="both"/>
      </w:pPr>
      <w:r>
        <w:t>The pipeline is implemented in Python 3.10, using astroquery / astropy / lightkurve for data access, wotan for detrending, transitleastsquares for period search, tsfresh for automated feature extraction, scikit-learn for the ensemble and calibration, CuPy / PyTorch for GPU-accelerated feature computation, and joblib for CPU-side parallelism.</w:t>
      </w:r>
    </w:p>
    <w:p/>
    <w:p>
      <w:pPr>
        <w:spacing w:before="200" w:after="40"/>
      </w:pPr>
      <w:r>
        <w:rPr>
          <w:b/>
        </w:rPr>
        <w:t>7 TESTING METHODOLOGY:</w:t>
      </w:r>
    </w:p>
    <w:p/>
    <w:p>
      <w:pPr>
        <w:jc w:val="both"/>
      </w:pPr>
      <w:r>
        <w:t>Two levels of testing are used across the pipeline: unit-level tests that check a single module's behaviour in isolation, and an integration/benchmark protocol that checks the pipeline's output against known astronomical ground truth. Unit tests cover the acquisition module (mocked MAST responses, quality-bitmask filtering), the preprocessing module (sigma-clipping on synthetic noisy arrays, detrending recovery on a known injected sinusoid), the detection module (TLS recovery of an injected transit period to within 0.1%), the feature-engineering module (feature determinism and NaN handling), and the classification module (calibrated probabilities summing to one, scoring against a held-out labelled subset).</w:t>
      </w:r>
    </w:p>
    <w:p>
      <w:pPr>
        <w:jc w:val="both"/>
      </w:pPr>
      <w:r>
        <w:t>The integration protocol runs the full pipeline end-to-end against TESS Sector 1, Camera 1, CCD 1 — a reference field with a large number of confirmed planets — and checks three acceptance criteria: recovery of at least 80% of the confirmed TOIs present in the processed field at SDE ≥ 7, a false-positive rate below 2% on background non-variable stars, and a full-sector runtime of no more than 90 minutes on an 8-core CPU. At the time of writing, the acquisition, preprocessing, detection, and feature-engineering stages have been exercised at the full Sector-1 scale reported in Section 8, and the classifier has been evaluated with group-aware cross-validation on the resulting labelled candidates; the TOI-recovery and false-positive integration checks are scheduled to run once the parameter-fitting and reporting stages are in place, since the acceptance protocol is defined over the completed pipeline rather than any single stage in isolation.</w:t>
      </w:r>
    </w:p>
    <w:p/>
    <w:p>
      <w:pPr>
        <w:spacing w:before="200" w:after="40"/>
      </w:pPr>
      <w:r>
        <w:rPr>
          <w:b/>
        </w:rPr>
        <w:t>8 RESULTS AND DISCUSSION:</w:t>
      </w:r>
    </w:p>
    <w:p/>
    <w:p>
      <w:pPr>
        <w:jc w:val="both"/>
      </w:pPr>
      <w:r>
        <w:t>Testing to date covers the four pipeline stages that are implemented — acquisition, preprocessing, detection, and feature engineering — together with a first evaluation of the classification stage. Results are reported directly from the pipeline's own logs and saved evaluation artifacts, without simulation.</w:t>
      </w:r>
    </w:p>
    <w:p>
      <w:pPr>
        <w:spacing w:before="120" w:after="40"/>
      </w:pPr>
      <w:r>
        <w:rPr>
          <w:b/>
          <w:i/>
        </w:rPr>
        <w:t>A. Acquisition and Catalog Statistics</w:t>
      </w:r>
    </w:p>
    <w:p>
      <w:pPr>
        <w:jc w:val="both"/>
      </w:pPr>
      <w:r>
        <w:t>The acquisition run produced 2,360 downloaded and parsed TESS light curves, a unified cross-matched label catalog of 10,964 targets, and stellar parameters for 500 targets, as reported in Section 6-A.</w:t>
      </w:r>
    </w:p>
    <w:p>
      <w:pPr>
        <w:sectPr>
          <w:type w:val="continuous"/>
          <w:pgSz w:w="11906" w:h="16838"/>
          <w:pgMar w:top="720" w:right="720" w:bottom="720" w:left="720" w:header="708" w:footer="708" w:gutter="0"/>
          <w:cols w:num="2" w:space="400"/>
          <w:docGrid w:linePitch="360"/>
        </w:sectPr>
      </w:pPr>
    </w:p>
    <w:p>
      <w:pPr>
        <w:jc w:val="center"/>
      </w:pPr>
      <w:r>
        <w:rPr>
          <w:i/>
          <w:sz w:val="18"/>
        </w:rPr>
        <w:t>TABLE V. PIPELINE DATA VOLUMES BY STAGE (SECTOR 1, AT TIME OF WRITING)</w:t>
      </w:r>
    </w:p>
    <w:tbl>
      <w:tblPr>
        <w:tblW w:type="auto" w:w="0"/>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firstColumn="1" w:firstRow="1" w:lastColumn="0" w:lastRow="0" w:noHBand="0" w:noVBand="1" w:val="04A0"/>
      </w:tblPr>
      <w:tblGrid>
        <w:gridCol w:w="3489"/>
        <w:gridCol w:w="3489"/>
        <w:gridCol w:w="3489"/>
      </w:tblGrid>
      <w:tr>
        <w:tc>
          <w:tcPr>
            <w:tcW w:type="dxa" w:w="3600"/>
            <w:shd w:val="clear" w:color="auto" w:fill="D9E2F3"/>
          </w:tcPr>
          <w:p>
            <w:r/>
            <w:r>
              <w:rPr>
                <w:b/>
                <w:sz w:val="18"/>
              </w:rPr>
              <w:t>Stage</w:t>
            </w:r>
          </w:p>
        </w:tc>
        <w:tc>
          <w:tcPr>
            <w:tcW w:type="dxa" w:w="1728"/>
            <w:shd w:val="clear" w:color="auto" w:fill="D9E2F3"/>
          </w:tcPr>
          <w:p>
            <w:r/>
            <w:r>
              <w:rPr>
                <w:b/>
                <w:sz w:val="18"/>
              </w:rPr>
              <w:t>Count</w:t>
            </w:r>
          </w:p>
        </w:tc>
        <w:tc>
          <w:tcPr>
            <w:tcW w:type="dxa" w:w="4608"/>
            <w:shd w:val="clear" w:color="auto" w:fill="D9E2F3"/>
          </w:tcPr>
          <w:p>
            <w:r/>
            <w:r>
              <w:rPr>
                <w:b/>
                <w:sz w:val="18"/>
              </w:rPr>
              <w:t>Notes</w:t>
            </w:r>
          </w:p>
        </w:tc>
      </w:tr>
      <w:tr>
        <w:tc>
          <w:tcPr>
            <w:tcW w:type="dxa" w:w="3600"/>
          </w:tcPr>
          <w:p>
            <w:r/>
            <w:r>
              <w:rPr>
                <w:sz w:val="18"/>
              </w:rPr>
              <w:t>Downloaded light curves</w:t>
            </w:r>
          </w:p>
        </w:tc>
        <w:tc>
          <w:tcPr>
            <w:tcW w:type="dxa" w:w="1728"/>
          </w:tcPr>
          <w:p>
            <w:r/>
            <w:r>
              <w:rPr>
                <w:sz w:val="18"/>
              </w:rPr>
              <w:t>2,360</w:t>
            </w:r>
          </w:p>
        </w:tc>
        <w:tc>
          <w:tcPr>
            <w:tcW w:type="dxa" w:w="4608"/>
          </w:tcPr>
          <w:p>
            <w:r/>
            <w:r>
              <w:rPr>
                <w:sz w:val="18"/>
              </w:rPr>
              <w:t>TESS Sector 1, PDCSAP flux</w:t>
            </w:r>
          </w:p>
        </w:tc>
      </w:tr>
      <w:tr>
        <w:tc>
          <w:tcPr>
            <w:tcW w:type="dxa" w:w="3600"/>
          </w:tcPr>
          <w:p>
            <w:r/>
            <w:r>
              <w:rPr>
                <w:sz w:val="18"/>
              </w:rPr>
              <w:t>Rejected by quality gate</w:t>
            </w:r>
          </w:p>
        </w:tc>
        <w:tc>
          <w:tcPr>
            <w:tcW w:type="dxa" w:w="1728"/>
          </w:tcPr>
          <w:p>
            <w:r/>
            <w:r>
              <w:rPr>
                <w:sz w:val="18"/>
              </w:rPr>
              <w:t>247</w:t>
            </w:r>
          </w:p>
        </w:tc>
        <w:tc>
          <w:tcPr>
            <w:tcW w:type="dxa" w:w="4608"/>
          </w:tcPr>
          <w:p>
            <w:r/>
            <w:r>
              <w:rPr>
                <w:sz w:val="18"/>
              </w:rPr>
              <w:t>10.5% of downloads</w:t>
            </w:r>
          </w:p>
        </w:tc>
      </w:tr>
      <w:tr>
        <w:tc>
          <w:tcPr>
            <w:tcW w:type="dxa" w:w="3600"/>
          </w:tcPr>
          <w:p>
            <w:r/>
            <w:r>
              <w:rPr>
                <w:sz w:val="18"/>
              </w:rPr>
              <w:t>Successfully detrended</w:t>
            </w:r>
          </w:p>
        </w:tc>
        <w:tc>
          <w:tcPr>
            <w:tcW w:type="dxa" w:w="1728"/>
          </w:tcPr>
          <w:p>
            <w:r/>
            <w:r>
              <w:rPr>
                <w:sz w:val="18"/>
              </w:rPr>
              <w:t>2,312</w:t>
            </w:r>
          </w:p>
        </w:tc>
        <w:tc>
          <w:tcPr>
            <w:tcW w:type="dxa" w:w="4608"/>
          </w:tcPr>
          <w:p>
            <w:r/>
            <w:r>
              <w:rPr>
                <w:sz w:val="18"/>
              </w:rPr>
              <w:t>median baseline 54 days</w:t>
            </w:r>
          </w:p>
        </w:tc>
      </w:tr>
      <w:tr>
        <w:tc>
          <w:tcPr>
            <w:tcW w:type="dxa" w:w="3600"/>
          </w:tcPr>
          <w:p>
            <w:r/>
            <w:r>
              <w:rPr>
                <w:sz w:val="18"/>
              </w:rPr>
              <w:t>Unified label catalog</w:t>
            </w:r>
          </w:p>
        </w:tc>
        <w:tc>
          <w:tcPr>
            <w:tcW w:type="dxa" w:w="1728"/>
          </w:tcPr>
          <w:p>
            <w:r/>
            <w:r>
              <w:rPr>
                <w:sz w:val="18"/>
              </w:rPr>
              <w:t>10,964</w:t>
            </w:r>
          </w:p>
        </w:tc>
        <w:tc>
          <w:tcPr>
            <w:tcW w:type="dxa" w:w="4608"/>
          </w:tcPr>
          <w:p>
            <w:r/>
            <w:r>
              <w:rPr>
                <w:sz w:val="18"/>
              </w:rPr>
              <w:t>9,568 Transit / 1,395 Other</w:t>
            </w:r>
          </w:p>
        </w:tc>
      </w:tr>
      <w:tr>
        <w:tc>
          <w:tcPr>
            <w:tcW w:type="dxa" w:w="3600"/>
          </w:tcPr>
          <w:p>
            <w:r/>
            <w:r>
              <w:rPr>
                <w:sz w:val="18"/>
              </w:rPr>
              <w:t>Stellar cross-matched (TIC)</w:t>
            </w:r>
          </w:p>
        </w:tc>
        <w:tc>
          <w:tcPr>
            <w:tcW w:type="dxa" w:w="1728"/>
          </w:tcPr>
          <w:p>
            <w:r/>
            <w:r>
              <w:rPr>
                <w:sz w:val="18"/>
              </w:rPr>
              <w:t>500</w:t>
            </w:r>
          </w:p>
        </w:tc>
        <w:tc>
          <w:tcPr>
            <w:tcW w:type="dxa" w:w="4608"/>
          </w:tcPr>
          <w:p>
            <w:r/>
            <w:r>
              <w:rPr>
                <w:sz w:val="18"/>
              </w:rPr>
              <w:t>Teff, log g, radius, mass, dist.</w:t>
            </w:r>
          </w:p>
        </w:tc>
      </w:tr>
      <w:tr>
        <w:tc>
          <w:tcPr>
            <w:tcW w:type="dxa" w:w="3600"/>
          </w:tcPr>
          <w:p>
            <w:r/>
            <w:r>
              <w:rPr>
                <w:sz w:val="18"/>
              </w:rPr>
              <w:t>Classifier training set</w:t>
            </w:r>
          </w:p>
        </w:tc>
        <w:tc>
          <w:tcPr>
            <w:tcW w:type="dxa" w:w="1728"/>
          </w:tcPr>
          <w:p>
            <w:r/>
            <w:r>
              <w:rPr>
                <w:sz w:val="18"/>
              </w:rPr>
              <w:t>1,741</w:t>
            </w:r>
          </w:p>
        </w:tc>
        <w:tc>
          <w:tcPr>
            <w:tcW w:type="dxa" w:w="4608"/>
          </w:tcPr>
          <w:p>
            <w:r/>
            <w:r>
              <w:rPr>
                <w:sz w:val="18"/>
              </w:rPr>
              <w:t>group-aware split</w:t>
            </w:r>
          </w:p>
        </w:tc>
      </w:tr>
      <w:tr>
        <w:tc>
          <w:tcPr>
            <w:tcW w:type="dxa" w:w="3600"/>
          </w:tcPr>
          <w:p>
            <w:r/>
            <w:r>
              <w:rPr>
                <w:sz w:val="18"/>
              </w:rPr>
              <w:t>Classifier held-out test set</w:t>
            </w:r>
          </w:p>
        </w:tc>
        <w:tc>
          <w:tcPr>
            <w:tcW w:type="dxa" w:w="1728"/>
          </w:tcPr>
          <w:p>
            <w:r/>
            <w:r>
              <w:rPr>
                <w:sz w:val="18"/>
              </w:rPr>
              <w:t>530</w:t>
            </w:r>
          </w:p>
        </w:tc>
        <w:tc>
          <w:tcPr>
            <w:tcW w:type="dxa" w:w="4608"/>
          </w:tcPr>
          <w:p>
            <w:r/>
            <w:r>
              <w:rPr>
                <w:sz w:val="18"/>
              </w:rPr>
              <w:t>no star overlap with train</w:t>
            </w:r>
          </w:p>
        </w:tc>
      </w:tr>
    </w:tbl>
    <w:p/>
    <w:p>
      <w:pPr>
        <w:sectPr>
          <w:type w:val="continuous"/>
          <w:pgSz w:w="11906" w:h="16838"/>
          <w:pgMar w:top="720" w:right="720" w:bottom="720" w:left="720" w:header="708" w:footer="708" w:gutter="0"/>
          <w:cols w:num="1" w:space="400"/>
          <w:docGrid w:linePitch="360"/>
        </w:sectPr>
      </w:pPr>
    </w:p>
    <w:p>
      <w:pPr>
        <w:spacing w:before="120" w:after="40"/>
      </w:pPr>
      <w:r>
        <w:rPr>
          <w:b/>
          <w:i/>
        </w:rPr>
        <w:t>B. Preprocessing Performance</w:t>
      </w:r>
    </w:p>
    <w:p>
      <w:pPr>
        <w:jc w:val="both"/>
      </w:pPr>
      <w:r>
        <w:t>Across the 2,312 successfully detrended light curves, the wotan bi-weight filter reduced flux RMS by a mean of 45.6% and a median of 49.4% relative to the raw normalized flux (range −3.6% to 99.3% — a small number of already-quiet targets show a marginal RMS increase after detrending, which is expected when there is essentially no long-term trend to remove). As a representative example, target TIC 144065872 (19,226 cadences, 27.9-day baseline) had its flux RMS reduced from 0.0024 to 0.0008, a 68% reduction, while retaining its transit-like dips.</w:t>
      </w:r>
    </w:p>
    <w:p>
      <w:pPr>
        <w:spacing w:before="120" w:after="40"/>
      </w:pPr>
      <w:r>
        <w:rPr>
          <w:b/>
          <w:i/>
        </w:rPr>
        <w:t>C. Feature Engineering Output</w:t>
      </w:r>
    </w:p>
    <w:p>
      <w:pPr>
        <w:jc w:val="both"/>
      </w:pPr>
      <w:r>
        <w:t>The feature-engineering stage produces a 73-column feature table of engineered transit, stellar, and time-series statistics per candidate, computed with GPU acceleration where a CUDA device is available and falling back to CPU otherwise; a full-catalog run across all 2,312 detrended light curves is in progress at the time of writing.</w:t>
      </w:r>
    </w:p>
    <w:p>
      <w:pPr>
        <w:spacing w:before="120" w:after="40"/>
      </w:pPr>
      <w:r>
        <w:rPr>
          <w:b/>
          <w:i/>
        </w:rPr>
        <w:t>D. Classification Performance</w:t>
      </w:r>
    </w:p>
    <w:p>
      <w:pPr>
        <w:jc w:val="both"/>
      </w:pPr>
      <w:r>
        <w:t>The classification stage was evaluated on 2,271 labelled real (non-synthetic) TESS targets, split 1,741 / 530 (train / test) with group-aware stratified K-fold cross-validation, so that no star's synthetic clone leaked between folds. On the held-out test set, the calibrated ensemble reached 74.3% accuracy, a macro-F1 of 0.652, a ROC-AUC of 0.721, and a PR-AUC of 0.815 (Brier score 0.186). Per class, it correctly recovers 93.5% of true transits (precision 0.747) but only 35.1% of the Other / false-positive class (precision 0.726), the expected signature of an imbalanced binary problem in which the positive class dominates the training data. Fig. 2 shows the held-out confusion matrix and a five-point learning curve; ROC-AUC rises from 0.687 at 20% of the training data to a plateau around 0.72 by 80–100%, suggesting the model is closer to its capacity for the current feature set than to being data-starved. Permutation feature importance on the held-out fold ranks phase_coverage, SNR, two tsfresh FFT coefficients, odd_depth, and SDE as the top contributors — physically meaningful transit-signal features rather than incidental statistics, which supports the intended explainability goal of the design even ahead of a dedicated XAI layer.</w:t>
      </w:r>
    </w:p>
    <w:p/>
    <w:p>
      <w:pPr>
        <w:sectPr>
          <w:type w:val="continuous"/>
          <w:pgSz w:w="11906" w:h="16838"/>
          <w:pgMar w:top="720" w:right="720" w:bottom="720" w:left="720" w:header="708" w:footer="708" w:gutter="0"/>
          <w:cols w:num="2" w:space="400"/>
          <w:docGrid w:linePitch="360"/>
        </w:sectPr>
      </w:pPr>
    </w:p>
    <w:p>
      <w:pPr>
        <w:jc w:val="center"/>
      </w:pPr>
      <w:r>
        <w:drawing>
          <wp:inline xmlns:a="http://schemas.openxmlformats.org/drawingml/2006/main" xmlns:pic="http://schemas.openxmlformats.org/drawingml/2006/picture">
            <wp:extent cx="5943600" cy="2391543"/>
            <wp:docPr id="2" name="Picture 2"/>
            <wp:cNvGraphicFramePr>
              <a:graphicFrameLocks noChangeAspect="1"/>
            </wp:cNvGraphicFramePr>
            <a:graphic>
              <a:graphicData uri="http://schemas.openxmlformats.org/drawingml/2006/picture">
                <pic:pic>
                  <pic:nvPicPr>
                    <pic:cNvPr id="0" name="classifier_results_fig.png"/>
                    <pic:cNvPicPr/>
                  </pic:nvPicPr>
                  <pic:blipFill>
                    <a:blip r:embed="rId13"/>
                    <a:stretch>
                      <a:fillRect/>
                    </a:stretch>
                  </pic:blipFill>
                  <pic:spPr>
                    <a:xfrm>
                      <a:off x="0" y="0"/>
                      <a:ext cx="5943600" cy="2391543"/>
                    </a:xfrm>
                    <a:prstGeom prst="rect"/>
                  </pic:spPr>
                </pic:pic>
              </a:graphicData>
            </a:graphic>
          </wp:inline>
        </w:drawing>
      </w:r>
    </w:p>
    <w:p>
      <w:pPr>
        <w:jc w:val="center"/>
      </w:pPr>
      <w:r>
        <w:rPr>
          <w:i/>
          <w:sz w:val="18"/>
        </w:rPr>
        <w:t>Fig. 2. Held-out confusion matrix (left) and learning curve (right) for the trained classifier.</w:t>
      </w:r>
    </w:p>
    <w:p>
      <w:pPr>
        <w:sectPr>
          <w:type w:val="continuous"/>
          <w:pgSz w:w="11906" w:h="16838"/>
          <w:pgMar w:top="720" w:right="720" w:bottom="720" w:left="720" w:header="708" w:footer="708" w:gutter="0"/>
          <w:cols w:num="1" w:space="400"/>
          <w:docGrid w:linePitch="360"/>
        </w:sectPr>
      </w:pPr>
    </w:p>
    <w:p>
      <w:pPr>
        <w:sectPr>
          <w:type w:val="continuous"/>
          <w:pgSz w:w="11906" w:h="16838"/>
          <w:pgMar w:top="720" w:right="720" w:bottom="720" w:left="720" w:header="708" w:footer="708" w:gutter="0"/>
          <w:cols w:num="2" w:space="400"/>
          <w:docGrid w:linePitch="360"/>
        </w:sectPr>
      </w:pPr>
    </w:p>
    <w:p>
      <w:pPr>
        <w:jc w:val="center"/>
      </w:pPr>
      <w:r>
        <w:rPr>
          <w:i/>
          <w:sz w:val="18"/>
        </w:rPr>
        <w:t>TABLE III. CLASSIFIER METRICS vs. PROJECT TARGETS (SECTION 8-E)</w:t>
      </w:r>
    </w:p>
    <w:tbl>
      <w:tblPr>
        <w:tblW w:type="auto" w:w="0"/>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firstColumn="1" w:firstRow="1" w:lastColumn="0" w:lastRow="0" w:noHBand="0" w:noVBand="1" w:val="04A0"/>
      </w:tblPr>
      <w:tblGrid>
        <w:gridCol w:w="3489"/>
        <w:gridCol w:w="3489"/>
        <w:gridCol w:w="3489"/>
      </w:tblGrid>
      <w:tr>
        <w:tc>
          <w:tcPr>
            <w:tcW w:type="dxa" w:w="3312"/>
            <w:shd w:val="clear" w:color="auto" w:fill="D9E2F3"/>
          </w:tcPr>
          <w:p>
            <w:r/>
            <w:r>
              <w:rPr>
                <w:b/>
                <w:sz w:val="20"/>
              </w:rPr>
              <w:t>Metric</w:t>
            </w:r>
          </w:p>
        </w:tc>
        <w:tc>
          <w:tcPr>
            <w:tcW w:type="dxa" w:w="3312"/>
            <w:shd w:val="clear" w:color="auto" w:fill="D9E2F3"/>
          </w:tcPr>
          <w:p>
            <w:r/>
            <w:r>
              <w:rPr>
                <w:b/>
                <w:sz w:val="20"/>
              </w:rPr>
              <w:t>Held-Out Value</w:t>
            </w:r>
          </w:p>
        </w:tc>
        <w:tc>
          <w:tcPr>
            <w:tcW w:type="dxa" w:w="3312"/>
            <w:shd w:val="clear" w:color="auto" w:fill="D9E2F3"/>
          </w:tcPr>
          <w:p>
            <w:r/>
            <w:r>
              <w:rPr>
                <w:b/>
                <w:sz w:val="20"/>
              </w:rPr>
              <w:t>Project Target</w:t>
            </w:r>
          </w:p>
        </w:tc>
      </w:tr>
      <w:tr>
        <w:tc>
          <w:tcPr>
            <w:tcW w:type="dxa" w:w="3312"/>
          </w:tcPr>
          <w:p>
            <w:r/>
            <w:r>
              <w:rPr>
                <w:sz w:val="20"/>
              </w:rPr>
              <w:t>Accuracy</w:t>
            </w:r>
          </w:p>
        </w:tc>
        <w:tc>
          <w:tcPr>
            <w:tcW w:type="dxa" w:w="3312"/>
          </w:tcPr>
          <w:p>
            <w:r/>
            <w:r>
              <w:rPr>
                <w:sz w:val="20"/>
              </w:rPr>
              <w:t>74.3%</w:t>
            </w:r>
          </w:p>
        </w:tc>
        <w:tc>
          <w:tcPr>
            <w:tcW w:type="dxa" w:w="3312"/>
          </w:tcPr>
          <w:p>
            <w:r/>
            <w:r>
              <w:rPr>
                <w:sz w:val="20"/>
              </w:rPr>
              <w:t>—</w:t>
            </w:r>
          </w:p>
        </w:tc>
      </w:tr>
      <w:tr>
        <w:tc>
          <w:tcPr>
            <w:tcW w:type="dxa" w:w="3312"/>
          </w:tcPr>
          <w:p>
            <w:r/>
            <w:r>
              <w:rPr>
                <w:sz w:val="20"/>
              </w:rPr>
              <w:t>Macro-F1</w:t>
            </w:r>
          </w:p>
        </w:tc>
        <w:tc>
          <w:tcPr>
            <w:tcW w:type="dxa" w:w="3312"/>
          </w:tcPr>
          <w:p>
            <w:r/>
            <w:r>
              <w:rPr>
                <w:sz w:val="20"/>
              </w:rPr>
              <w:t>0.652</w:t>
            </w:r>
          </w:p>
        </w:tc>
        <w:tc>
          <w:tcPr>
            <w:tcW w:type="dxa" w:w="3312"/>
          </w:tcPr>
          <w:p>
            <w:r/>
            <w:r>
              <w:rPr>
                <w:sz w:val="20"/>
              </w:rPr>
              <w:t>≥ 0.90</w:t>
            </w:r>
          </w:p>
        </w:tc>
      </w:tr>
      <w:tr>
        <w:tc>
          <w:tcPr>
            <w:tcW w:type="dxa" w:w="3312"/>
          </w:tcPr>
          <w:p>
            <w:r/>
            <w:r>
              <w:rPr>
                <w:sz w:val="20"/>
              </w:rPr>
              <w:t>ROC-AUC</w:t>
            </w:r>
          </w:p>
        </w:tc>
        <w:tc>
          <w:tcPr>
            <w:tcW w:type="dxa" w:w="3312"/>
          </w:tcPr>
          <w:p>
            <w:r/>
            <w:r>
              <w:rPr>
                <w:sz w:val="20"/>
              </w:rPr>
              <w:t>0.721</w:t>
            </w:r>
          </w:p>
        </w:tc>
        <w:tc>
          <w:tcPr>
            <w:tcW w:type="dxa" w:w="3312"/>
          </w:tcPr>
          <w:p>
            <w:r/>
            <w:r>
              <w:rPr>
                <w:sz w:val="20"/>
              </w:rPr>
              <w:t>—</w:t>
            </w:r>
          </w:p>
        </w:tc>
      </w:tr>
      <w:tr>
        <w:tc>
          <w:tcPr>
            <w:tcW w:type="dxa" w:w="3312"/>
          </w:tcPr>
          <w:p>
            <w:r/>
            <w:r>
              <w:rPr>
                <w:sz w:val="20"/>
              </w:rPr>
              <w:t>PR-AUC</w:t>
            </w:r>
          </w:p>
        </w:tc>
        <w:tc>
          <w:tcPr>
            <w:tcW w:type="dxa" w:w="3312"/>
          </w:tcPr>
          <w:p>
            <w:r/>
            <w:r>
              <w:rPr>
                <w:sz w:val="20"/>
              </w:rPr>
              <w:t>0.815</w:t>
            </w:r>
          </w:p>
        </w:tc>
        <w:tc>
          <w:tcPr>
            <w:tcW w:type="dxa" w:w="3312"/>
          </w:tcPr>
          <w:p>
            <w:r/>
            <w:r>
              <w:rPr>
                <w:sz w:val="20"/>
              </w:rPr>
              <w:t>—</w:t>
            </w:r>
          </w:p>
        </w:tc>
      </w:tr>
      <w:tr>
        <w:tc>
          <w:tcPr>
            <w:tcW w:type="dxa" w:w="3312"/>
          </w:tcPr>
          <w:p>
            <w:r/>
            <w:r>
              <w:rPr>
                <w:sz w:val="20"/>
              </w:rPr>
              <w:t>Brier Score</w:t>
            </w:r>
          </w:p>
        </w:tc>
        <w:tc>
          <w:tcPr>
            <w:tcW w:type="dxa" w:w="3312"/>
          </w:tcPr>
          <w:p>
            <w:r/>
            <w:r>
              <w:rPr>
                <w:sz w:val="20"/>
              </w:rPr>
              <w:t>0.186</w:t>
            </w:r>
          </w:p>
        </w:tc>
        <w:tc>
          <w:tcPr>
            <w:tcW w:type="dxa" w:w="3312"/>
          </w:tcPr>
          <w:p>
            <w:r/>
            <w:r>
              <w:rPr>
                <w:sz w:val="20"/>
              </w:rPr>
              <w:t>lower is better</w:t>
            </w:r>
          </w:p>
        </w:tc>
      </w:tr>
      <w:tr>
        <w:tc>
          <w:tcPr>
            <w:tcW w:type="dxa" w:w="3312"/>
          </w:tcPr>
          <w:p>
            <w:r/>
            <w:r>
              <w:rPr>
                <w:sz w:val="20"/>
              </w:rPr>
              <w:t>Transit Recall</w:t>
            </w:r>
          </w:p>
        </w:tc>
        <w:tc>
          <w:tcPr>
            <w:tcW w:type="dxa" w:w="3312"/>
          </w:tcPr>
          <w:p>
            <w:r/>
            <w:r>
              <w:rPr>
                <w:sz w:val="20"/>
              </w:rPr>
              <w:t>93.5%</w:t>
            </w:r>
          </w:p>
        </w:tc>
        <w:tc>
          <w:tcPr>
            <w:tcW w:type="dxa" w:w="3312"/>
          </w:tcPr>
          <w:p>
            <w:r/>
            <w:r>
              <w:rPr>
                <w:sz w:val="20"/>
              </w:rPr>
              <w:t>—</w:t>
            </w:r>
          </w:p>
        </w:tc>
      </w:tr>
      <w:tr>
        <w:tc>
          <w:tcPr>
            <w:tcW w:type="dxa" w:w="3312"/>
          </w:tcPr>
          <w:p>
            <w:r/>
            <w:r>
              <w:rPr>
                <w:sz w:val="20"/>
              </w:rPr>
              <w:t>Other-class Recall</w:t>
            </w:r>
          </w:p>
        </w:tc>
        <w:tc>
          <w:tcPr>
            <w:tcW w:type="dxa" w:w="3312"/>
          </w:tcPr>
          <w:p>
            <w:r/>
            <w:r>
              <w:rPr>
                <w:sz w:val="20"/>
              </w:rPr>
              <w:t>35.1%</w:t>
            </w:r>
          </w:p>
        </w:tc>
        <w:tc>
          <w:tcPr>
            <w:tcW w:type="dxa" w:w="3312"/>
          </w:tcPr>
          <w:p>
            <w:r/>
            <w:r>
              <w:rPr>
                <w:sz w:val="20"/>
              </w:rPr>
              <w:t>—</w:t>
            </w:r>
          </w:p>
        </w:tc>
      </w:tr>
    </w:tbl>
    <w:p/>
    <w:p>
      <w:pPr>
        <w:sectPr>
          <w:type w:val="continuous"/>
          <w:pgSz w:w="11906" w:h="16838"/>
          <w:pgMar w:top="720" w:right="720" w:bottom="720" w:left="720" w:header="708" w:footer="708" w:gutter="0"/>
          <w:cols w:num="1" w:space="400"/>
          <w:docGrid w:linePitch="360"/>
        </w:sectPr>
      </w:pPr>
    </w:p>
    <w:p>
      <w:pPr>
        <w:spacing w:before="120" w:after="40"/>
      </w:pPr>
      <w:r>
        <w:rPr>
          <w:b/>
          <w:i/>
        </w:rPr>
        <w:t>E. Interpretation and Current Limitations</w:t>
      </w:r>
    </w:p>
    <w:p>
      <w:pPr>
        <w:jc w:val="both"/>
      </w:pPr>
      <w:r>
        <w:t>These are preliminary results from a two-class (Transit vs. Other) framing of the classifier, evaluated before the full four-class taxonomy (Transit / Eclipsing Binary / Blend / Other), Bayesian parameter fitting, and automated reporting stages are implemented. As Table III shows, current macro-F1 (0.652) sits below the project's target of 0.90; the confusion matrix in Fig. 2 attributes most of that gap to low recall on the minority Other class, which is consistent with the class imbalance already visible in the unified label catalog (9,568 Transit vs. 1,395 Other, Section 6-A) and is expected to improve once SMOTE-based class balancing and the active-learning loop (Section 10-D) are wired in. The remaining acceptance criteria — ≥80% TOI recovery at SDE ≥ 7 and orbital-parameter recovery within 5–10% of catalog values — are stated here as design goals for the completed system rather than results achieved to date, and are revisited in Section 10.</w:t>
      </w:r>
    </w:p>
    <w:p/>
    <w:p>
      <w:pPr>
        <w:spacing w:before="200" w:after="40"/>
      </w:pPr>
      <w:r>
        <w:rPr>
          <w:b/>
        </w:rPr>
        <w:t>9 COMPARATIVE ANALYSIS:</w:t>
      </w:r>
    </w:p>
    <w:p/>
    <w:p>
      <w:pPr>
        <w:jc w:val="both"/>
      </w:pPr>
      <w:r>
        <w:t>Table I (Section 2) compared LuNaVision AI against the surveyed literature on architectural capability. A second useful comparison is against the two general strategies available to a team building an exoplanet-detection tool today: (a) chain together several independent single-purpose scripts — a downloader, a detrender, a period search, a classifier notebook — by hand, or (b) build one orchestrated pipeline as proposed here. Strategy (a) is faster to get a first result from, since each script can be written and tested independently with no shared interface to design; this is the strategy implicit in most of the surveyed papers, each of which reports results from a single stage in isolation. Its cost shows up downstream: every hand-off between scripts is a place where format drift, silent truncation, or an unlogged manual filtering step can enter the pipeline, and none of it is visible to a later reviewer. Strategy (b) costs more up front — a shared message format, an orchestrator, and quality gates have to be designed before the first candidate is classified — but each hand-off becomes a logged, typed message rather than an ad hoc file copy, and the same quality-gating and resumability logic applies uniformly whether the run covers one target or an entire sector. The results in Section 8 reflect this trade-off directly: the acquisition-through-feature-engineering stages, which share the orchestrated design, have already been run at the 2,000+ target scale without manual intervention between stages, which would be substantially harder to reproduce reliably with hand-chained scripts.</w:t>
      </w:r>
    </w:p>
    <w:p/>
    <w:p>
      <w:pPr>
        <w:spacing w:before="200" w:after="40"/>
      </w:pPr>
      <w:r>
        <w:rPr>
          <w:b/>
        </w:rPr>
        <w:t>10 FUTURE ENHANCEMENT:</w:t>
      </w:r>
    </w:p>
    <w:p/>
    <w:p>
      <w:pPr>
        <w:spacing w:before="120" w:after="40"/>
      </w:pPr>
      <w:r>
        <w:rPr>
          <w:b/>
          <w:i/>
        </w:rPr>
        <w:t>A. Orbital Parameter Estimation</w:t>
      </w:r>
    </w:p>
    <w:p>
      <w:pPr>
        <w:jc w:val="both"/>
      </w:pPr>
      <w:r>
        <w:t>Implement the Parameter Fitting Agent: initialize a batman transit model from each classified candidate's TLS-derived parameters, run emcee MCMC sampling (target: 32 walkers × 1,000 steps) to obtain posterior distributions and 95% credible intervals for radius ratio, period, impact parameter, inclination, and transit midpoint, with a least-squares fallback where the chain fails to converge.</w:t>
      </w:r>
    </w:p>
    <w:p>
      <w:pPr>
        <w:spacing w:before="120" w:after="40"/>
      </w:pPr>
      <w:r>
        <w:rPr>
          <w:b/>
          <w:i/>
        </w:rPr>
        <w:t>B. Automated Visualization and Reporting</w:t>
      </w:r>
    </w:p>
    <w:p>
      <w:pPr>
        <w:jc w:val="both"/>
      </w:pPr>
      <w:r>
        <w:t>Implement the Reporting Agent to generate the seven required diagnostic plots per candidate (raw and detrended light curve, TLS periodogram, phase-folded transit with model overlay, MCMC corner plot, odd/even comparison, centroid-motion plot), a ranked candidate catalog, and an automated multi-page PDF summary per target.</w:t>
      </w:r>
    </w:p>
    <w:p>
      <w:pPr>
        <w:spacing w:before="120" w:after="40"/>
      </w:pPr>
      <w:r>
        <w:rPr>
          <w:b/>
          <w:i/>
        </w:rPr>
        <w:t>C. Four-Class Taxonomy and Full-Catalog Feature Extraction</w:t>
      </w:r>
    </w:p>
    <w:p>
      <w:pPr>
        <w:jc w:val="both"/>
      </w:pPr>
      <w:r>
        <w:t>Extend the labelled dataset to populate the Eclipsing Binary and Blend classes (currently absent from the unified label set) and re-run feature extraction and classification across the full 2,312-target detrended catalog rather than the current subset.</w:t>
      </w:r>
    </w:p>
    <w:p>
      <w:pPr>
        <w:spacing w:before="120" w:after="40"/>
      </w:pPr>
      <w:r>
        <w:rPr>
          <w:b/>
          <w:i/>
        </w:rPr>
        <w:t>D. Active Learning Loop</w:t>
      </w:r>
    </w:p>
    <w:p>
      <w:pPr>
        <w:jc w:val="both"/>
      </w:pPr>
      <w:r>
        <w:t>Wire the Classification Agent's low-confidence output into the Active Learning Agent, route those candidates to a human reviewer through the existing transit_log dashboard, and automatically fold newly confirmed labels back into the next training run.</w:t>
      </w:r>
    </w:p>
    <w:p>
      <w:pPr>
        <w:spacing w:before="120" w:after="40"/>
      </w:pPr>
      <w:r>
        <w:rPr>
          <w:b/>
          <w:i/>
        </w:rPr>
        <w:t>E. Injection–Recovery and Centroid Validation</w:t>
      </w:r>
    </w:p>
    <w:p>
      <w:pPr>
        <w:jc w:val="both"/>
      </w:pPr>
      <w:r>
        <w:t>Implement the injection-recovery sensitivity test (re-running the full pipeline on light curves with known injected transits to measure recovery rate as a function of depth and period) and the centroid-shift check that flags background-eclipsing-binary contamination, both specified in the original design but not yet built.</w:t>
      </w:r>
    </w:p>
    <w:p>
      <w:pPr>
        <w:spacing w:before="120" w:after="40"/>
      </w:pPr>
      <w:r>
        <w:rPr>
          <w:b/>
          <w:i/>
        </w:rPr>
        <w:t>F. Sector and Sky Coverage Scale-Up</w:t>
      </w:r>
    </w:p>
    <w:p>
      <w:pPr>
        <w:jc w:val="both"/>
      </w:pPr>
      <w:r>
        <w:t>Extend acquisition, preprocessing, and detection beyond Sector 1 to additional TESS sectors, moving toward the original ≤90-minute-per-sector runtime target on an 8-core CPU.</w:t>
      </w:r>
    </w:p>
    <w:p/>
    <w:p>
      <w:pPr>
        <w:spacing w:before="200" w:after="40"/>
      </w:pPr>
      <w:r>
        <w:rPr>
          <w:b/>
        </w:rPr>
        <w:t>11 RISKS AND MITIGATIONS:</w:t>
      </w:r>
    </w:p>
    <w:p/>
    <w:p>
      <w:pPr>
        <w:sectPr>
          <w:type w:val="continuous"/>
          <w:pgSz w:w="11906" w:h="16838"/>
          <w:pgMar w:top="720" w:right="720" w:bottom="720" w:left="720" w:header="708" w:footer="708" w:gutter="0"/>
          <w:cols w:num="2" w:space="400"/>
          <w:docGrid w:linePitch="360"/>
        </w:sectPr>
      </w:pPr>
    </w:p>
    <w:p>
      <w:pPr>
        <w:jc w:val="center"/>
      </w:pPr>
      <w:r>
        <w:rPr>
          <w:i/>
          <w:sz w:val="18"/>
        </w:rPr>
        <w:t>TABLE IV. IDENTIFIED RISKS AND DESIGN-LEVEL MITIGATIONS</w:t>
      </w:r>
    </w:p>
    <w:tbl>
      <w:tblPr>
        <w:tblW w:type="auto" w:w="0"/>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firstColumn="1" w:firstRow="1" w:lastColumn="0" w:lastRow="0" w:noHBand="0" w:noVBand="1" w:val="04A0"/>
      </w:tblPr>
      <w:tblGrid>
        <w:gridCol w:w="3489"/>
        <w:gridCol w:w="3489"/>
        <w:gridCol w:w="3489"/>
      </w:tblGrid>
      <w:tr>
        <w:tc>
          <w:tcPr>
            <w:tcW w:type="dxa" w:w="3168"/>
            <w:shd w:val="clear" w:color="auto" w:fill="D9E2F3"/>
          </w:tcPr>
          <w:p>
            <w:r/>
            <w:r>
              <w:rPr>
                <w:b/>
                <w:sz w:val="18"/>
              </w:rPr>
              <w:t>Risk</w:t>
            </w:r>
          </w:p>
        </w:tc>
        <w:tc>
          <w:tcPr>
            <w:tcW w:type="dxa" w:w="2880"/>
            <w:shd w:val="clear" w:color="auto" w:fill="D9E2F3"/>
          </w:tcPr>
          <w:p>
            <w:r/>
            <w:r>
              <w:rPr>
                <w:b/>
                <w:sz w:val="18"/>
              </w:rPr>
              <w:t>Impact</w:t>
            </w:r>
          </w:p>
        </w:tc>
        <w:tc>
          <w:tcPr>
            <w:tcW w:type="dxa" w:w="3888"/>
            <w:shd w:val="clear" w:color="auto" w:fill="D9E2F3"/>
          </w:tcPr>
          <w:p>
            <w:r/>
            <w:r>
              <w:rPr>
                <w:b/>
                <w:sz w:val="18"/>
              </w:rPr>
              <w:t>Mitigation</w:t>
            </w:r>
          </w:p>
        </w:tc>
      </w:tr>
      <w:tr>
        <w:tc>
          <w:tcPr>
            <w:tcW w:type="dxa" w:w="3168"/>
          </w:tcPr>
          <w:p>
            <w:r/>
            <w:r>
              <w:rPr>
                <w:sz w:val="18"/>
              </w:rPr>
              <w:t>MAST download bandwidth / rate limits</w:t>
            </w:r>
          </w:p>
        </w:tc>
        <w:tc>
          <w:tcPr>
            <w:tcW w:type="dxa" w:w="2880"/>
          </w:tcPr>
          <w:p>
            <w:r/>
            <w:r>
              <w:rPr>
                <w:sz w:val="18"/>
              </w:rPr>
              <w:t>Incomplete sector download</w:t>
            </w:r>
          </w:p>
        </w:tc>
        <w:tc>
          <w:tcPr>
            <w:tcW w:type="dxa" w:w="3888"/>
          </w:tcPr>
          <w:p>
            <w:r/>
            <w:r>
              <w:rPr>
                <w:sz w:val="18"/>
              </w:rPr>
              <w:t>Local caching, resumable thread-pooled downloads, manifest-based skip-if-exists</w:t>
            </w:r>
          </w:p>
        </w:tc>
      </w:tr>
      <w:tr>
        <w:tc>
          <w:tcPr>
            <w:tcW w:type="dxa" w:w="3168"/>
          </w:tcPr>
          <w:p>
            <w:r/>
            <w:r>
              <w:rPr>
                <w:sz w:val="18"/>
              </w:rPr>
              <w:t>Severe class imbalance (Transit vs. Other)</w:t>
            </w:r>
          </w:p>
        </w:tc>
        <w:tc>
          <w:tcPr>
            <w:tcW w:type="dxa" w:w="2880"/>
          </w:tcPr>
          <w:p>
            <w:r/>
            <w:r>
              <w:rPr>
                <w:sz w:val="18"/>
              </w:rPr>
              <w:t>Classifier biased to majority class</w:t>
            </w:r>
          </w:p>
        </w:tc>
        <w:tc>
          <w:tcPr>
            <w:tcW w:type="dxa" w:w="3888"/>
          </w:tcPr>
          <w:p>
            <w:r/>
            <w:r>
              <w:rPr>
                <w:sz w:val="18"/>
              </w:rPr>
              <w:t>SMOTE oversampling, class-weighted loss, synthetic injection augmentation</w:t>
            </w:r>
          </w:p>
        </w:tc>
      </w:tr>
      <w:tr>
        <w:tc>
          <w:tcPr>
            <w:tcW w:type="dxa" w:w="3168"/>
          </w:tcPr>
          <w:p>
            <w:r/>
            <w:r>
              <w:rPr>
                <w:sz w:val="18"/>
              </w:rPr>
              <w:t>Over- or under-detrending masking real transits</w:t>
            </w:r>
          </w:p>
        </w:tc>
        <w:tc>
          <w:tcPr>
            <w:tcW w:type="dxa" w:w="2880"/>
          </w:tcPr>
          <w:p>
            <w:r/>
            <w:r>
              <w:rPr>
                <w:sz w:val="18"/>
              </w:rPr>
              <w:t>Missed detections</w:t>
            </w:r>
          </w:p>
        </w:tc>
        <w:tc>
          <w:tcPr>
            <w:tcW w:type="dxa" w:w="3888"/>
          </w:tcPr>
          <w:p>
            <w:r/>
            <w:r>
              <w:rPr>
                <w:sz w:val="18"/>
              </w:rPr>
              <w:t>Bi-weight filter tuned to transit timescale; injection-recovery testing (Sec. 10-E)</w:t>
            </w:r>
          </w:p>
        </w:tc>
      </w:tr>
      <w:tr>
        <w:tc>
          <w:tcPr>
            <w:tcW w:type="dxa" w:w="3168"/>
          </w:tcPr>
          <w:p>
            <w:r/>
            <w:r>
              <w:rPr>
                <w:sz w:val="18"/>
              </w:rPr>
              <w:t>MCMC non-convergence during parameter fitting</w:t>
            </w:r>
          </w:p>
        </w:tc>
        <w:tc>
          <w:tcPr>
            <w:tcW w:type="dxa" w:w="2880"/>
          </w:tcPr>
          <w:p>
            <w:r/>
            <w:r>
              <w:rPr>
                <w:sz w:val="18"/>
              </w:rPr>
              <w:t>Unreliable uncertainty estimates</w:t>
            </w:r>
          </w:p>
        </w:tc>
        <w:tc>
          <w:tcPr>
            <w:tcW w:type="dxa" w:w="3888"/>
          </w:tcPr>
          <w:p>
            <w:r/>
            <w:r>
              <w:rPr>
                <w:sz w:val="18"/>
              </w:rPr>
              <w:t>Bounded iteration count with least-squares fallback (Sec. 10-A)</w:t>
            </w:r>
          </w:p>
        </w:tc>
      </w:tr>
      <w:tr>
        <w:tc>
          <w:tcPr>
            <w:tcW w:type="dxa" w:w="3168"/>
          </w:tcPr>
          <w:p>
            <w:r/>
            <w:r>
              <w:rPr>
                <w:sz w:val="18"/>
              </w:rPr>
              <w:t>Unrecognized signal morphologies</w:t>
            </w:r>
          </w:p>
        </w:tc>
        <w:tc>
          <w:tcPr>
            <w:tcW w:type="dxa" w:w="2880"/>
          </w:tcPr>
          <w:p>
            <w:r/>
            <w:r>
              <w:rPr>
                <w:sz w:val="18"/>
              </w:rPr>
              <w:t>Misclassification of novel signal shapes</w:t>
            </w:r>
          </w:p>
        </w:tc>
        <w:tc>
          <w:tcPr>
            <w:tcW w:type="dxa" w:w="3888"/>
          </w:tcPr>
          <w:p>
            <w:r/>
            <w:r>
              <w:rPr>
                <w:sz w:val="18"/>
              </w:rPr>
              <w:t>Confidence-based routing to the Active Learning Agent for human review (Sec. 10-D)</w:t>
            </w:r>
          </w:p>
        </w:tc>
      </w:tr>
    </w:tbl>
    <w:p/>
    <w:p>
      <w:pPr>
        <w:sectPr>
          <w:type w:val="continuous"/>
          <w:pgSz w:w="11906" w:h="16838"/>
          <w:pgMar w:top="720" w:right="720" w:bottom="720" w:left="720" w:header="708" w:footer="708" w:gutter="0"/>
          <w:cols w:num="1" w:space="400"/>
          <w:docGrid w:linePitch="360"/>
        </w:sectPr>
      </w:pPr>
    </w:p>
    <w:p>
      <w:pPr>
        <w:spacing w:before="200" w:after="40"/>
      </w:pPr>
      <w:r>
        <w:rPr>
          <w:b/>
        </w:rPr>
        <w:t>12 CONCLUSION:</w:t>
      </w:r>
    </w:p>
    <w:p/>
    <w:p>
      <w:pPr>
        <w:jc w:val="both"/>
      </w:pPr>
      <w:r>
        <w:t>This paper presented LuNaVision AI, a multi-agent pipeline for automated exoplanet discovery from TESS observations, and reported on the portion of the system that is implemented and evaluated to date. The data-acquisition, preprocessing, periodicity-detection, and feature-engineering stages are functional and have been run at scale — 2,360 TESS light curves acquired, 2,312 successfully detrended with a median 49% noise reduction, and a 73-feature representation computed per candidate — and an initial classification model, evaluated with group-aware cross-validation on 2,271 real labelled targets, reaches 74.3% accuracy and a 0.721 ROC-AUC while relying on physically meaningful features, giving early evidence that the architecture is sound even though its absolute performance has not yet reached the project's target metrics. The orbital-parameter-estimation, automated-reporting, and active-learning stages remain to be implemented, and Section 10 sets out the concrete steps and Section 11 the identified risks toward completing them. Taken together, the completed and planned stages support the central claim of this work: that exoplanet discovery from TESS light curves can be organized as a single coordinated multi-agent pipeline, rather than a sequence of disconnected, manually operated tools.</w:t>
      </w:r>
    </w:p>
    <w:p/>
    <w:p>
      <w:pPr>
        <w:spacing w:before="200" w:after="40"/>
      </w:pPr>
      <w:r>
        <w:rPr>
          <w:b/>
        </w:rPr>
        <w:t>13 DATA AND CODE AVAILABILITY:</w:t>
      </w:r>
    </w:p>
    <w:p/>
    <w:p>
      <w:pPr>
        <w:jc w:val="both"/>
      </w:pPr>
      <w:r>
        <w:t>The pipeline is organized as a standard Python package (src/) with one module per stage, an agents/ package for the message-passing wrapper layer, and a frontend/ directory holding the transit_log review dashboard. Intermediate and final artifacts are written to a data/ directory with three subdirectories — raw/ for downloaded FITS-derived arrays, processed/ for detrended and injected light curves, and catalogs/ for the unified label set, stellar-parameter table, and feature matrix — and trained model artifacts (the calibrated ensemble and its metrics.json evaluation record) are written to models/. Every stage logs a manifest or per-target report (JSON or CSV) alongside its output, so the exact provenance of any number reported in Section 8 can be traced back to the run that produced it.</w:t>
      </w:r>
    </w:p>
    <w:p/>
    <w:p>
      <w:pPr>
        <w:spacing w:before="200" w:after="40"/>
      </w:pPr>
      <w:r>
        <w:rPr>
          <w:b/>
        </w:rPr>
        <w:t>14 ACKNOWLEDGMENT:</w:t>
      </w:r>
    </w:p>
    <w:p/>
    <w:p>
      <w:pPr>
        <w:jc w:val="both"/>
      </w:pPr>
      <w:r>
        <w:t>The authors thank Mrs. M. Bhavadharini and Dr. S. Sasikala, Department of Artificial Intelligence and Data Science, Velammal College of Engineering and Technology, for their guidance and continued feedback throughout the design and implementation of this work.</w:t>
      </w:r>
    </w:p>
    <w:p/>
    <w:p w:rsidR="003E3D1A" w:rsidRDefault="002339C8" w:rsidP="002339C8">
      <w:r>
        <w:rPr>
          <w:b/>
        </w:rPr>
        <w:t>REFERENCES</w:t>
      </w:r>
    </w:p>
    <w:p/>
    <w:p>
      <w:pPr>
        <w:tabs>
          <w:tab w:val="left" w:pos="360"/>
        </w:tabs>
        <w:spacing w:after="40"/>
        <w:ind w:left="360" w:hanging="360"/>
        <w:jc w:val="both"/>
        <w:rPr>
          <w:sz w:val="18"/>
          <w:szCs w:val="18"/>
        </w:rPr>
      </w:pPr>
      <w:r>
        <w:rPr>
          <w:sz w:val="18"/>
          <w:szCs w:val="18"/>
        </w:rPr>
        <w:t>[1]</w:t>
      </w:r>
      <w:r>
        <w:rPr>
          <w:sz w:val="18"/>
          <w:szCs w:val="18"/>
        </w:rPr>
        <w:tab/>
        <w:t xml:space="preserve">B. Y. Feng, R. Ferrer-Chávez, A. Levis, W. T. Freeman, and J. J. Wang, "Exoplanet imaging via differentiable rendering," Int. J. Data Sci. Anal. (Springer), 2025.</w:t>
      </w:r>
    </w:p>
    <w:p>
      <w:pPr>
        <w:tabs>
          <w:tab w:val="left" w:pos="360"/>
        </w:tabs>
        <w:spacing w:after="40"/>
        <w:ind w:left="360" w:hanging="360"/>
        <w:jc w:val="both"/>
        <w:rPr>
          <w:sz w:val="18"/>
          <w:szCs w:val="18"/>
        </w:rPr>
      </w:pPr>
      <w:r>
        <w:rPr>
          <w:sz w:val="18"/>
          <w:szCs w:val="18"/>
        </w:rPr>
        <w:t>[2]</w:t>
      </w:r>
      <w:r>
        <w:rPr>
          <w:sz w:val="18"/>
          <w:szCs w:val="18"/>
        </w:rPr>
        <w:tab/>
        <w:t xml:space="preserve">M. Jara-Maldonado et al., "Light intensity of stars for exoplanet detection," in Proc. IEEE Region 10 Symp. (TENSYMP), 2022.</w:t>
      </w:r>
    </w:p>
    <w:p>
      <w:pPr>
        <w:tabs>
          <w:tab w:val="left" w:pos="360"/>
        </w:tabs>
        <w:spacing w:after="40"/>
        <w:ind w:left="360" w:hanging="360"/>
        <w:jc w:val="both"/>
        <w:rPr>
          <w:sz w:val="18"/>
          <w:szCs w:val="18"/>
        </w:rPr>
      </w:pPr>
      <w:r>
        <w:rPr>
          <w:sz w:val="18"/>
          <w:szCs w:val="18"/>
        </w:rPr>
        <w:t>[3]</w:t>
      </w:r>
      <w:r>
        <w:rPr>
          <w:sz w:val="18"/>
          <w:szCs w:val="18"/>
        </w:rPr>
        <w:tab/>
        <w:t xml:space="preserve">J. Pimentel, J. Amorim, and Rudzicz, "Feature extraction for exoplanet detection," Int. J. Data Sci. Anal. (Springer), 2024.</w:t>
      </w:r>
    </w:p>
    <w:p>
      <w:pPr>
        <w:tabs>
          <w:tab w:val="left" w:pos="360"/>
        </w:tabs>
        <w:spacing w:after="40"/>
        <w:ind w:left="360" w:hanging="360"/>
        <w:jc w:val="both"/>
        <w:rPr>
          <w:sz w:val="18"/>
          <w:szCs w:val="18"/>
        </w:rPr>
      </w:pPr>
      <w:r>
        <w:rPr>
          <w:sz w:val="18"/>
          <w:szCs w:val="18"/>
        </w:rPr>
        <w:t>[4]</w:t>
      </w:r>
      <w:r>
        <w:rPr>
          <w:sz w:val="18"/>
          <w:szCs w:val="18"/>
        </w:rPr>
        <w:tab/>
        <w:t xml:space="preserve">M. Ansdell et al., "Scientific domain knowledge improves exoplanet transit classification with deep learning," Astrophys. J. Lett. (IOP/AAS), 2018.</w:t>
      </w:r>
    </w:p>
    <w:p>
      <w:pPr>
        <w:tabs>
          <w:tab w:val="left" w:pos="360"/>
        </w:tabs>
        <w:spacing w:after="40"/>
        <w:ind w:left="360" w:hanging="360"/>
        <w:jc w:val="both"/>
        <w:rPr>
          <w:sz w:val="18"/>
          <w:szCs w:val="18"/>
        </w:rPr>
      </w:pPr>
      <w:r>
        <w:rPr>
          <w:sz w:val="18"/>
          <w:szCs w:val="18"/>
        </w:rPr>
        <w:t>[5]</w:t>
      </w:r>
      <w:r>
        <w:rPr>
          <w:sz w:val="18"/>
          <w:szCs w:val="18"/>
        </w:rPr>
        <w:tab/>
        <w:t xml:space="preserve">I. Priyadarshini and V. Puri, "A CNN-based ensemble model for exoplanet detection," Earth Sci. Inform. (Springer), 2021.</w:t>
      </w:r>
    </w:p>
    <w:p>
      <w:pPr>
        <w:tabs>
          <w:tab w:val="left" w:pos="360"/>
        </w:tabs>
        <w:spacing w:after="40"/>
        <w:ind w:left="360" w:hanging="360"/>
        <w:jc w:val="both"/>
        <w:rPr>
          <w:sz w:val="18"/>
          <w:szCs w:val="18"/>
        </w:rPr>
      </w:pPr>
      <w:r>
        <w:rPr>
          <w:sz w:val="18"/>
          <w:szCs w:val="18"/>
        </w:rPr>
        <w:t>[6]</w:t>
      </w:r>
      <w:r>
        <w:rPr>
          <w:sz w:val="18"/>
          <w:szCs w:val="18"/>
        </w:rPr>
        <w:tab/>
        <w:t xml:space="preserve">Z. L. de Beurs et al., "Identifying exoplanets with deep learning IV: Removing stellar activity signals from radial velocity data using neural networks," Astron. J. (IOP/AAS), 2022.</w:t>
      </w:r>
    </w:p>
    <w:p>
      <w:pPr>
        <w:tabs>
          <w:tab w:val="left" w:pos="360"/>
        </w:tabs>
        <w:spacing w:after="40"/>
        <w:ind w:left="360" w:hanging="360"/>
        <w:jc w:val="both"/>
        <w:rPr>
          <w:sz w:val="18"/>
          <w:szCs w:val="18"/>
        </w:rPr>
      </w:pPr>
      <w:r>
        <w:rPr>
          <w:sz w:val="18"/>
          <w:szCs w:val="18"/>
        </w:rPr>
        <w:t>[7]</w:t>
      </w:r>
      <w:r>
        <w:rPr>
          <w:sz w:val="18"/>
          <w:szCs w:val="18"/>
        </w:rPr>
        <w:tab/>
        <w:t xml:space="preserve">M. S. Khan, J. Jenkins, and N. B. Yoma, "Discovering new worlds: Signal processing methods for RV exoplanet detection," IEEE Signal Process. Mag., vol. 34, pp. 104-115, 2017.</w:t>
      </w:r>
    </w:p>
    <w:p>
      <w:pPr>
        <w:tabs>
          <w:tab w:val="left" w:pos="360"/>
        </w:tabs>
        <w:spacing w:after="40"/>
        <w:ind w:left="360" w:hanging="360"/>
        <w:jc w:val="both"/>
        <w:rPr>
          <w:sz w:val="18"/>
          <w:szCs w:val="18"/>
        </w:rPr>
      </w:pPr>
      <w:r>
        <w:rPr>
          <w:sz w:val="18"/>
          <w:szCs w:val="18"/>
        </w:rPr>
        <w:t>[8]</w:t>
      </w:r>
      <w:r>
        <w:rPr>
          <w:sz w:val="18"/>
          <w:szCs w:val="18"/>
        </w:rPr>
        <w:tab/>
        <w:t xml:space="preserve">J. T. Wright and B. S. Gaudi, "Exoplanet detection methods," in Planets, Stars and Stellar Systems, vol. 3. Springer Netherlands, 2012 (also arXiv, 2012).</w:t>
      </w:r>
    </w:p>
    <w:p>
      <w:pPr>
        <w:tabs>
          <w:tab w:val="left" w:pos="360"/>
        </w:tabs>
        <w:spacing w:after="40"/>
        <w:ind w:left="360" w:hanging="360"/>
        <w:jc w:val="both"/>
        <w:rPr>
          <w:sz w:val="18"/>
          <w:szCs w:val="18"/>
        </w:rPr>
      </w:pPr>
      <w:r>
        <w:rPr>
          <w:sz w:val="18"/>
          <w:szCs w:val="18"/>
        </w:rPr>
        <w:t>[9]</w:t>
      </w:r>
      <w:r>
        <w:rPr>
          <w:sz w:val="18"/>
          <w:szCs w:val="18"/>
        </w:rPr>
        <w:tab/>
        <w:t xml:space="preserve">M. Hippke and R. Heller, “Optimized transit detection algorithm to search for periodic transits of small planets,” Astron. Astrophys., 2019.</w:t>
      </w:r>
    </w:p>
    <w:p>
      <w:pPr>
        <w:tabs>
          <w:tab w:val="left" w:pos="360"/>
        </w:tabs>
        <w:spacing w:after="40"/>
        <w:ind w:left="360" w:hanging="360"/>
        <w:jc w:val="both"/>
        <w:rPr>
          <w:sz w:val="18"/>
          <w:szCs w:val="18"/>
        </w:rPr>
      </w:pPr>
      <w:r>
        <w:rPr>
          <w:sz w:val="18"/>
          <w:szCs w:val="18"/>
        </w:rPr>
        <w:t>[10]</w:t>
      </w:r>
      <w:r>
        <w:rPr>
          <w:sz w:val="18"/>
          <w:szCs w:val="18"/>
        </w:rPr>
        <w:tab/>
        <w:t xml:space="preserve">M. Hippke et al., “Wotan: Comprehensive time-series de-trending in Python,” Astron. J., 2019.</w:t>
      </w:r>
    </w:p>
    <w:p>
      <w:pPr>
        <w:tabs>
          <w:tab w:val="left" w:pos="360"/>
        </w:tabs>
        <w:spacing w:after="40"/>
        <w:ind w:left="360" w:hanging="360"/>
        <w:jc w:val="both"/>
        <w:rPr>
          <w:sz w:val="18"/>
          <w:szCs w:val="18"/>
        </w:rPr>
      </w:pPr>
      <w:r>
        <w:rPr>
          <w:sz w:val="18"/>
          <w:szCs w:val="18"/>
        </w:rPr>
        <w:t>[11]</w:t>
      </w:r>
      <w:r>
        <w:rPr>
          <w:sz w:val="18"/>
          <w:szCs w:val="18"/>
        </w:rPr>
        <w:tab/>
        <w:t xml:space="preserve">Lightkurve Collaboration, “Lightkurve: Kepler and TESS time series analysis in Python,” Astrophysics Source Code Library, 2018.</w:t>
      </w:r>
    </w:p>
    <w:sectPr w:rsidR="002339C8" w:rsidRPr="002339C8" w:rsidSect="009A0EC9">
      <w:type w:val="continuous"/>
      <w:pgSz w:w="11906" w:h="16838"/>
      <w:pgMar w:top="720" w:right="720" w:bottom="720" w:left="720" w:header="708" w:footer="708" w:gutter="0"/>
      <w:cols w:num="2" w:space="40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63175E"/>
    <w:multiLevelType w:val="hybridMultilevel"/>
    <w:tmpl w:val="F6804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1E08D6"/>
    <w:multiLevelType w:val="hybridMultilevel"/>
    <w:tmpl w:val="16B22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7146FA"/>
    <w:multiLevelType w:val="hybridMultilevel"/>
    <w:tmpl w:val="33C6B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9961EDA"/>
    <w:multiLevelType w:val="hybridMultilevel"/>
    <w:tmpl w:val="96968BC4"/>
    <w:lvl w:ilvl="0" w:tplc="3EF8FDD0">
      <w:start w:val="1"/>
      <w:numFmt w:val="bullet"/>
      <w:lvlText w:val="●"/>
      <w:lvlJc w:val="left"/>
      <w:pPr>
        <w:ind w:left="720" w:hanging="360"/>
      </w:pPr>
    </w:lvl>
    <w:lvl w:ilvl="1" w:tplc="B7AE18D2">
      <w:start w:val="1"/>
      <w:numFmt w:val="bullet"/>
      <w:lvlText w:val="○"/>
      <w:lvlJc w:val="left"/>
      <w:pPr>
        <w:ind w:left="1440" w:hanging="360"/>
      </w:pPr>
    </w:lvl>
    <w:lvl w:ilvl="2" w:tplc="AD3A1A8A">
      <w:start w:val="1"/>
      <w:numFmt w:val="bullet"/>
      <w:lvlText w:val="■"/>
      <w:lvlJc w:val="left"/>
      <w:pPr>
        <w:ind w:left="2160" w:hanging="360"/>
      </w:pPr>
    </w:lvl>
    <w:lvl w:ilvl="3" w:tplc="97DA331E">
      <w:start w:val="1"/>
      <w:numFmt w:val="bullet"/>
      <w:lvlText w:val="●"/>
      <w:lvlJc w:val="left"/>
      <w:pPr>
        <w:ind w:left="2880" w:hanging="360"/>
      </w:pPr>
    </w:lvl>
    <w:lvl w:ilvl="4" w:tplc="835CEA80">
      <w:start w:val="1"/>
      <w:numFmt w:val="bullet"/>
      <w:lvlText w:val="○"/>
      <w:lvlJc w:val="left"/>
      <w:pPr>
        <w:ind w:left="3600" w:hanging="360"/>
      </w:pPr>
    </w:lvl>
    <w:lvl w:ilvl="5" w:tplc="F5182AA2">
      <w:start w:val="1"/>
      <w:numFmt w:val="bullet"/>
      <w:lvlText w:val="■"/>
      <w:lvlJc w:val="left"/>
      <w:pPr>
        <w:ind w:left="4320" w:hanging="360"/>
      </w:pPr>
    </w:lvl>
    <w:lvl w:ilvl="6" w:tplc="D36EB3CE">
      <w:start w:val="1"/>
      <w:numFmt w:val="bullet"/>
      <w:lvlText w:val="●"/>
      <w:lvlJc w:val="left"/>
      <w:pPr>
        <w:ind w:left="5040" w:hanging="360"/>
      </w:pPr>
    </w:lvl>
    <w:lvl w:ilvl="7" w:tplc="7AE40C66">
      <w:start w:val="1"/>
      <w:numFmt w:val="bullet"/>
      <w:lvlText w:val="●"/>
      <w:lvlJc w:val="left"/>
      <w:pPr>
        <w:ind w:left="5760" w:hanging="360"/>
      </w:pPr>
    </w:lvl>
    <w:lvl w:ilvl="8" w:tplc="E3106FDC">
      <w:start w:val="1"/>
      <w:numFmt w:val="bullet"/>
      <w:lvlText w:val="●"/>
      <w:lvlJc w:val="left"/>
      <w:pPr>
        <w:ind w:left="6480" w:hanging="360"/>
      </w:pPr>
    </w:lvl>
  </w:abstractNum>
  <w:abstractNum w:abstractNumId="4">
    <w:nsid w:val="343A4411"/>
    <w:multiLevelType w:val="hybridMultilevel"/>
    <w:tmpl w:val="6D745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4F31EDD"/>
    <w:multiLevelType w:val="hybridMultilevel"/>
    <w:tmpl w:val="30EA1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1F64D9E"/>
    <w:multiLevelType w:val="hybridMultilevel"/>
    <w:tmpl w:val="5E7C5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E9571EC"/>
    <w:multiLevelType w:val="hybridMultilevel"/>
    <w:tmpl w:val="BB207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73802E2"/>
    <w:multiLevelType w:val="hybridMultilevel"/>
    <w:tmpl w:val="D3D2C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lvlOverride w:ilvl="0">
      <w:startOverride w:val="1"/>
    </w:lvlOverride>
  </w:num>
  <w:num w:numId="2">
    <w:abstractNumId w:val="8"/>
  </w:num>
  <w:num w:numId="3">
    <w:abstractNumId w:val="7"/>
  </w:num>
  <w:num w:numId="4">
    <w:abstractNumId w:val="4"/>
  </w:num>
  <w:num w:numId="5">
    <w:abstractNumId w:val="6"/>
  </w:num>
  <w:num w:numId="6">
    <w:abstractNumId w:val="2"/>
  </w:num>
  <w:num w:numId="7">
    <w:abstractNumId w:val="0"/>
  </w:num>
  <w:num w:numId="8">
    <w:abstractNumId w:val="5"/>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drawingGridHorizontalSpacing w:val="100"/>
  <w:displayHorizontalDrawingGridEvery w:val="2"/>
  <w:characterSpacingControl w:val="doNotCompress"/>
  <w:compat/>
  <w:rsids>
    <w:rsidRoot w:val="00C27071"/>
    <w:rsid w:val="001A1829"/>
    <w:rsid w:val="002339C8"/>
    <w:rsid w:val="00260890"/>
    <w:rsid w:val="003E3D1A"/>
    <w:rsid w:val="00447499"/>
    <w:rsid w:val="004E15E4"/>
    <w:rsid w:val="00556271"/>
    <w:rsid w:val="007C4106"/>
    <w:rsid w:val="008F228E"/>
    <w:rsid w:val="00982379"/>
    <w:rsid w:val="009A0EC9"/>
    <w:rsid w:val="00C27071"/>
    <w:rsid w:val="00D76C12"/>
    <w:rsid w:val="00F33B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2379"/>
  </w:style>
  <w:style w:type="paragraph" w:styleId="Heading1">
    <w:name w:val="heading 1"/>
    <w:qFormat/>
    <w:rsid w:val="00C27071"/>
    <w:pPr>
      <w:outlineLvl w:val="0"/>
    </w:pPr>
    <w:rPr>
      <w:color w:val="2E74B5"/>
      <w:sz w:val="32"/>
      <w:szCs w:val="32"/>
    </w:rPr>
  </w:style>
  <w:style w:type="paragraph" w:styleId="Heading2">
    <w:name w:val="heading 2"/>
    <w:qFormat/>
    <w:rsid w:val="00C27071"/>
    <w:pPr>
      <w:outlineLvl w:val="1"/>
    </w:pPr>
    <w:rPr>
      <w:color w:val="2E74B5"/>
      <w:sz w:val="26"/>
      <w:szCs w:val="26"/>
    </w:rPr>
  </w:style>
  <w:style w:type="paragraph" w:styleId="Heading3">
    <w:name w:val="heading 3"/>
    <w:qFormat/>
    <w:rsid w:val="00C27071"/>
    <w:pPr>
      <w:outlineLvl w:val="2"/>
    </w:pPr>
    <w:rPr>
      <w:color w:val="1F4D78"/>
      <w:sz w:val="24"/>
      <w:szCs w:val="24"/>
    </w:rPr>
  </w:style>
  <w:style w:type="paragraph" w:styleId="Heading4">
    <w:name w:val="heading 4"/>
    <w:qFormat/>
    <w:rsid w:val="00C27071"/>
    <w:pPr>
      <w:outlineLvl w:val="3"/>
    </w:pPr>
    <w:rPr>
      <w:i/>
      <w:iCs/>
      <w:color w:val="2E74B5"/>
    </w:rPr>
  </w:style>
  <w:style w:type="paragraph" w:styleId="Heading5">
    <w:name w:val="heading 5"/>
    <w:qFormat/>
    <w:rsid w:val="00C27071"/>
    <w:pPr>
      <w:outlineLvl w:val="4"/>
    </w:pPr>
    <w:rPr>
      <w:color w:val="2E74B5"/>
    </w:rPr>
  </w:style>
  <w:style w:type="paragraph" w:styleId="Heading6">
    <w:name w:val="heading 6"/>
    <w:qFormat/>
    <w:rsid w:val="00C27071"/>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C27071"/>
    <w:rPr>
      <w:sz w:val="56"/>
      <w:szCs w:val="56"/>
    </w:rPr>
  </w:style>
  <w:style w:type="paragraph" w:customStyle="1" w:styleId="Strong1">
    <w:name w:val="Strong1"/>
    <w:qFormat/>
    <w:rsid w:val="00C27071"/>
    <w:rPr>
      <w:b/>
      <w:bCs/>
    </w:rPr>
  </w:style>
  <w:style w:type="paragraph" w:styleId="ListParagraph">
    <w:name w:val="List Paragraph"/>
    <w:qFormat/>
    <w:rsid w:val="00C27071"/>
  </w:style>
  <w:style w:type="character" w:styleId="Hyperlink">
    <w:name w:val="Hyperlink"/>
    <w:uiPriority w:val="99"/>
    <w:unhideWhenUsed/>
    <w:rsid w:val="00C27071"/>
    <w:rPr>
      <w:color w:val="0563C1"/>
      <w:u w:val="single"/>
    </w:rPr>
  </w:style>
  <w:style w:type="character" w:styleId="FootnoteReference">
    <w:name w:val="footnote reference"/>
    <w:uiPriority w:val="99"/>
    <w:semiHidden/>
    <w:unhideWhenUsed/>
    <w:rsid w:val="00C27071"/>
    <w:rPr>
      <w:vertAlign w:val="superscript"/>
    </w:rPr>
  </w:style>
  <w:style w:type="paragraph" w:styleId="FootnoteText">
    <w:name w:val="footnote text"/>
    <w:link w:val="FootnoteTextChar"/>
    <w:uiPriority w:val="99"/>
    <w:semiHidden/>
    <w:unhideWhenUsed/>
    <w:rsid w:val="00C27071"/>
  </w:style>
  <w:style w:type="character" w:customStyle="1" w:styleId="FootnoteTextChar">
    <w:name w:val="Footnote Text Char"/>
    <w:link w:val="FootnoteText"/>
    <w:uiPriority w:val="99"/>
    <w:semiHidden/>
    <w:unhideWhenUsed/>
    <w:rsid w:val="00C27071"/>
    <w:rPr>
      <w:sz w:val="20"/>
      <w:szCs w:val="20"/>
    </w:rPr>
  </w:style>
  <w:style w:type="character" w:styleId="EndnoteReference">
    <w:name w:val="endnote reference"/>
    <w:uiPriority w:val="99"/>
    <w:semiHidden/>
    <w:unhideWhenUsed/>
    <w:rsid w:val="00C27071"/>
    <w:rPr>
      <w:vertAlign w:val="superscript"/>
    </w:rPr>
  </w:style>
  <w:style w:type="paragraph" w:styleId="EndnoteText">
    <w:name w:val="endnote text"/>
    <w:link w:val="EndnoteTextChar"/>
    <w:uiPriority w:val="99"/>
    <w:semiHidden/>
    <w:unhideWhenUsed/>
    <w:rsid w:val="00C27071"/>
  </w:style>
  <w:style w:type="character" w:customStyle="1" w:styleId="EndnoteTextChar">
    <w:name w:val="Endnote Text Char"/>
    <w:link w:val="EndnoteText"/>
    <w:uiPriority w:val="99"/>
    <w:semiHidden/>
    <w:unhideWhenUsed/>
    <w:rsid w:val="00C27071"/>
    <w:rPr>
      <w:sz w:val="20"/>
      <w:szCs w:val="20"/>
    </w:rPr>
  </w:style>
  <w:style w:type="paragraph" w:customStyle="1" w:styleId="Author">
    <w:name w:val="Author"/>
    <w:rsid w:val="007C4106"/>
    <w:pPr>
      <w:spacing w:before="360" w:after="40"/>
      <w:jc w:val="center"/>
    </w:pPr>
    <w:rPr>
      <w:rFonts w:eastAsia="SimSun"/>
      <w:sz w:val="22"/>
      <w:szCs w:val="22"/>
    </w:rPr>
  </w:style>
  <w:style w:type="paragraph" w:styleId="NormalWeb">
    <w:name w:val="Normal (Web)"/>
    <w:basedOn w:val="Normal"/>
    <w:uiPriority w:val="99"/>
    <w:unhideWhenUsed/>
    <w:qFormat/>
    <w:rsid w:val="009A0EC9"/>
    <w:pPr>
      <w:spacing w:before="100" w:beforeAutospacing="1" w:after="100" w:afterAutospacing="1"/>
    </w:pPr>
    <w:rPr>
      <w:sz w:val="24"/>
      <w:szCs w:val="24"/>
    </w:rPr>
  </w:style>
  <w:style w:type="paragraph" w:customStyle="1" w:styleId="isselectedend">
    <w:name w:val="isselectedend"/>
    <w:basedOn w:val="Normal"/>
    <w:rsid w:val="00447499"/>
    <w:pPr>
      <w:spacing w:before="100" w:beforeAutospacing="1" w:after="100" w:afterAutospacing="1"/>
    </w:pPr>
    <w:rPr>
      <w:sz w:val="24"/>
      <w:szCs w:val="24"/>
    </w:rPr>
  </w:style>
  <w:style w:type="character" w:styleId="Strong">
    <w:name w:val="Strong"/>
    <w:basedOn w:val="DefaultParagraphFont"/>
    <w:uiPriority w:val="22"/>
    <w:qFormat/>
    <w:rsid w:val="00447499"/>
    <w:rPr>
      <w:b/>
      <w:bCs/>
    </w:rPr>
  </w:style>
  <w:style w:type="character" w:styleId="HTMLCode">
    <w:name w:val="HTML Code"/>
    <w:basedOn w:val="DefaultParagraphFont"/>
    <w:uiPriority w:val="99"/>
    <w:semiHidden/>
    <w:unhideWhenUsed/>
    <w:rsid w:val="00447499"/>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22083170">
      <w:bodyDiv w:val="1"/>
      <w:marLeft w:val="0"/>
      <w:marRight w:val="0"/>
      <w:marTop w:val="0"/>
      <w:marBottom w:val="0"/>
      <w:divBdr>
        <w:top w:val="none" w:sz="0" w:space="0" w:color="auto"/>
        <w:left w:val="none" w:sz="0" w:space="0" w:color="auto"/>
        <w:bottom w:val="none" w:sz="0" w:space="0" w:color="auto"/>
        <w:right w:val="none" w:sz="0" w:space="0" w:color="auto"/>
      </w:divBdr>
    </w:div>
    <w:div w:id="783888523">
      <w:bodyDiv w:val="1"/>
      <w:marLeft w:val="0"/>
      <w:marRight w:val="0"/>
      <w:marTop w:val="0"/>
      <w:marBottom w:val="0"/>
      <w:divBdr>
        <w:top w:val="none" w:sz="0" w:space="0" w:color="auto"/>
        <w:left w:val="none" w:sz="0" w:space="0" w:color="auto"/>
        <w:bottom w:val="none" w:sz="0" w:space="0" w:color="auto"/>
        <w:right w:val="none" w:sz="0" w:space="0" w:color="auto"/>
      </w:divBdr>
    </w:div>
    <w:div w:id="1498378051">
      <w:bodyDiv w:val="1"/>
      <w:marLeft w:val="0"/>
      <w:marRight w:val="0"/>
      <w:marTop w:val="0"/>
      <w:marBottom w:val="0"/>
      <w:divBdr>
        <w:top w:val="none" w:sz="0" w:space="0" w:color="auto"/>
        <w:left w:val="none" w:sz="0" w:space="0" w:color="auto"/>
        <w:bottom w:val="none" w:sz="0" w:space="0" w:color="auto"/>
        <w:right w:val="none" w:sz="0" w:space="0" w:color="auto"/>
      </w:divBdr>
    </w:div>
    <w:div w:id="1517039005">
      <w:bodyDiv w:val="1"/>
      <w:marLeft w:val="0"/>
      <w:marRight w:val="0"/>
      <w:marTop w:val="0"/>
      <w:marBottom w:val="0"/>
      <w:divBdr>
        <w:top w:val="none" w:sz="0" w:space="0" w:color="auto"/>
        <w:left w:val="none" w:sz="0" w:space="0" w:color="auto"/>
        <w:bottom w:val="none" w:sz="0" w:space="0" w:color="auto"/>
        <w:right w:val="none" w:sz="0" w:space="0" w:color="auto"/>
      </w:divBdr>
    </w:div>
    <w:div w:id="1760711184">
      <w:bodyDiv w:val="1"/>
      <w:marLeft w:val="0"/>
      <w:marRight w:val="0"/>
      <w:marTop w:val="0"/>
      <w:marBottom w:val="0"/>
      <w:divBdr>
        <w:top w:val="none" w:sz="0" w:space="0" w:color="auto"/>
        <w:left w:val="none" w:sz="0" w:space="0" w:color="auto"/>
        <w:bottom w:val="none" w:sz="0" w:space="0" w:color="auto"/>
        <w:right w:val="none" w:sz="0" w:space="0" w:color="auto"/>
      </w:divBdr>
    </w:div>
    <w:div w:id="18185669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haarupavadaarini@gmail.com" TargetMode="External"/><Relationship Id="rId3" Type="http://schemas.openxmlformats.org/officeDocument/2006/relationships/settings" Target="settings.xml"/><Relationship Id="rId7" Type="http://schemas.openxmlformats.org/officeDocument/2006/relationships/hyperlink" Target="mailto:kennetsheel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ghinimohan30@gmail.com" TargetMode="External"/><Relationship Id="rId11" Type="http://schemas.openxmlformats.org/officeDocument/2006/relationships/theme" Target="theme/theme1.xml"/><Relationship Id="rId5" Type="http://schemas.openxmlformats.org/officeDocument/2006/relationships/hyperlink" Target="mailto:ssk@vcet.ac.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eyasrisivaananth@gmail.com" TargetMode="Externa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2373</Words>
  <Characters>13531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91999</cp:lastModifiedBy>
  <cp:revision>2</cp:revision>
  <dcterms:created xsi:type="dcterms:W3CDTF">2026-09-16T14:25:00Z</dcterms:created>
  <dcterms:modified xsi:type="dcterms:W3CDTF">2026-09-16T14:25:00Z</dcterms:modified>
</cp:coreProperties>
</file>