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1.png" ContentType="image/png"/>
  <Override PartName="/word/media/rId35.png" ContentType="image/png"/>
  <Override PartName="/word/media/rId40.png" ContentType="image/png"/>
  <Override PartName="/word/media/rId45.png" ContentType="image/png"/>
  <Override PartName="/word/media/rId50.png" ContentType="image/png"/>
  <Override PartName="/word/media/rId55.png" ContentType="image/png"/>
  <Override PartName="/word/media/rId13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PB Manager — Project Documentation</w:t>
      </w:r>
    </w:p>
    <w:p>
      <w:pPr>
        <w:pStyle w:val="Author"/>
      </w:pPr>
      <w:r>
        <w:t xml:space="preserve">MB Groups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7" w:name="pb-manager--project-documentation"/>
    <w:p>
      <w:pPr>
        <w:pStyle w:val="Heading1"/>
      </w:pPr>
      <w:r>
        <w:t xml:space="preserve">PB Manager — Project Documentation</w:t>
      </w:r>
    </w:p>
    <w:p>
      <w:pPr>
        <w:pStyle w:val="FirstParagraph"/>
      </w:pPr>
      <w:r>
        <w:rPr>
          <w:b/>
          <w:bCs/>
        </w:rPr>
        <w:t xml:space="preserve">PB Manager</w:t>
      </w:r>
      <w:r>
        <w:t xml:space="preserve"> </w:t>
      </w:r>
      <w:r>
        <w:t xml:space="preserve">(branded</w:t>
      </w:r>
      <w:r>
        <w:t xml:space="preserve"> </w:t>
      </w:r>
      <w:r>
        <w:rPr>
          <w:b/>
          <w:bCs/>
        </w:rPr>
        <w:t xml:space="preserve">MB Groups</w:t>
      </w:r>
      <w:r>
        <w:t xml:space="preserve">) is an internal web application for running a grain/maize</w:t>
      </w:r>
      <w:r>
        <w:t xml:space="preserve"> </w:t>
      </w:r>
      <w:r>
        <w:t xml:space="preserve">trading business. It tracks the full cycle of the business: buying grain from farmers, moving it</w:t>
      </w:r>
      <w:r>
        <w:t xml:space="preserve"> </w:t>
      </w:r>
      <w:r>
        <w:t xml:space="preserve">via transport (bilty), selling it to buyer companies, generating bills and tax-style invoices,</w:t>
      </w:r>
      <w:r>
        <w:t xml:space="preserve"> </w:t>
      </w:r>
      <w:r>
        <w:t xml:space="preserve">recording expenses, and managing gunny-bag (jute sack) purchases — all with payment tracking and</w:t>
      </w:r>
      <w:r>
        <w:t xml:space="preserve"> </w:t>
      </w:r>
      <w:r>
        <w:t xml:space="preserve">Excel import/export.</w:t>
      </w:r>
    </w:p>
    <w:p>
      <w:pPr>
        <w:pStyle w:val="BodyText"/>
      </w:pPr>
      <w:r>
        <w:t xml:space="preserve">This document is the</w:t>
      </w:r>
      <w:r>
        <w:t xml:space="preserve"> </w:t>
      </w:r>
      <w:r>
        <w:rPr>
          <w:b/>
          <w:bCs/>
        </w:rPr>
        <w:t xml:space="preserve">single, complete reference</w:t>
      </w:r>
      <w:r>
        <w:t xml:space="preserve"> </w:t>
      </w:r>
      <w:r>
        <w:t xml:space="preserve">for the project: what it does, how it's built,</w:t>
      </w:r>
      <w:r>
        <w:t xml:space="preserve"> </w:t>
      </w:r>
      <w:r>
        <w:t xml:space="preserve">the data model, the main flows, and how to run and extend it. Every diagram is a rendered image so</w:t>
      </w:r>
      <w:r>
        <w:t xml:space="preserve"> </w:t>
      </w:r>
      <w:r>
        <w:t xml:space="preserve">it displays in any viewer. A more focused architecture-only doc lives at</w:t>
      </w:r>
      <w:r>
        <w:t xml:space="preserve"> </w:t>
      </w:r>
      <w:hyperlink r:id="rId9">
        <w:r>
          <w:rPr>
            <w:rStyle w:val="VerbatimChar"/>
          </w:rPr>
          <w:t xml:space="preserve">ARCHITECTURE.md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76f836956fcb67fb6f8afa13fa7df8cce6ce77c">
        <w:r>
          <w:rPr>
            <w:rStyle w:val="Hyperlink"/>
          </w:rPr>
          <w:t xml:space="preserve">What the system does</w:t>
        </w:r>
      </w:hyperlink>
    </w:p>
    <w:p>
      <w:pPr>
        <w:pStyle w:val="Compact"/>
        <w:numPr>
          <w:ilvl w:val="0"/>
          <w:numId w:val="1001"/>
        </w:numPr>
      </w:pPr>
      <w:hyperlink w:anchor="X5a63f3b7a2a5bd81698d652360fe2ed7f81087f">
        <w:r>
          <w:rPr>
            <w:rStyle w:val="Hyperlink"/>
          </w:rPr>
          <w:t xml:space="preserve">Technology stack</w:t>
        </w:r>
      </w:hyperlink>
    </w:p>
    <w:p>
      <w:pPr>
        <w:pStyle w:val="Compact"/>
        <w:numPr>
          <w:ilvl w:val="0"/>
          <w:numId w:val="1001"/>
        </w:numPr>
      </w:pPr>
      <w:hyperlink w:anchor="X4d8f4a9dec6d3203cf383cf542bec27c6f393bb">
        <w:r>
          <w:rPr>
            <w:rStyle w:val="Hyperlink"/>
          </w:rPr>
          <w:t xml:space="preserve">Module map</w:t>
        </w:r>
      </w:hyperlink>
    </w:p>
    <w:p>
      <w:pPr>
        <w:pStyle w:val="Compact"/>
        <w:numPr>
          <w:ilvl w:val="0"/>
          <w:numId w:val="1001"/>
        </w:numPr>
      </w:pPr>
      <w:hyperlink w:anchor="X82dd84f2a56ec011a14806acbd8e417588b38e5">
        <w:r>
          <w:rPr>
            <w:rStyle w:val="Hyperlink"/>
          </w:rPr>
          <w:t xml:space="preserve">Modules in detail</w:t>
        </w:r>
      </w:hyperlink>
    </w:p>
    <w:p>
      <w:pPr>
        <w:pStyle w:val="Compact"/>
        <w:numPr>
          <w:ilvl w:val="0"/>
          <w:numId w:val="1001"/>
        </w:numPr>
      </w:pPr>
      <w:hyperlink w:anchor="X7aa13caf2f80039f508c1253acaced3732b2496">
        <w:r>
          <w:rPr>
            <w:rStyle w:val="Hyperlink"/>
          </w:rPr>
          <w:t xml:space="preserve">System architecture</w:t>
        </w:r>
      </w:hyperlink>
    </w:p>
    <w:p>
      <w:pPr>
        <w:pStyle w:val="Compact"/>
        <w:numPr>
          <w:ilvl w:val="0"/>
          <w:numId w:val="1001"/>
        </w:numPr>
      </w:pPr>
      <w:hyperlink w:anchor="X3658c9bbcf713940edb982cae8101acb11a9365">
        <w:r>
          <w:rPr>
            <w:rStyle w:val="Hyperlink"/>
          </w:rPr>
          <w:t xml:space="preserve">Feature-slice layering</w:t>
        </w:r>
      </w:hyperlink>
    </w:p>
    <w:p>
      <w:pPr>
        <w:pStyle w:val="Compact"/>
        <w:numPr>
          <w:ilvl w:val="0"/>
          <w:numId w:val="1001"/>
        </w:numPr>
      </w:pPr>
      <w:hyperlink w:anchor="Xcc62fc63d4f5f57acbde3b9c7bb5976ef479934">
        <w:r>
          <w:rPr>
            <w:rStyle w:val="Hyperlink"/>
          </w:rPr>
          <w:t xml:space="preserve">Request lifecycle</w:t>
        </w:r>
      </w:hyperlink>
    </w:p>
    <w:p>
      <w:pPr>
        <w:pStyle w:val="Compact"/>
        <w:numPr>
          <w:ilvl w:val="0"/>
          <w:numId w:val="1001"/>
        </w:numPr>
      </w:pPr>
      <w:hyperlink w:anchor="X464f801d100671720e26708ec838a0d69bbc9ad">
        <w:r>
          <w:rPr>
            <w:rStyle w:val="Hyperlink"/>
          </w:rPr>
          <w:t xml:space="preserve">Authentication &amp; authorization</w:t>
        </w:r>
      </w:hyperlink>
    </w:p>
    <w:p>
      <w:pPr>
        <w:pStyle w:val="Compact"/>
        <w:numPr>
          <w:ilvl w:val="0"/>
          <w:numId w:val="1001"/>
        </w:numPr>
      </w:pPr>
      <w:hyperlink w:anchor="X856b06df4050cbb5c220312c77defcd55860044">
        <w:r>
          <w:rPr>
            <w:rStyle w:val="Hyperlink"/>
          </w:rPr>
          <w:t xml:space="preserve">Route map</w:t>
        </w:r>
      </w:hyperlink>
    </w:p>
    <w:p>
      <w:pPr>
        <w:pStyle w:val="Compact"/>
        <w:numPr>
          <w:ilvl w:val="0"/>
          <w:numId w:val="1001"/>
        </w:numPr>
      </w:pPr>
      <w:hyperlink w:anchor="Xff68809605d7b3874346f38a884a0efc5cf415d">
        <w:r>
          <w:rPr>
            <w:rStyle w:val="Hyperlink"/>
          </w:rPr>
          <w:t xml:space="preserve">Data model (ERD)</w:t>
        </w:r>
      </w:hyperlink>
    </w:p>
    <w:p>
      <w:pPr>
        <w:pStyle w:val="Compact"/>
        <w:numPr>
          <w:ilvl w:val="0"/>
          <w:numId w:val="1001"/>
        </w:numPr>
      </w:pPr>
      <w:hyperlink w:anchor="X22253005a9666d631227103de8940b8a1c3b4b8">
        <w:r>
          <w:rPr>
            <w:rStyle w:val="Hyperlink"/>
          </w:rPr>
          <w:t xml:space="preserve">Key domain flows</w:t>
        </w:r>
      </w:hyperlink>
    </w:p>
    <w:p>
      <w:pPr>
        <w:pStyle w:val="Compact"/>
        <w:numPr>
          <w:ilvl w:val="0"/>
          <w:numId w:val="1001"/>
        </w:numPr>
      </w:pPr>
      <w:hyperlink w:anchor="X7930a1d1c988809ebc0e579f0d7d8c6bc9af60a">
        <w:r>
          <w:rPr>
            <w:rStyle w:val="Hyperlink"/>
          </w:rPr>
          <w:t xml:space="preserve">Dashboard &amp; financial-year logic</w:t>
        </w:r>
      </w:hyperlink>
    </w:p>
    <w:p>
      <w:pPr>
        <w:pStyle w:val="Compact"/>
        <w:numPr>
          <w:ilvl w:val="0"/>
          <w:numId w:val="1001"/>
        </w:numPr>
      </w:pPr>
      <w:hyperlink w:anchor="X7fca0624b0f3ce3af4c1f7efb05ffa4b41ad704">
        <w:r>
          <w:rPr>
            <w:rStyle w:val="Hyperlink"/>
          </w:rPr>
          <w:t xml:space="preserve">Setup &amp; running</w:t>
        </w:r>
      </w:hyperlink>
    </w:p>
    <w:p>
      <w:pPr>
        <w:pStyle w:val="Compact"/>
        <w:numPr>
          <w:ilvl w:val="0"/>
          <w:numId w:val="1001"/>
        </w:numPr>
      </w:pPr>
      <w:hyperlink w:anchor="Xea07f4a6a083be78c7a75ba875d5b83266de7b2">
        <w:r>
          <w:rPr>
            <w:rStyle w:val="Hyperlink"/>
          </w:rPr>
          <w:t xml:space="preserve">Testing &amp; quality</w:t>
        </w:r>
      </w:hyperlink>
    </w:p>
    <w:p>
      <w:pPr>
        <w:pStyle w:val="Compact"/>
        <w:numPr>
          <w:ilvl w:val="0"/>
          <w:numId w:val="1001"/>
        </w:numPr>
      </w:pPr>
      <w:hyperlink w:anchor="X9463e17b87bef3230d48fbb6476b8450b4768e7">
        <w:r>
          <w:rPr>
            <w:rStyle w:val="Hyperlink"/>
          </w:rPr>
          <w:t xml:space="preserve">Known limitations / hardening backlog</w:t>
        </w:r>
      </w:hyperlink>
    </w:p>
    <w:p>
      <w:pPr>
        <w:pStyle w:val="Compact"/>
        <w:numPr>
          <w:ilvl w:val="0"/>
          <w:numId w:val="1001"/>
        </w:numPr>
      </w:pPr>
      <w:hyperlink w:anchor="Xe59125275499ebfb6c1ac76304ddfba6bf0ee59">
        <w:r>
          <w:rPr>
            <w:rStyle w:val="Hyperlink"/>
          </w:rPr>
          <w:t xml:space="preserve">Glossary</w:t>
        </w:r>
      </w:hyperlink>
    </w:p>
    <w:p>
      <w:pPr>
        <w:pStyle w:val="Compact"/>
        <w:numPr>
          <w:ilvl w:val="0"/>
          <w:numId w:val="1001"/>
        </w:numPr>
      </w:pPr>
      <w:hyperlink w:anchor="X3efb68cb701d22e57075fd9556d7f713693632b">
        <w:r>
          <w:rPr>
            <w:rStyle w:val="Hyperlink"/>
          </w:rPr>
          <w:t xml:space="preserve">Regenerating the diagrams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X76f836956fcb67fb6f8afa13fa7df8cce6ce77c"/>
    <w:p>
      <w:pPr>
        <w:pStyle w:val="Heading2"/>
      </w:pPr>
      <w:r>
        <w:t xml:space="preserve">1. What the system does</w:t>
      </w:r>
    </w:p>
    <w:p>
      <w:pPr>
        <w:pStyle w:val="FirstParagraph"/>
      </w:pPr>
      <w:r>
        <w:t xml:space="preserve">The business buys grain, transports it, and resells it. PB Manager digitizes that pipeline: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Purchases</w:t>
      </w:r>
      <w:r>
        <w:t xml:space="preserve"> </w:t>
      </w:r>
      <w:r>
        <w:t xml:space="preserve">— record grain bought from farmers/suppliers (weight, rate, deductions, payment).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Bilty</w:t>
      </w:r>
      <w:r>
        <w:t xml:space="preserve"> </w:t>
      </w:r>
      <w:r>
        <w:t xml:space="preserve">— record transport consignments (similar shape to purchases, tied to a transport</w:t>
      </w:r>
      <w:r>
        <w:t xml:space="preserve"> </w:t>
      </w:r>
      <w:r>
        <w:rPr>
          <w:i/>
          <w:iCs/>
        </w:rPr>
        <w:t xml:space="preserve">party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Sales</w:t>
      </w:r>
      <w:r>
        <w:t xml:space="preserve"> </w:t>
      </w:r>
      <w:r>
        <w:t xml:space="preserve">— record grain sold to buyer companies, with pending-amount tracking.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Bills</w:t>
      </w:r>
      <w:r>
        <w:t xml:space="preserve"> </w:t>
      </w:r>
      <w:r>
        <w:t xml:space="preserve">— generate a bill from a purchase or bilty (idempotent, one source → one bill).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Sales invoices</w:t>
      </w:r>
      <w:r>
        <w:t xml:space="preserve"> </w:t>
      </w:r>
      <w:r>
        <w:t xml:space="preserve">— generate numbered, company-branded invoices from one or more sales, with a</w:t>
      </w:r>
      <w:r>
        <w:t xml:space="preserve"> </w:t>
      </w:r>
      <w:r>
        <w:t xml:space="preserve">frozen snapshot for stable printing.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Companies</w:t>
      </w:r>
      <w:r>
        <w:t xml:space="preserve"> </w:t>
      </w:r>
      <w:r>
        <w:t xml:space="preserve">— manage issuer (own) and buyer company profiles, including bank/GST details.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Gunny bags</w:t>
      </w:r>
      <w:r>
        <w:t xml:space="preserve"> </w:t>
      </w:r>
      <w:r>
        <w:t xml:space="preserve">— track jute-sack purchases from sellers and the payments against them.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Expenses</w:t>
      </w:r>
      <w:r>
        <w:t xml:space="preserve"> </w:t>
      </w:r>
      <w:r>
        <w:t xml:space="preserve">— record operating costs by category (salary, vehicle, hamali, other).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Dashboard</w:t>
      </w:r>
      <w:r>
        <w:t xml:space="preserve"> </w:t>
      </w:r>
      <w:r>
        <w:t xml:space="preserve">— KPIs and trends, scoped to the current Indian financial year.</w:t>
      </w:r>
    </w:p>
    <w:p>
      <w:r>
        <w:pict>
          <v:rect style="width:0;height:1.5pt" o:hralign="center" o:hrstd="t" o:hr="t"/>
        </w:pict>
      </w:r>
    </w:p>
    <w:bookmarkEnd w:id="11"/>
    <w:bookmarkStart w:id="12" w:name="X5a63f3b7a2a5bd81698d652360fe2ed7f81087f"/>
    <w:p>
      <w:pPr>
        <w:pStyle w:val="Heading2"/>
      </w:pPr>
      <w:r>
        <w:t xml:space="preserve">2. 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Next.js 16</w:t>
            </w:r>
            <w:r>
              <w:t xml:space="preserve"> </w:t>
            </w:r>
            <w:r>
              <w:t xml:space="preserve">(App Router)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runtime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 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 (Postgres)</w:t>
            </w:r>
            <w:r>
              <w:t xml:space="preserve"> </w:t>
            </w:r>
            <w:r>
              <w:t xml:space="preserve">— accessed server-side with the service-role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Zod</w:t>
            </w:r>
            <w:r>
              <w:t xml:space="preserve"> </w:t>
            </w:r>
            <w:r>
              <w:t xml:space="preserve">(schemas are the source of truth for types)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Forms</w:t>
            </w:r>
          </w:p>
        </w:tc>
        <w:tc>
          <w:tcPr/>
          <w:p>
            <w:pPr>
              <w:pStyle w:val="Compact"/>
            </w:pPr>
            <w:r>
              <w:t xml:space="preserve">React Hook Form +</w:t>
            </w:r>
            <w:r>
              <w:t xml:space="preserve"> </w:t>
            </w:r>
            <w:r>
              <w:rPr>
                <w:rStyle w:val="VerbatimChar"/>
              </w:rPr>
              <w:t xml:space="preserve">@hookform/resolvers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kit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shadcn-ui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Tailwind CSS v4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@tanstack/react-table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jose</w:t>
            </w:r>
            <w:r>
              <w:t xml:space="preserve"> </w:t>
            </w:r>
            <w:r>
              <w:t xml:space="preserve">(JWT) +</w:t>
            </w:r>
            <w:r>
              <w:t xml:space="preserve"> </w:t>
            </w:r>
            <w:r>
              <w:rPr>
                <w:b/>
                <w:bCs/>
              </w:rPr>
              <w:t xml:space="preserve">bcryptjs</w:t>
            </w:r>
            <w:r>
              <w:t xml:space="preserve"> </w:t>
            </w:r>
            <w:r>
              <w:t xml:space="preserve">(password hashing)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xlsx</w:t>
            </w:r>
            <w:r>
              <w:t xml:space="preserve"> </w:t>
            </w:r>
            <w:r>
              <w:t xml:space="preserve">(SheetJS) for import/export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date-fns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Vitest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6" w:name="X4d8f4a9dec6d3203cf383cf542bec27c6f393bb"/>
    <w:p>
      <w:pPr>
        <w:pStyle w:val="Heading2"/>
      </w:pPr>
      <w:r>
        <w:t xml:space="preserve">3. Module map</w:t>
      </w:r>
    </w:p>
    <w:p>
      <w:pPr>
        <w:pStyle w:val="FirstParagraph"/>
      </w:pPr>
      <w:r>
        <w:t xml:space="preserve">How the business modules relate. Core data-entry modules feed billing/invoicing and the dashboard;</w:t>
      </w:r>
      <w:r>
        <w:t xml:space="preserve"> </w:t>
      </w:r>
      <w:r>
        <w:t xml:space="preserve">auth guards everything; Excel seeds and reports on the data.</w:t>
      </w:r>
    </w:p>
    <w:p>
      <w:pPr>
        <w:pStyle w:val="BodyText"/>
      </w:pPr>
      <w:r>
        <w:drawing>
          <wp:inline>
            <wp:extent cx="5334000" cy="1700892"/>
            <wp:effectExtent b="0" l="0" r="0" t="0"/>
            <wp:docPr descr="Module map" title="" id="14" name="Picture"/>
            <a:graphic>
              <a:graphicData uri="http://schemas.openxmlformats.org/drawingml/2006/picture">
                <pic:pic>
                  <pic:nvPicPr>
                    <pic:cNvPr descr="diagrams/png/08-module-map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0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6"/>
    <w:bookmarkStart w:id="26" w:name="X82dd84f2a56ec011a14806acbd8e417588b38e5"/>
    <w:p>
      <w:pPr>
        <w:pStyle w:val="Heading2"/>
      </w:pPr>
      <w:r>
        <w:t xml:space="preserve">4. Modules in detail</w:t>
      </w:r>
    </w:p>
    <w:p>
      <w:pPr>
        <w:pStyle w:val="FirstParagraph"/>
      </w:pPr>
      <w:r>
        <w:t xml:space="preserve">Each module is a self-contained slice under</w:t>
      </w:r>
      <w:r>
        <w:t xml:space="preserve"> </w:t>
      </w:r>
      <w:r>
        <w:rPr>
          <w:rStyle w:val="VerbatimChar"/>
        </w:rPr>
        <w:t xml:space="preserve">src/features/&lt;domain&gt;/</w:t>
      </w:r>
      <w:r>
        <w:t xml:space="preserve"> </w:t>
      </w:r>
      <w:r>
        <w:t xml:space="preserve">with matching routes under</w:t>
      </w:r>
      <w:r>
        <w:t xml:space="preserve"> </w:t>
      </w:r>
      <w:r>
        <w:rPr>
          <w:rStyle w:val="VerbatimChar"/>
        </w:rPr>
        <w:t xml:space="preserve">src/app/&lt;domain&gt;/</w:t>
      </w:r>
      <w:r>
        <w:t xml:space="preserve">.</w:t>
      </w:r>
    </w:p>
    <w:bookmarkStart w:id="17" w:name="purchases-featurespurchases-apppurchases"/>
    <w:p>
      <w:pPr>
        <w:pStyle w:val="Heading3"/>
      </w:pPr>
      <w:r>
        <w:t xml:space="preserve">Purchases (</w:t>
      </w:r>
      <w:r>
        <w:rPr>
          <w:rStyle w:val="VerbatimChar"/>
        </w:rPr>
        <w:t xml:space="preserve">features/purchases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app/purchases</w:t>
      </w:r>
      <w:r>
        <w:t xml:space="preserve">)</w:t>
      </w:r>
    </w:p>
    <w:p>
      <w:pPr>
        <w:pStyle w:val="FirstParagraph"/>
      </w:pPr>
      <w:r>
        <w:t xml:space="preserve">Buying grain. The form captures</w:t>
      </w:r>
      <w:r>
        <w:t xml:space="preserve"> </w:t>
      </w:r>
      <w:r>
        <w:rPr>
          <w:rStyle w:val="VerbatimChar"/>
        </w:rPr>
        <w:t xml:space="preserve">weight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less_percent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</w:t>
      </w:r>
      <w:r>
        <w:t xml:space="preserve">, plus deductions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bag_less</w:t>
      </w:r>
      <w:r>
        <w:t xml:space="preserve">,</w:t>
      </w:r>
      <w:r>
        <w:t xml:space="preserve"> </w:t>
      </w:r>
      <w:r>
        <w:rPr>
          <w:rStyle w:val="VerbatimChar"/>
        </w:rPr>
        <w:t xml:space="preserve">cash_paid</w:t>
      </w:r>
      <w:r>
        <w:t xml:space="preserve">,</w:t>
      </w:r>
      <w:r>
        <w:t xml:space="preserve"> </w:t>
      </w:r>
      <w:r>
        <w:rPr>
          <w:rStyle w:val="VerbatimChar"/>
        </w:rPr>
        <w:t xml:space="preserve">upi_paid</w:t>
      </w:r>
      <w:r>
        <w:t xml:space="preserve">) and additions (</w:t>
      </w:r>
      <w:r>
        <w:rPr>
          <w:rStyle w:val="VerbatimChar"/>
        </w:rPr>
        <w:t xml:space="preserve">add_amount</w:t>
      </w:r>
      <w:r>
        <w:t xml:space="preserve">). Derived values</w:t>
      </w:r>
      <w:r>
        <w:t xml:space="preserve"> </w:t>
      </w:r>
      <w:r>
        <w:t xml:space="preserve">(</w:t>
      </w:r>
      <w:r>
        <w:rPr>
          <w:rStyle w:val="VerbatimChar"/>
        </w:rPr>
        <w:t xml:space="preserve">less_weight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net_weight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bag_avg</w:t>
      </w:r>
      <w:r>
        <w:t xml:space="preserve">) are computed by a pure function and</w:t>
      </w:r>
      <w:r>
        <w:t xml:space="preserve"> </w:t>
      </w:r>
      <w:r>
        <w:t xml:space="preserve">recomputed on every write. Rows imported from the legacy Excel are marked</w:t>
      </w:r>
      <w:r>
        <w:t xml:space="preserve"> </w:t>
      </w:r>
      <w:r>
        <w:rPr>
          <w:rStyle w:val="VerbatimChar"/>
        </w:rPr>
        <w:t xml:space="preserve">source = 'manual'</w:t>
      </w:r>
      <w:r>
        <w:t xml:space="preserve"> </w:t>
      </w:r>
      <w:r>
        <w:t xml:space="preserve">and are</w:t>
      </w:r>
      <w:r>
        <w:t xml:space="preserve"> </w:t>
      </w:r>
      <w:r>
        <w:t xml:space="preserve">protected from edit/delete. Bill numbers are sequenced</w:t>
      </w:r>
      <w:r>
        <w:t xml:space="preserve"> </w:t>
      </w:r>
      <w:r>
        <w:rPr>
          <w:b/>
          <w:bCs/>
        </w:rPr>
        <w:t xml:space="preserve">per financial year</w:t>
      </w:r>
      <w:r>
        <w:t xml:space="preserve">.</w:t>
      </w:r>
    </w:p>
    <w:bookmarkEnd w:id="17"/>
    <w:bookmarkStart w:id="18" w:name="bilty-featuresbilty-appbilty"/>
    <w:p>
      <w:pPr>
        <w:pStyle w:val="Heading3"/>
      </w:pPr>
      <w:r>
        <w:t xml:space="preserve">Bilty (</w:t>
      </w:r>
      <w:r>
        <w:rPr>
          <w:rStyle w:val="VerbatimChar"/>
        </w:rPr>
        <w:t xml:space="preserve">features/bilty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app/bilty</w:t>
      </w:r>
      <w:r>
        <w:t xml:space="preserve">)</w:t>
      </w:r>
    </w:p>
    <w:p>
      <w:pPr>
        <w:pStyle w:val="FirstParagraph"/>
      </w:pPr>
      <w:r>
        <w:t xml:space="preserve">Transport consignments. Same numeric shape as purchases, but tied to a</w:t>
      </w:r>
      <w:r>
        <w:t xml:space="preserve"> </w:t>
      </w:r>
      <w:r>
        <w:rPr>
          <w:b/>
          <w:bCs/>
        </w:rPr>
        <w:t xml:space="preserve">party</w:t>
      </w:r>
      <w:r>
        <w:t xml:space="preserve"> </w:t>
      </w:r>
      <w:r>
        <w:t xml:space="preserve">(transport agent),</w:t>
      </w:r>
      <w:r>
        <w:t xml:space="preserve"> </w:t>
      </w:r>
      <w:r>
        <w:t xml:space="preserve">managed under</w:t>
      </w:r>
      <w:r>
        <w:t xml:space="preserve"> </w:t>
      </w:r>
      <w:r>
        <w:rPr>
          <w:rStyle w:val="VerbatimChar"/>
        </w:rPr>
        <w:t xml:space="preserve">/bilty/parties</w:t>
      </w:r>
      <w:r>
        <w:t xml:space="preserve"> </w:t>
      </w:r>
      <w:r>
        <w:t xml:space="preserve">with their own party-level payment ledger (</w:t>
      </w:r>
      <w:r>
        <w:rPr>
          <w:rStyle w:val="VerbatimChar"/>
        </w:rPr>
        <w:t xml:space="preserve">bilty_party_payments</w:t>
      </w:r>
      <w:r>
        <w:t xml:space="preserve">).</w:t>
      </w:r>
    </w:p>
    <w:bookmarkEnd w:id="18"/>
    <w:bookmarkStart w:id="19" w:name="sales-featuressales-appsales"/>
    <w:p>
      <w:pPr>
        <w:pStyle w:val="Heading3"/>
      </w:pPr>
      <w:r>
        <w:t xml:space="preserve">Sales (</w:t>
      </w:r>
      <w:r>
        <w:rPr>
          <w:rStyle w:val="VerbatimChar"/>
        </w:rPr>
        <w:t xml:space="preserve">features/sales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app/sales</w:t>
      </w:r>
      <w:r>
        <w:t xml:space="preserve">)</w:t>
      </w:r>
    </w:p>
    <w:p>
      <w:pPr>
        <w:pStyle w:val="FirstParagraph"/>
      </w:pPr>
      <w:r>
        <w:t xml:space="preserve">Selling grain to buyer companies. Tracks</w:t>
      </w:r>
      <w:r>
        <w:t xml:space="preserve"> </w:t>
      </w:r>
      <w:r>
        <w:rPr>
          <w:rStyle w:val="VerbatimChar"/>
        </w:rPr>
        <w:t xml:space="preserve">bill_number</w:t>
      </w:r>
      <w:r>
        <w:t xml:space="preserve"> </w:t>
      </w:r>
      <w:r>
        <w:t xml:space="preserve">(unique), dispatch details (truck/tractor,</w:t>
      </w:r>
      <w:r>
        <w:t xml:space="preserve"> </w:t>
      </w:r>
      <w:r>
        <w:t xml:space="preserve">lorry number, destination), amounts, and</w:t>
      </w:r>
      <w:r>
        <w:t xml:space="preserve"> </w:t>
      </w:r>
      <w:r>
        <w:rPr>
          <w:rStyle w:val="VerbatimChar"/>
        </w:rPr>
        <w:t xml:space="preserve">pending_amount</w:t>
      </w:r>
      <w:r>
        <w:t xml:space="preserve">. Sales can be</w:t>
      </w:r>
      <w:r>
        <w:t xml:space="preserve"> </w:t>
      </w:r>
      <w:r>
        <w:rPr>
          <w:b/>
          <w:bCs/>
        </w:rPr>
        <w:t xml:space="preserve">imported from an Excel BILL</w:t>
      </w:r>
      <w:r>
        <w:rPr>
          <w:b/>
          <w:bCs/>
        </w:rPr>
        <w:t xml:space="preserve"> </w:t>
      </w:r>
      <w:r>
        <w:rPr>
          <w:b/>
          <w:bCs/>
        </w:rPr>
        <w:t xml:space="preserve">sheet</w:t>
      </w:r>
      <w:r>
        <w:t xml:space="preserve"> </w:t>
      </w:r>
      <w:r>
        <w:t xml:space="preserve">(admin-only) and are the input to invoice generation.</w:t>
      </w:r>
    </w:p>
    <w:bookmarkEnd w:id="19"/>
    <w:bookmarkStart w:id="20" w:name="bills-featuresbills-appbills"/>
    <w:p>
      <w:pPr>
        <w:pStyle w:val="Heading3"/>
      </w:pPr>
      <w:r>
        <w:t xml:space="preserve">Bills (</w:t>
      </w:r>
      <w:r>
        <w:rPr>
          <w:rStyle w:val="VerbatimChar"/>
        </w:rPr>
        <w:t xml:space="preserve">features/bills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app/bills</w:t>
      </w:r>
      <w:r>
        <w:t xml:space="preserve">)</w:t>
      </w:r>
    </w:p>
    <w:p>
      <w:pPr>
        <w:pStyle w:val="FirstParagraph"/>
      </w:pPr>
      <w:r>
        <w:t xml:space="preserve">A bill is generated from a purchase or bilty with a</w:t>
      </w:r>
      <w:r>
        <w:t xml:space="preserve"> </w:t>
      </w:r>
      <w:r>
        <w:rPr>
          <w:b/>
          <w:bCs/>
        </w:rPr>
        <w:t xml:space="preserve">deterministic id</w:t>
      </w:r>
      <w:r>
        <w:t xml:space="preserve"> </w:t>
      </w:r>
      <w:r>
        <w:t xml:space="preserve">(</w:t>
      </w:r>
      <w:r>
        <w:rPr>
          <w:rStyle w:val="VerbatimChar"/>
        </w:rPr>
        <w:t xml:space="preserve">PUR_BILL_&lt;id&gt;</w:t>
      </w:r>
      <w:r>
        <w:t xml:space="preserve">), making</w:t>
      </w:r>
      <w:r>
        <w:t xml:space="preserve"> </w:t>
      </w:r>
      <w:r>
        <w:t xml:space="preserve">generation idempotent. Stores</w:t>
      </w:r>
      <w:r>
        <w:t xml:space="preserve"> </w:t>
      </w:r>
      <w:r>
        <w:rPr>
          <w:rStyle w:val="VerbatimChar"/>
        </w:rPr>
        <w:t xml:space="preserve">bill_date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net_weight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freight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payment_term_days</w:t>
      </w:r>
      <w:r>
        <w:t xml:space="preserve">, and a</w:t>
      </w:r>
      <w:r>
        <w:t xml:space="preserve"> </w:t>
      </w:r>
      <w:r>
        <w:t xml:space="preserve">computed</w:t>
      </w:r>
      <w:r>
        <w:t xml:space="preserve"> </w:t>
      </w:r>
      <w:r>
        <w:rPr>
          <w:rStyle w:val="VerbatimChar"/>
        </w:rPr>
        <w:t xml:space="preserve">due_date</w:t>
      </w:r>
      <w:r>
        <w:t xml:space="preserve">. Has a printable A4 layout.</w:t>
      </w:r>
    </w:p>
    <w:bookmarkEnd w:id="20"/>
    <w:bookmarkStart w:id="21" w:name="X024467326e72e8b9e38e4fa237e45ad640165c2"/>
    <w:p>
      <w:pPr>
        <w:pStyle w:val="Heading3"/>
      </w:pPr>
      <w:r>
        <w:t xml:space="preserve">Companies &amp; Sales Invoices (</w:t>
      </w:r>
      <w:r>
        <w:rPr>
          <w:rStyle w:val="VerbatimChar"/>
        </w:rPr>
        <w:t xml:space="preserve">features/companies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features/sales</w:t>
      </w:r>
      <w:r>
        <w:t xml:space="preserve"> </w:t>
      </w:r>
      <w:r>
        <w:t xml:space="preserve">invoices)</w:t>
      </w:r>
    </w:p>
    <w:p>
      <w:pPr>
        <w:pStyle w:val="FirstParagraph"/>
      </w:pPr>
      <w:r>
        <w:t xml:space="preserve">Companies are either</w:t>
      </w:r>
      <w:r>
        <w:t xml:space="preserve"> </w:t>
      </w:r>
      <w:r>
        <w:rPr>
          <w:b/>
          <w:bCs/>
        </w:rPr>
        <w:t xml:space="preserve">issuer</w:t>
      </w:r>
      <w:r>
        <w:t xml:space="preserve"> </w:t>
      </w:r>
      <w:r>
        <w:t xml:space="preserve">(your own trading entities, with bank/GST/</w:t>
      </w:r>
      <w:r>
        <w:rPr>
          <w:rStyle w:val="VerbatimChar"/>
        </w:rPr>
        <w:t xml:space="preserve">invoice_prefix</w:t>
      </w:r>
      <w:r>
        <w:t xml:space="preserve">) or</w:t>
      </w:r>
      <w:r>
        <w:t xml:space="preserve"> </w:t>
      </w:r>
      <w:r>
        <w:rPr>
          <w:b/>
          <w:bCs/>
        </w:rPr>
        <w:t xml:space="preserve">buyer</w:t>
      </w:r>
      <w:r>
        <w:t xml:space="preserve">. Sales invoices bundle one or more sales into a numbered document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PREFIX-0001</w:t>
      </w:r>
      <w:r>
        <w:t xml:space="preserve">), using an</w:t>
      </w:r>
      <w:r>
        <w:t xml:space="preserve"> </w:t>
      </w:r>
      <w:r>
        <w:rPr>
          <w:b/>
          <w:bCs/>
        </w:rPr>
        <w:t xml:space="preserve">atomic Postgres counter</w:t>
      </w:r>
      <w:r>
        <w:t xml:space="preserve"> </w:t>
      </w:r>
      <w:r>
        <w:t xml:space="preserve">per issuer, and freeze a</w:t>
      </w:r>
      <w:r>
        <w:t xml:space="preserve"> </w:t>
      </w:r>
      <w:r>
        <w:rPr>
          <w:rStyle w:val="VerbatimChar"/>
        </w:rPr>
        <w:t xml:space="preserve">snapshot_json</w:t>
      </w:r>
      <w:r>
        <w:t xml:space="preserve"> </w:t>
      </w:r>
      <w:r>
        <w:t xml:space="preserve">of all</w:t>
      </w:r>
      <w:r>
        <w:t xml:space="preserve"> </w:t>
      </w:r>
      <w:r>
        <w:t xml:space="preserve">parties and line items so reprints never change. Company payments are recorded and</w:t>
      </w:r>
      <w:r>
        <w:t xml:space="preserve"> </w:t>
      </w:r>
      <w:r>
        <w:rPr>
          <w:b/>
          <w:bCs/>
        </w:rPr>
        <w:t xml:space="preserve">allocated</w:t>
      </w:r>
      <w:r>
        <w:t xml:space="preserve"> </w:t>
      </w:r>
      <w:r>
        <w:t xml:space="preserve">across sales (</w:t>
      </w:r>
      <w:r>
        <w:rPr>
          <w:rStyle w:val="VerbatimChar"/>
        </w:rPr>
        <w:t xml:space="preserve">company_payment_allocations</w:t>
      </w:r>
      <w:r>
        <w:t xml:space="preserve">).</w:t>
      </w:r>
    </w:p>
    <w:bookmarkEnd w:id="21"/>
    <w:bookmarkStart w:id="22" w:name="gunny-bags-featuresgunny-appgunny"/>
    <w:p>
      <w:pPr>
        <w:pStyle w:val="Heading3"/>
      </w:pPr>
      <w:r>
        <w:t xml:space="preserve">Gunny Bags (</w:t>
      </w:r>
      <w:r>
        <w:rPr>
          <w:rStyle w:val="VerbatimChar"/>
        </w:rPr>
        <w:t xml:space="preserve">features/gunny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app/gunny</w:t>
      </w:r>
      <w:r>
        <w:t xml:space="preserve">)</w:t>
      </w:r>
    </w:p>
    <w:p>
      <w:pPr>
        <w:pStyle w:val="FirstParagraph"/>
      </w:pPr>
      <w:r>
        <w:t xml:space="preserve">Jute-sack purchases from</w:t>
      </w:r>
      <w:r>
        <w:t xml:space="preserve"> </w:t>
      </w:r>
      <w:r>
        <w:rPr>
          <w:b/>
          <w:bCs/>
        </w:rPr>
        <w:t xml:space="preserve">sellers</w:t>
      </w:r>
      <w:r>
        <w:t xml:space="preserve">. Each</w:t>
      </w:r>
      <w:r>
        <w:t xml:space="preserve"> </w:t>
      </w:r>
      <w:r>
        <w:rPr>
          <w:rStyle w:val="VerbatimChar"/>
        </w:rPr>
        <w:t xml:space="preserve">gunny_bags</w:t>
      </w:r>
      <w:r>
        <w:t xml:space="preserve"> </w:t>
      </w:r>
      <w:r>
        <w:t xml:space="preserve">row has bags/rate/amount and a</w:t>
      </w:r>
      <w:r>
        <w:t xml:space="preserve"> </w:t>
      </w:r>
      <w:r>
        <w:rPr>
          <w:rStyle w:val="VerbatimChar"/>
        </w:rPr>
        <w:t xml:space="preserve">paid_amount</w:t>
      </w:r>
      <w:r>
        <w:t xml:space="preserve">;</w:t>
      </w:r>
      <w:r>
        <w:t xml:space="preserve"> </w:t>
      </w:r>
      <w:r>
        <w:t xml:space="preserve">seller-level payments (</w:t>
      </w:r>
      <w:r>
        <w:rPr>
          <w:rStyle w:val="VerbatimChar"/>
        </w:rPr>
        <w:t xml:space="preserve">gunny_seller_payments</w:t>
      </w:r>
      <w:r>
        <w:t xml:space="preserve">) are</w:t>
      </w:r>
      <w:r>
        <w:t xml:space="preserve"> </w:t>
      </w:r>
      <w:r>
        <w:rPr>
          <w:b/>
          <w:bCs/>
        </w:rPr>
        <w:t xml:space="preserve">allocated</w:t>
      </w:r>
      <w:r>
        <w:t xml:space="preserve"> </w:t>
      </w:r>
      <w:r>
        <w:t xml:space="preserve">across multiple gunny records</w:t>
      </w:r>
      <w:r>
        <w:t xml:space="preserve"> </w:t>
      </w:r>
      <w:r>
        <w:t xml:space="preserve">(</w:t>
      </w:r>
      <w:r>
        <w:rPr>
          <w:rStyle w:val="VerbatimChar"/>
        </w:rPr>
        <w:t xml:space="preserve">gunny_payment_allocations</w:t>
      </w:r>
      <w:r>
        <w:t xml:space="preserve">) — the allocation pattern that mirrors company payments.</w:t>
      </w:r>
    </w:p>
    <w:bookmarkEnd w:id="22"/>
    <w:bookmarkStart w:id="23" w:name="expenses-featuresexpenses-appexpensestab"/>
    <w:p>
      <w:pPr>
        <w:pStyle w:val="Heading3"/>
      </w:pPr>
      <w:r>
        <w:t xml:space="preserve">Expenses (</w:t>
      </w:r>
      <w:r>
        <w:rPr>
          <w:rStyle w:val="VerbatimChar"/>
        </w:rPr>
        <w:t xml:space="preserve">features/expenses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app/expenses/[tab]</w:t>
      </w:r>
      <w:r>
        <w:t xml:space="preserve">)</w:t>
      </w:r>
    </w:p>
    <w:p>
      <w:pPr>
        <w:pStyle w:val="FirstParagraph"/>
      </w:pPr>
      <w:r>
        <w:t xml:space="preserve">Operating costs in four categories —</w:t>
      </w:r>
      <w:r>
        <w:t xml:space="preserve"> </w:t>
      </w:r>
      <w:r>
        <w:rPr>
          <w:rStyle w:val="VerbatimChar"/>
        </w:rPr>
        <w:t xml:space="preserve">salary</w:t>
      </w:r>
      <w:r>
        <w:t xml:space="preserve">,</w:t>
      </w:r>
      <w:r>
        <w:t xml:space="preserve"> </w:t>
      </w:r>
      <w:r>
        <w:rPr>
          <w:rStyle w:val="VerbatimChar"/>
        </w:rPr>
        <w:t xml:space="preserve">vehicle</w:t>
      </w:r>
      <w:r>
        <w:t xml:space="preserve">,</w:t>
      </w:r>
      <w:r>
        <w:t xml:space="preserve"> </w:t>
      </w:r>
      <w:r>
        <w:rPr>
          <w:rStyle w:val="VerbatimChar"/>
        </w:rPr>
        <w:t xml:space="preserve">hamali</w:t>
      </w:r>
      <w:r>
        <w:t xml:space="preserve">,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 </w:t>
      </w:r>
      <w:r>
        <w:t xml:space="preserve">— with an optional</w:t>
      </w:r>
      <w:r>
        <w:t xml:space="preserve"> </w:t>
      </w:r>
      <w:r>
        <w:t xml:space="preserve">linked</w:t>
      </w:r>
      <w:r>
        <w:t xml:space="preserve"> </w:t>
      </w:r>
      <w:r>
        <w:rPr>
          <w:b/>
          <w:bCs/>
        </w:rPr>
        <w:t xml:space="preserve">employee</w:t>
      </w:r>
      <w:r>
        <w:t xml:space="preserve"> </w:t>
      </w:r>
      <w:r>
        <w:t xml:space="preserve">(</w:t>
      </w:r>
      <w:r>
        <w:rPr>
          <w:rStyle w:val="VerbatimChar"/>
        </w:rPr>
        <w:t xml:space="preserve">expense_employees</w:t>
      </w:r>
      <w:r>
        <w:t xml:space="preserve">). Tabbed UI: overview, salary, vehicle, hamali, other.</w:t>
      </w:r>
    </w:p>
    <w:bookmarkEnd w:id="23"/>
    <w:bookmarkStart w:id="24" w:name="dashboard-featuresdashboard-appdashboard"/>
    <w:p>
      <w:pPr>
        <w:pStyle w:val="Heading3"/>
      </w:pPr>
      <w:r>
        <w:t xml:space="preserve">Dashboard (</w:t>
      </w:r>
      <w:r>
        <w:rPr>
          <w:rStyle w:val="VerbatimChar"/>
        </w:rPr>
        <w:t xml:space="preserve">features/dashboard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app/dashboard</w:t>
      </w:r>
      <w:r>
        <w:t xml:space="preserve">)</w:t>
      </w:r>
    </w:p>
    <w:p>
      <w:pPr>
        <w:pStyle w:val="FirstParagraph"/>
      </w:pPr>
      <w:r>
        <w:t xml:space="preserve">Aggregates purchases, bilty, sales, and buyer companies into KPIs and a purchase-trend chart, scoped</w:t>
      </w:r>
      <w:r>
        <w:t xml:space="preserve"> </w:t>
      </w:r>
      <w:r>
        <w:t xml:space="preserve">to the current financial year (see §12).</w:t>
      </w:r>
    </w:p>
    <w:bookmarkEnd w:id="24"/>
    <w:bookmarkStart w:id="25" w:name="auth-featuresauth"/>
    <w:p>
      <w:pPr>
        <w:pStyle w:val="Heading3"/>
      </w:pPr>
      <w:r>
        <w:t xml:space="preserve">Auth (</w:t>
      </w:r>
      <w:r>
        <w:rPr>
          <w:rStyle w:val="VerbatimChar"/>
        </w:rPr>
        <w:t xml:space="preserve">features/auth</w:t>
      </w:r>
      <w:r>
        <w:t xml:space="preserve">)</w:t>
      </w:r>
    </w:p>
    <w:p>
      <w:pPr>
        <w:pStyle w:val="FirstParagraph"/>
      </w:pPr>
      <w:r>
        <w:t xml:space="preserve">Login/logout, JWT session, role guards. See §8.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7aa13caf2f80039f508c1253acaced3732b2496"/>
    <w:p>
      <w:pPr>
        <w:pStyle w:val="Heading2"/>
      </w:pPr>
      <w:r>
        <w:t xml:space="preserve">5. System architecture</w:t>
      </w:r>
    </w:p>
    <w:p>
      <w:pPr>
        <w:pStyle w:val="FirstParagraph"/>
      </w:pPr>
      <w:r>
        <w:t xml:space="preserve">There is no separate backend service.</w:t>
      </w:r>
      <w:r>
        <w:t xml:space="preserve"> </w:t>
      </w:r>
      <w:r>
        <w:rPr>
          <w:b/>
          <w:bCs/>
        </w:rPr>
        <w:t xml:space="preserve">Next.js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is</w:t>
      </w:r>
      <w:r>
        <w:rPr>
          <w:b/>
          <w:bCs/>
        </w:rPr>
        <w:t xml:space="preserve"> </w:t>
      </w:r>
      <w:r>
        <w:rPr>
          <w:b/>
          <w:bCs/>
        </w:rPr>
        <w:t xml:space="preserve">the backend.</w:t>
      </w:r>
      <w:r>
        <w:t xml:space="preserve"> </w:t>
      </w:r>
      <w:r>
        <w:t xml:space="preserve">The browser never talks to</w:t>
      </w:r>
      <w:r>
        <w:t xml:space="preserve"> </w:t>
      </w:r>
      <w:r>
        <w:t xml:space="preserve">Supabase directly — every read/write goes through the server (a Server Action or a Route Handler)</w:t>
      </w:r>
      <w:r>
        <w:t xml:space="preserve"> </w:t>
      </w:r>
      <w:r>
        <w:t xml:space="preserve">using the service-role key, which never ships to the client bundle.</w:t>
      </w:r>
    </w:p>
    <w:p>
      <w:pPr>
        <w:pStyle w:val="BodyText"/>
      </w:pPr>
      <w:r>
        <w:drawing>
          <wp:inline>
            <wp:extent cx="5334000" cy="4721678"/>
            <wp:effectExtent b="0" l="0" r="0" t="0"/>
            <wp:docPr descr="High-level architecture" title="" id="28" name="Picture"/>
            <a:graphic>
              <a:graphicData uri="http://schemas.openxmlformats.org/drawingml/2006/picture">
                <pic:pic>
                  <pic:nvPicPr>
                    <pic:cNvPr descr="diagrams/png/01-high-level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21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0"/>
    <w:bookmarkStart w:id="34" w:name="X3658c9bbcf713940edb982cae8101acb11a9365"/>
    <w:p>
      <w:pPr>
        <w:pStyle w:val="Heading2"/>
      </w:pPr>
      <w:r>
        <w:t xml:space="preserve">6. Feature-slice layering</w:t>
      </w:r>
    </w:p>
    <w:p>
      <w:pPr>
        <w:pStyle w:val="FirstParagraph"/>
      </w:pPr>
      <w:r>
        <w:t xml:space="preserve">Every domain follows the</w:t>
      </w:r>
      <w:r>
        <w:t xml:space="preserve"> </w:t>
      </w:r>
      <w:r>
        <w:rPr>
          <w:b/>
          <w:bCs/>
        </w:rPr>
        <w:t xml:space="preserve">same four-part shape</w:t>
      </w:r>
      <w:r>
        <w:t xml:space="preserve">, which is the backbone of the codebase.</w:t>
      </w:r>
    </w:p>
    <w:p>
      <w:pPr>
        <w:pStyle w:val="BodyText"/>
      </w:pPr>
      <w:r>
        <w:drawing>
          <wp:inline>
            <wp:extent cx="5334000" cy="2130878"/>
            <wp:effectExtent b="0" l="0" r="0" t="0"/>
            <wp:docPr descr="Feature slice layering" title="" id="32" name="Picture"/>
            <a:graphic>
              <a:graphicData uri="http://schemas.openxmlformats.org/drawingml/2006/picture">
                <pic:pic>
                  <pic:nvPicPr>
                    <pic:cNvPr descr="diagrams/png/02-feature-slic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0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schemas/</w:t>
            </w:r>
          </w:p>
        </w:tc>
        <w:tc>
          <w:tcPr/>
          <w:p>
            <w:pPr>
              <w:pStyle w:val="Compact"/>
            </w:pPr>
            <w:r>
              <w:t xml:space="preserve">Zod validation + inferred types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 source of truth</w:t>
            </w:r>
            <w:r>
              <w:t xml:space="preserve"> </w:t>
            </w:r>
            <w:r>
              <w:t xml:space="preserve">for shape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</w:t>
            </w:r>
          </w:p>
        </w:tc>
        <w:tc>
          <w:tcPr/>
          <w:p>
            <w:pPr>
              <w:pStyle w:val="Compact"/>
            </w:pPr>
            <w:r>
              <w:t xml:space="preserve">Pure derivations (net weight, totals)</w:t>
            </w:r>
          </w:p>
        </w:tc>
        <w:tc>
          <w:tcPr/>
          <w:p>
            <w:pPr>
              <w:pStyle w:val="Compact"/>
            </w:pPr>
            <w:r>
              <w:t xml:space="preserve">No I/O, unit-tested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service/</w:t>
            </w:r>
          </w:p>
        </w:tc>
        <w:tc>
          <w:tcPr/>
          <w:p>
            <w:pPr>
              <w:pStyle w:val="Compact"/>
            </w:pPr>
            <w:r>
              <w:t xml:space="preserve">All Supabase reads/writes + auth guards</w:t>
            </w:r>
          </w:p>
        </w:tc>
        <w:tc>
          <w:tcPr/>
          <w:p>
            <w:pPr>
              <w:pStyle w:val="Compact"/>
            </w:pPr>
            <w:r>
              <w:t xml:space="preserve">Server-only; recomputes derived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</w:t>
            </w:r>
          </w:p>
        </w:tc>
        <w:tc>
          <w:tcPr/>
          <w:p>
            <w:pPr>
              <w:pStyle w:val="Compact"/>
            </w:pPr>
            <w:r>
              <w:t xml:space="preserve">Forms &amp; tables</w:t>
            </w:r>
          </w:p>
        </w:tc>
        <w:tc>
          <w:tcPr/>
          <w:p>
            <w:pPr>
              <w:pStyle w:val="Compact"/>
            </w:pPr>
            <w:r>
              <w:t xml:space="preserve">Client; call Server 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app/.../actions.ts</w:t>
            </w:r>
          </w:p>
        </w:tc>
        <w:tc>
          <w:tcPr/>
          <w:p>
            <w:pPr>
              <w:pStyle w:val="Compact"/>
            </w:pPr>
            <w:r>
              <w:t xml:space="preserve">Thin RPC boundary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parse()</w:t>
            </w:r>
            <w:r>
              <w:t xml:space="preserve"> </w:t>
            </w:r>
            <w:r>
              <w:t xml:space="preserve">then delegate to the service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8" w:name="Xcc62fc63d4f5f57acbde3b9c7bb5976ef479934"/>
    <w:p>
      <w:pPr>
        <w:pStyle w:val="Heading2"/>
      </w:pPr>
      <w:r>
        <w:t xml:space="preserve">7. Request lifecycle</w:t>
      </w:r>
    </w:p>
    <w:p>
      <w:pPr>
        <w:pStyle w:val="FirstParagraph"/>
      </w:pPr>
      <w:r>
        <w:t xml:space="preserve">A write flows:</w:t>
      </w:r>
      <w:r>
        <w:t xml:space="preserve"> </w:t>
      </w:r>
      <w:r>
        <w:rPr>
          <w:b/>
          <w:bCs/>
        </w:rPr>
        <w:t xml:space="preserve">UI → Server Action → Zod parse → service (auth + calc) → Postgres.</w:t>
      </w:r>
      <w:r>
        <w:t xml:space="preserve"> </w:t>
      </w:r>
      <w:r>
        <w:t xml:space="preserve">Validation</w:t>
      </w:r>
      <w:r>
        <w:t xml:space="preserve"> </w:t>
      </w:r>
      <w:r>
        <w:t xml:space="preserve">happens twice on the server (Zod, then DB constraints); auth is enforced inside the service for</w:t>
      </w:r>
      <w:r>
        <w:t xml:space="preserve"> </w:t>
      </w:r>
      <w:r>
        <w:t xml:space="preserve">defense in depth.</w:t>
      </w:r>
    </w:p>
    <w:p>
      <w:pPr>
        <w:pStyle w:val="BodyText"/>
      </w:pPr>
      <w:r>
        <w:drawing>
          <wp:inline>
            <wp:extent cx="5334000" cy="3238500"/>
            <wp:effectExtent b="0" l="0" r="0" t="0"/>
            <wp:docPr descr="Request lifecycle sequence" title="" id="36" name="Picture"/>
            <a:graphic>
              <a:graphicData uri="http://schemas.openxmlformats.org/drawingml/2006/picture">
                <pic:pic>
                  <pic:nvPicPr>
                    <pic:cNvPr descr="diagrams/png/03-request-lifecycl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8"/>
    <w:bookmarkStart w:id="43" w:name="X464f801d100671720e26708ec838a0d69bbc9ad"/>
    <w:p>
      <w:pPr>
        <w:pStyle w:val="Heading2"/>
      </w:pPr>
      <w:r>
        <w:t xml:space="preserve">8. Authentication &amp; authorization</w:t>
      </w:r>
    </w:p>
    <w:p>
      <w:pPr>
        <w:pStyle w:val="Compact"/>
        <w:numPr>
          <w:ilvl w:val="0"/>
          <w:numId w:val="1003"/>
        </w:numPr>
      </w:pPr>
      <w:r>
        <w:t xml:space="preserve">Sessions are</w:t>
      </w:r>
      <w:r>
        <w:t xml:space="preserve"> </w:t>
      </w:r>
      <w:r>
        <w:rPr>
          <w:b/>
          <w:bCs/>
        </w:rPr>
        <w:t xml:space="preserve">stateless JWTs</w:t>
      </w:r>
      <w:r>
        <w:t xml:space="preserve"> </w:t>
      </w:r>
      <w:r>
        <w:t xml:space="preserve">signed with</w:t>
      </w:r>
      <w:r>
        <w:t xml:space="preserve"> </w:t>
      </w:r>
      <w:r>
        <w:rPr>
          <w:rStyle w:val="VerbatimChar"/>
        </w:rPr>
        <w:t xml:space="preserve">SESSION_SECRET</w:t>
      </w:r>
      <w:r>
        <w:t xml:space="preserve"> </w:t>
      </w:r>
      <w:r>
        <w:t xml:space="preserve">(HS256, 24h), stored in an</w:t>
      </w:r>
      <w:r>
        <w:t xml:space="preserve"> </w:t>
      </w:r>
      <w:r>
        <w:rPr>
          <w:b/>
          <w:bCs/>
        </w:rPr>
        <w:t xml:space="preserve">httpOnly,</w:t>
      </w:r>
      <w:r>
        <w:rPr>
          <w:b/>
          <w:bCs/>
        </w:rPr>
        <w:t xml:space="preserve"> </w:t>
      </w:r>
      <w:r>
        <w:rPr>
          <w:b/>
          <w:bCs/>
        </w:rPr>
        <w:t xml:space="preserve">sameSite=lax</w:t>
      </w:r>
      <w:r>
        <w:t xml:space="preserve"> </w:t>
      </w:r>
      <w:r>
        <w:t xml:space="preserve">cookie. No server-side session store.</w:t>
      </w:r>
    </w:p>
    <w:p>
      <w:pPr>
        <w:pStyle w:val="Compact"/>
        <w:numPr>
          <w:ilvl w:val="0"/>
          <w:numId w:val="1003"/>
        </w:numPr>
      </w:pPr>
      <w:r>
        <w:t xml:space="preserve">Passwords are</w:t>
      </w:r>
      <w:r>
        <w:t xml:space="preserve"> </w:t>
      </w:r>
      <w:r>
        <w:rPr>
          <w:b/>
          <w:bCs/>
        </w:rPr>
        <w:t xml:space="preserve">bcrypt</w:t>
      </w:r>
      <w:r>
        <w:t xml:space="preserve"> </w:t>
      </w:r>
      <w:r>
        <w:t xml:space="preserve">hashes in the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table.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VerbatimChar"/>
          </w:rPr>
          <w:t xml:space="preserve">proxy.ts</w:t>
        </w:r>
      </w:hyperlink>
      <w:r>
        <w:t xml:space="preserve"> </w:t>
      </w:r>
      <w:r>
        <w:t xml:space="preserve">middleware gates every route: unauthenticated users →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</w:t>
      </w:r>
      <w:r>
        <w:t xml:space="preserve"> </w:t>
      </w:r>
      <w:r>
        <w:t xml:space="preserve">authenticated users on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→ dashboard-or-login.</w:t>
      </w:r>
    </w:p>
    <w:p>
      <w:pPr>
        <w:pStyle w:val="Compact"/>
        <w:numPr>
          <w:ilvl w:val="0"/>
          <w:numId w:val="1003"/>
        </w:numPr>
      </w:pPr>
      <w:r>
        <w:t xml:space="preserve">Roles are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; services call</w:t>
      </w:r>
      <w:r>
        <w:t xml:space="preserve"> </w:t>
      </w:r>
      <w:r>
        <w:rPr>
          <w:rStyle w:val="VerbatimChar"/>
        </w:rPr>
        <w:t xml:space="preserve">requireAuth()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requireRole([...])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Public routes: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/api/auth/login</w:t>
      </w:r>
      <w:r>
        <w:t xml:space="preserve">.</w:t>
      </w:r>
    </w:p>
    <w:p>
      <w:pPr>
        <w:pStyle w:val="FirstParagraph"/>
      </w:pPr>
      <w:r>
        <w:drawing>
          <wp:inline>
            <wp:extent cx="5334000" cy="2784021"/>
            <wp:effectExtent b="0" l="0" r="0" t="0"/>
            <wp:docPr descr="Authentication sequence" title="" id="41" name="Picture"/>
            <a:graphic>
              <a:graphicData uri="http://schemas.openxmlformats.org/drawingml/2006/picture">
                <pic:pic>
                  <pic:nvPicPr>
                    <pic:cNvPr descr="diagrams/png/04-auth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4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3"/>
    <w:bookmarkStart w:id="48" w:name="X856b06df4050cbb5c220312c77defcd55860044"/>
    <w:p>
      <w:pPr>
        <w:pStyle w:val="Heading2"/>
      </w:pPr>
      <w:r>
        <w:t xml:space="preserve">9. Route map</w:t>
      </w:r>
    </w:p>
    <w:p>
      <w:pPr>
        <w:pStyle w:val="FirstParagraph"/>
      </w:pPr>
      <w:r>
        <w:t xml:space="preserve">Navigation is defined in</w:t>
      </w:r>
      <w:r>
        <w:t xml:space="preserve"> </w:t>
      </w:r>
      <w:hyperlink r:id="rId44">
        <w:r>
          <w:rPr>
            <w:rStyle w:val="VerbatimChar"/>
          </w:rPr>
          <w:t xml:space="preserve">src/components/layout/Sidebar.tsx</w:t>
        </w:r>
      </w:hyperlink>
      <w:r>
        <w:t xml:space="preserve">.</w:t>
      </w:r>
    </w:p>
    <w:p>
      <w:pPr>
        <w:pStyle w:val="BodyText"/>
      </w:pPr>
      <w:r>
        <w:drawing>
          <wp:inline>
            <wp:extent cx="5334000" cy="2585357"/>
            <wp:effectExtent b="0" l="0" r="0" t="0"/>
            <wp:docPr descr="Route map" title="" id="46" name="Picture"/>
            <a:graphic>
              <a:graphicData uri="http://schemas.openxmlformats.org/drawingml/2006/picture">
                <pic:pic>
                  <pic:nvPicPr>
                    <pic:cNvPr descr="diagrams/png/05-route-map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5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8"/>
    <w:bookmarkStart w:id="53" w:name="Xff68809605d7b3874346f38a884a0efc5cf415d"/>
    <w:p>
      <w:pPr>
        <w:pStyle w:val="Heading2"/>
      </w:pPr>
      <w:r>
        <w:t xml:space="preserve">10. Data model (ERD)</w:t>
      </w:r>
    </w:p>
    <w:p>
      <w:pPr>
        <w:pStyle w:val="FirstParagraph"/>
      </w:pPr>
      <w:r>
        <w:t xml:space="preserve">18 tables (+ sequences and one RPC) defined in</w:t>
      </w:r>
      <w:r>
        <w:t xml:space="preserve"> </w:t>
      </w:r>
      <w:hyperlink r:id="rId49">
        <w:r>
          <w:rPr>
            <w:rStyle w:val="VerbatimChar"/>
          </w:rPr>
          <w:t xml:space="preserve">supabase/schema.sql</w:t>
        </w:r>
      </w:hyperlink>
      <w:r>
        <w:t xml:space="preserve">.</w:t>
      </w:r>
    </w:p>
    <w:p>
      <w:pPr>
        <w:pStyle w:val="BodyText"/>
      </w:pPr>
      <w:r>
        <w:drawing>
          <wp:inline>
            <wp:extent cx="5334000" cy="1178378"/>
            <wp:effectExtent b="0" l="0" r="0" t="0"/>
            <wp:docPr descr="Entity-relationship diagram" title="" id="51" name="Picture"/>
            <a:graphic>
              <a:graphicData uri="http://schemas.openxmlformats.org/drawingml/2006/picture">
                <pic:pic>
                  <pic:nvPicPr>
                    <pic:cNvPr descr="diagrams/png/06-erd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8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Modeling notes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purchases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bilty</w:t>
      </w:r>
      <w:r>
        <w:t xml:space="preserve"> </w:t>
      </w:r>
      <w:r>
        <w:t xml:space="preserve">carry</w:t>
      </w:r>
      <w:r>
        <w:t xml:space="preserve"> </w:t>
      </w:r>
      <w:r>
        <w:rPr>
          <w:b/>
          <w:bCs/>
        </w:rPr>
        <w:t xml:space="preserve">denormalized</w:t>
      </w:r>
      <w:r>
        <w:t xml:space="preserve"> </w:t>
      </w:r>
      <w:r>
        <w:rPr>
          <w:rStyle w:val="VerbatimChar"/>
        </w:rPr>
        <w:t xml:space="preserve">name / place / mob</w:t>
      </w:r>
      <w:r>
        <w:t xml:space="preserve"> </w:t>
      </w:r>
      <w:r>
        <w:t xml:space="preserve">rather than a hard FK to a party table.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gunny_bags.seller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free-text name</w:t>
      </w:r>
      <w:r>
        <w:t xml:space="preserve"> </w:t>
      </w:r>
      <w:r>
        <w:t xml:space="preserve">(matched to</w:t>
      </w:r>
      <w:r>
        <w:t xml:space="preserve"> </w:t>
      </w:r>
      <w:r>
        <w:rPr>
          <w:rStyle w:val="VerbatimChar"/>
        </w:rPr>
        <w:t xml:space="preserve">gunny_sellers</w:t>
      </w:r>
      <w:r>
        <w:t xml:space="preserve"> </w:t>
      </w:r>
      <w:r>
        <w:t xml:space="preserve">by name, not by FK).</w:t>
      </w:r>
    </w:p>
    <w:p>
      <w:pPr>
        <w:pStyle w:val="Compact"/>
        <w:numPr>
          <w:ilvl w:val="0"/>
          <w:numId w:val="1004"/>
        </w:numPr>
      </w:pPr>
      <w:r>
        <w:t xml:space="preserve">The three</w:t>
      </w:r>
      <w:r>
        <w:t xml:space="preserve"> </w:t>
      </w:r>
      <w:r>
        <w:rPr>
          <w:rStyle w:val="VerbatimChar"/>
        </w:rPr>
        <w:t xml:space="preserve">*_payment_allocations</w:t>
      </w:r>
      <w:r>
        <w:t xml:space="preserve"> </w:t>
      </w:r>
      <w:r>
        <w:t xml:space="preserve">tables (</w:t>
      </w:r>
      <w:r>
        <w:rPr>
          <w:rStyle w:val="VerbatimChar"/>
        </w:rPr>
        <w:t xml:space="preserve">company_</w:t>
      </w:r>
      <w:r>
        <w:t xml:space="preserve">,</w:t>
      </w:r>
      <w:r>
        <w:t xml:space="preserve"> </w:t>
      </w:r>
      <w:r>
        <w:rPr>
          <w:rStyle w:val="VerbatimChar"/>
        </w:rPr>
        <w:t xml:space="preserve">gunny_</w:t>
      </w:r>
      <w:r>
        <w:t xml:space="preserve">, plus the</w:t>
      </w:r>
      <w:r>
        <w:t xml:space="preserve"> </w:t>
      </w:r>
      <w:r>
        <w:rPr>
          <w:rStyle w:val="VerbatimChar"/>
        </w:rPr>
        <w:t xml:space="preserve">bilty_party_payments</w:t>
      </w:r>
      <w:r>
        <w:t xml:space="preserve"> </w:t>
      </w:r>
      <w:r>
        <w:t xml:space="preserve">ledger) implement the "one payment, many records" split.</w:t>
      </w:r>
    </w:p>
    <w:p>
      <w:pPr>
        <w:pStyle w:val="Compact"/>
        <w:numPr>
          <w:ilvl w:val="0"/>
          <w:numId w:val="1004"/>
        </w:numPr>
      </w:pPr>
      <w:r>
        <w:t xml:space="preserve">Money columns are</w:t>
      </w:r>
      <w:r>
        <w:t xml:space="preserve"> </w:t>
      </w:r>
      <w:r>
        <w:rPr>
          <w:rStyle w:val="VerbatimChar"/>
        </w:rPr>
        <w:t xml:space="preserve">numeric</w:t>
      </w:r>
      <w:r>
        <w:t xml:space="preserve">; some are read back as strings and coerced server-side (</w:t>
      </w:r>
      <w:r>
        <w:rPr>
          <w:rStyle w:val="VerbatimChar"/>
        </w:rPr>
        <w:t xml:space="preserve">n()</w:t>
      </w:r>
      <w:r>
        <w:t xml:space="preserve"> </w:t>
      </w:r>
      <w:r>
        <w:t xml:space="preserve">helper).</w:t>
      </w:r>
    </w:p>
    <w:p>
      <w:r>
        <w:pict>
          <v:rect style="width:0;height:1.5pt" o:hralign="center" o:hrstd="t" o:hr="t"/>
        </w:pict>
      </w:r>
    </w:p>
    <w:bookmarkEnd w:id="53"/>
    <w:bookmarkStart w:id="60" w:name="X22253005a9666d631227103de8940b8a1c3b4b8"/>
    <w:p>
      <w:pPr>
        <w:pStyle w:val="Heading2"/>
      </w:pPr>
      <w:r>
        <w:t xml:space="preserve">11. Key domain flows</w:t>
      </w:r>
    </w:p>
    <w:bookmarkStart w:id="54" w:name="Xa51eb43d4854260de34db70567e1a9ba0d3ae31"/>
    <w:p>
      <w:pPr>
        <w:pStyle w:val="Heading3"/>
      </w:pPr>
      <w:r>
        <w:t xml:space="preserve">11.1 Bill generation (idempotent)</w:t>
      </w:r>
    </w:p>
    <w:p>
      <w:pPr>
        <w:pStyle w:val="SourceCode"/>
      </w:pPr>
      <w:r>
        <w:rPr>
          <w:rStyle w:val="VerbatimChar"/>
        </w:rPr>
        <w:t xml:space="preserve">purchase  →  bill id = "PUR_BILL_&lt;purchaseId&gt;"  →  upsertBillById(...)</w:t>
      </w:r>
    </w:p>
    <w:p>
      <w:pPr>
        <w:pStyle w:val="FirstParagraph"/>
      </w:pPr>
      <w:r>
        <w:t xml:space="preserve">Because the id is derived from the source row, the</w:t>
      </w:r>
      <w:r>
        <w:t xml:space="preserve"> </w:t>
      </w:r>
      <w:r>
        <w:rPr>
          <w:rStyle w:val="VerbatimChar"/>
        </w:rPr>
        <w:t xml:space="preserve">upsert</w:t>
      </w:r>
      <w:r>
        <w:t xml:space="preserve"> </w:t>
      </w:r>
      <w:r>
        <w:t xml:space="preserve">makes generation idempotent — one</w:t>
      </w:r>
      <w:r>
        <w:t xml:space="preserve"> </w:t>
      </w:r>
      <w:r>
        <w:t xml:space="preserve">purchase always resolves to exactly one bill.</w:t>
      </w:r>
    </w:p>
    <w:bookmarkEnd w:id="54"/>
    <w:bookmarkStart w:id="58" w:name="X8ecc757e225939d1739a538e1ef19e4e49716ca"/>
    <w:p>
      <w:pPr>
        <w:pStyle w:val="Heading3"/>
      </w:pPr>
      <w:r>
        <w:t xml:space="preserve">11.2 Sales invoice numbering (concurrency-safe)</w:t>
      </w:r>
    </w:p>
    <w:p>
      <w:pPr>
        <w:pStyle w:val="FirstParagraph"/>
      </w:pPr>
      <w:r>
        <w:t xml:space="preserve">Per-issuer invoice sequence uses an</w:t>
      </w:r>
      <w:r>
        <w:t xml:space="preserve"> </w:t>
      </w:r>
      <w:r>
        <w:rPr>
          <w:b/>
          <w:bCs/>
        </w:rPr>
        <w:t xml:space="preserve">atomic Postgres RPC</w:t>
      </w:r>
      <w:r>
        <w:t xml:space="preserve"> </w:t>
      </w:r>
      <w:r>
        <w:t xml:space="preserve">(</w:t>
      </w:r>
      <w:r>
        <w:rPr>
          <w:rStyle w:val="VerbatimChar"/>
        </w:rPr>
        <w:t xml:space="preserve">next_company_invoice_seq</w:t>
      </w:r>
      <w:r>
        <w:t xml:space="preserve">) — an</w:t>
      </w:r>
      <w:r>
        <w:t xml:space="preserve"> </w:t>
      </w:r>
      <w:r>
        <w:rPr>
          <w:rStyle w:val="VerbatimChar"/>
        </w:rPr>
        <w:t xml:space="preserve">INSERT ... ON CONFLICT DO UPDATE ... RETURNING</w:t>
      </w:r>
      <w:r>
        <w:t xml:space="preserve"> </w:t>
      </w:r>
      <w:r>
        <w:t xml:space="preserve">— so concurrent generation cannot collide. The</w:t>
      </w:r>
      <w:r>
        <w:t xml:space="preserve"> </w:t>
      </w:r>
      <w:r>
        <w:t xml:space="preserve">invoice stores a</w:t>
      </w:r>
      <w:r>
        <w:t xml:space="preserve"> </w:t>
      </w:r>
      <w:r>
        <w:rPr>
          <w:rStyle w:val="VerbatimChar"/>
        </w:rPr>
        <w:t xml:space="preserve">snapshot_json</w:t>
      </w:r>
      <w:r>
        <w:t xml:space="preserve"> </w:t>
      </w:r>
      <w:r>
        <w:t xml:space="preserve">of issuer/buyer/items so reprints stay stable.</w:t>
      </w:r>
    </w:p>
    <w:p>
      <w:pPr>
        <w:pStyle w:val="BodyText"/>
      </w:pPr>
      <w:r>
        <w:drawing>
          <wp:inline>
            <wp:extent cx="5334000" cy="340178"/>
            <wp:effectExtent b="0" l="0" r="0" t="0"/>
            <wp:docPr descr="Invoice generation flow" title="" id="56" name="Picture"/>
            <a:graphic>
              <a:graphicData uri="http://schemas.openxmlformats.org/drawingml/2006/picture">
                <pic:pic>
                  <pic:nvPicPr>
                    <pic:cNvPr descr="diagrams/png/07-invoice-flow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bookmarkStart w:id="59" w:name="X12f072e755387c19994fdbdfb086a30b473f92b"/>
    <w:p>
      <w:pPr>
        <w:pStyle w:val="Heading3"/>
      </w:pPr>
      <w:r>
        <w:t xml:space="preserve">11.3 Payment allocation (gunny &amp; companies)</w:t>
      </w:r>
    </w:p>
    <w:p>
      <w:pPr>
        <w:pStyle w:val="FirstParagraph"/>
      </w:pPr>
      <w:r>
        <w:t xml:space="preserve">A single payment is recorded once and</w:t>
      </w:r>
      <w:r>
        <w:t xml:space="preserve"> </w:t>
      </w:r>
      <w:r>
        <w:rPr>
          <w:b/>
          <w:bCs/>
        </w:rPr>
        <w:t xml:space="preserve">split across multiple records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seller_payment (₹50,000)</w:t>
      </w:r>
      <w:r>
        <w:br/>
      </w:r>
      <w:r>
        <w:rPr>
          <w:rStyle w:val="VerbatimChar"/>
        </w:rPr>
        <w:t xml:space="preserve">   ├─ allocation → gunny_bags A : ₹30,000</w:t>
      </w:r>
      <w:r>
        <w:br/>
      </w:r>
      <w:r>
        <w:rPr>
          <w:rStyle w:val="VerbatimChar"/>
        </w:rPr>
        <w:t xml:space="preserve">   └─ allocation → gunny_bags B : ₹20,000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X7930a1d1c988809ebc0e579f0d7d8c6bc9af60a"/>
    <w:p>
      <w:pPr>
        <w:pStyle w:val="Heading2"/>
      </w:pPr>
      <w:r>
        <w:t xml:space="preserve">12. Dashboard &amp; financial-year logic</w:t>
      </w:r>
    </w:p>
    <w:p>
      <w:pPr>
        <w:pStyle w:val="FirstParagraph"/>
      </w:pPr>
      <w:r>
        <w:t xml:space="preserve">The Indian</w:t>
      </w:r>
      <w:r>
        <w:t xml:space="preserve"> </w:t>
      </w:r>
      <w:r>
        <w:rPr>
          <w:b/>
          <w:bCs/>
        </w:rPr>
        <w:t xml:space="preserve">financial year runs April 1 → March 31</w:t>
      </w:r>
      <w:r>
        <w:t xml:space="preserve">.</w:t>
      </w:r>
      <w:r>
        <w:t xml:space="preserve"> </w:t>
      </w:r>
      <w:r>
        <w:rPr>
          <w:rStyle w:val="VerbatimChar"/>
        </w:rPr>
        <w:t xml:space="preserve">getFinancialYearBounds()</w:t>
      </w:r>
      <w:r>
        <w:t xml:space="preserve"> </w:t>
      </w:r>
      <w:r>
        <w:t xml:space="preserve">(</w:t>
      </w:r>
      <w:hyperlink r:id="rId61">
        <w:r>
          <w:rPr>
            <w:rStyle w:val="VerbatimChar"/>
          </w:rPr>
          <w:t xml:space="preserve">lib/financial-year.ts</w:t>
        </w:r>
      </w:hyperlink>
      <w:r>
        <w:t xml:space="preserve">) computes the bounds for any date, and the</w:t>
      </w:r>
      <w:r>
        <w:t xml:space="preserve"> </w:t>
      </w:r>
      <w:r>
        <w:t xml:space="preserve">dashboard evaluates "now" in</w:t>
      </w:r>
      <w:r>
        <w:t xml:space="preserve"> </w:t>
      </w:r>
      <w:r>
        <w:rPr>
          <w:b/>
          <w:bCs/>
        </w:rPr>
        <w:t xml:space="preserve">IST</w:t>
      </w:r>
      <w:r>
        <w:t xml:space="preserve"> </w:t>
      </w:r>
      <w:r>
        <w:t xml:space="preserve">before filtering. Bill numbering and dashboard stats are both</w:t>
      </w:r>
      <w:r>
        <w:t xml:space="preserve"> </w:t>
      </w:r>
      <w:r>
        <w:t xml:space="preserve">FY-scoped, so counters reset each year.</w:t>
      </w:r>
    </w:p>
    <w:p>
      <w:pPr>
        <w:pStyle w:val="BodyText"/>
      </w:pPr>
      <w:r>
        <w:drawing>
          <wp:inline>
            <wp:extent cx="5334000" cy="2149928"/>
            <wp:effectExtent b="0" l="0" r="0" t="0"/>
            <wp:docPr descr="Dashboard aggregation" title="" id="63" name="Picture"/>
            <a:graphic>
              <a:graphicData uri="http://schemas.openxmlformats.org/drawingml/2006/picture">
                <pic:pic>
                  <pic:nvPicPr>
                    <pic:cNvPr descr="diagrams/png/09-dashboard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9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KPIs include total purchase amount (purchases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bilty), purchased bags, total sales amount and</w:t>
      </w:r>
      <w:r>
        <w:t xml:space="preserve"> </w:t>
      </w:r>
      <w:r>
        <w:t xml:space="preserve">pending, and stock (purchased − sold), plus a purchase-trend chart.</w:t>
      </w:r>
    </w:p>
    <w:p>
      <w:r>
        <w:pict>
          <v:rect style="width:0;height:1.5pt" o:hralign="center" o:hrstd="t" o:hr="t"/>
        </w:pict>
      </w:r>
    </w:p>
    <w:bookmarkEnd w:id="65"/>
    <w:bookmarkStart w:id="70" w:name="X7fca0624b0f3ce3af4c1f7efb05ffa4b41ad704"/>
    <w:p>
      <w:pPr>
        <w:pStyle w:val="Heading2"/>
      </w:pPr>
      <w:r>
        <w:t xml:space="preserve">13. Setup &amp; running</w:t>
      </w:r>
    </w:p>
    <w:bookmarkStart w:id="66" w:name="environment-variables-env--envlocal"/>
    <w:p>
      <w:pPr>
        <w:pStyle w:val="Heading3"/>
      </w:pPr>
      <w:r>
        <w:t xml:space="preserve">Environment variables (</w:t>
      </w:r>
      <w:r>
        <w:rPr>
          <w:rStyle w:val="VerbatimChar"/>
        </w:rPr>
        <w:t xml:space="preserve">.env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)</w:t>
      </w:r>
    </w:p>
    <w:p>
      <w:pPr>
        <w:pStyle w:val="SourceCode"/>
      </w:pPr>
      <w:r>
        <w:rPr>
          <w:rStyle w:val="VariableTok"/>
        </w:rPr>
        <w:t xml:space="preserve">SESSION_SECRET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replace_with_at_least_32_chars</w:t>
      </w:r>
      <w:r>
        <w:br/>
      </w:r>
      <w:r>
        <w:rPr>
          <w:rStyle w:val="VariableTok"/>
        </w:rPr>
        <w:t xml:space="preserve">NEXT_PUBLIC_SUPABASE_URL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https://YOUR_PROJECT.supabase.co</w:t>
      </w:r>
      <w:r>
        <w:br/>
      </w:r>
      <w:r>
        <w:rPr>
          <w:rStyle w:val="VariableTok"/>
        </w:rPr>
        <w:t xml:space="preserve">SUPABASE_SERVICE_ROLE_KEY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YOUR_SERVICE_ROLE_KEY</w:t>
      </w:r>
    </w:p>
    <w:p>
      <w:pPr>
        <w:pStyle w:val="FirstParagraph"/>
      </w:pPr>
      <w:r>
        <w:rPr>
          <w:rStyle w:val="VerbatimChar"/>
        </w:rPr>
        <w:t xml:space="preserve">lib/env.ts</w:t>
      </w:r>
      <w:r>
        <w:t xml:space="preserve"> </w:t>
      </w:r>
      <w:r>
        <w:t xml:space="preserve">validates these at boot with Zod and throws if invalid.</w:t>
      </w:r>
    </w:p>
    <w:bookmarkEnd w:id="66"/>
    <w:bookmarkStart w:id="67" w:name="database"/>
    <w:p>
      <w:pPr>
        <w:pStyle w:val="Heading3"/>
      </w:pPr>
      <w:r>
        <w:t xml:space="preserve">Database</w:t>
      </w:r>
    </w:p>
    <w:p>
      <w:pPr>
        <w:pStyle w:val="FirstParagraph"/>
      </w:pPr>
      <w:r>
        <w:t xml:space="preserve">Run</w:t>
      </w:r>
      <w:r>
        <w:t xml:space="preserve"> </w:t>
      </w:r>
      <w:hyperlink r:id="rId49">
        <w:r>
          <w:rPr>
            <w:rStyle w:val="VerbatimChar"/>
          </w:rPr>
          <w:t xml:space="preserve">supabase/schema.sql</w:t>
        </w:r>
      </w:hyperlink>
      <w:r>
        <w:t xml:space="preserve"> </w:t>
      </w:r>
      <w:r>
        <w:t xml:space="preserve">in the Supabase SQL editor. It creates all tables,</w:t>
      </w:r>
      <w:r>
        <w:t xml:space="preserve"> </w:t>
      </w:r>
      <w:r>
        <w:t xml:space="preserve">sequences, the invoice-counter RPC, and seeds</w:t>
      </w:r>
      <w:r>
        <w:t xml:space="preserve"> </w:t>
      </w:r>
      <w:r>
        <w:rPr>
          <w:rStyle w:val="VerbatimChar"/>
        </w:rPr>
        <w:t xml:space="preserve">admin@gmail.com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operator@gmail.com</w:t>
      </w:r>
      <w:r>
        <w:t xml:space="preserve">.</w:t>
      </w:r>
    </w:p>
    <w:bookmarkEnd w:id="67"/>
    <w:bookmarkStart w:id="68" w:name="install--run"/>
    <w:p>
      <w:pPr>
        <w:pStyle w:val="Heading3"/>
      </w:pPr>
      <w:r>
        <w:t xml:space="preserve">Install &amp; run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</w:t>
      </w:r>
      <w:r>
        <w:rPr>
          <w:rStyle w:val="CommentTok"/>
        </w:rPr>
        <w:t xml:space="preserve"># http://localhost:3000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start   </w:t>
      </w:r>
      <w:r>
        <w:rPr>
          <w:rStyle w:val="CommentTok"/>
        </w:rPr>
        <w:t xml:space="preserve"># production</w:t>
      </w:r>
    </w:p>
    <w:bookmarkEnd w:id="68"/>
    <w:bookmarkStart w:id="69" w:name="scripts"/>
    <w:p>
      <w:pPr>
        <w:pStyle w:val="Heading3"/>
      </w:pPr>
      <w:r>
        <w:t xml:space="preserve">Scripts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dev</w:t>
            </w:r>
          </w:p>
        </w:tc>
        <w:tc>
          <w:tcPr/>
          <w:p>
            <w:pPr>
              <w:pStyle w:val="Compact"/>
            </w:pPr>
            <w:r>
              <w:t xml:space="preserve">Dev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start</w:t>
            </w:r>
          </w:p>
        </w:tc>
        <w:tc>
          <w:tcPr/>
          <w:p>
            <w:pPr>
              <w:pStyle w:val="Compact"/>
            </w:pPr>
            <w:r>
              <w:t xml:space="preserve">Production build / serve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lint</w:t>
            </w:r>
          </w:p>
        </w:tc>
        <w:tc>
          <w:tcPr/>
          <w:p>
            <w:pPr>
              <w:pStyle w:val="Compact"/>
            </w:pPr>
            <w:r>
              <w:t xml:space="preserve">ESLint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test</w:t>
            </w:r>
          </w:p>
        </w:tc>
        <w:tc>
          <w:tcPr/>
          <w:p>
            <w:pPr>
              <w:pStyle w:val="Compact"/>
            </w:pPr>
            <w:r>
              <w:t xml:space="preserve">Vitest (run once)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verify</w:t>
            </w:r>
          </w:p>
        </w:tc>
        <w:tc>
          <w:tcPr/>
          <w:p>
            <w:pPr>
              <w:pStyle w:val="Compact"/>
            </w:pPr>
            <w:r>
              <w:t xml:space="preserve">lint + test + build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1" w:name="Xea07f4a6a083be78c7a75ba875d5b83266de7b2"/>
    <w:p>
      <w:pPr>
        <w:pStyle w:val="Heading2"/>
      </w:pPr>
      <w:r>
        <w:t xml:space="preserve">14. Testing &amp; quality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Unit tests</w:t>
      </w:r>
      <w:r>
        <w:t xml:space="preserve"> </w:t>
      </w:r>
      <w:r>
        <w:t xml:space="preserve">(Vitest) cover the pure calculation utilities and number formatting:</w:t>
      </w:r>
      <w:r>
        <w:t xml:space="preserve"> </w:t>
      </w:r>
      <w:r>
        <w:rPr>
          <w:rStyle w:val="VerbatimChar"/>
        </w:rPr>
        <w:t xml:space="preserve">features/bilty/utils/calculations.test.ts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features/sales/utils/calculations.test.ts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lib/number-format.test.ts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Type safety:</w:t>
      </w:r>
      <w:r>
        <w:t xml:space="preserve"> </w:t>
      </w:r>
      <w:r>
        <w:t xml:space="preserve">TypeScript throughout, with</w:t>
      </w:r>
      <w:r>
        <w:t xml:space="preserve"> </w:t>
      </w:r>
      <w:r>
        <w:rPr>
          <w:b/>
          <w:bCs/>
        </w:rPr>
        <w:t xml:space="preserve">zero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as any</w:t>
      </w:r>
      <w:r>
        <w:t xml:space="preserve"> </w:t>
      </w:r>
      <w:r>
        <w:t xml:space="preserve">casts across the codebase.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Validation:</w:t>
      </w:r>
      <w:r>
        <w:t xml:space="preserve"> </w:t>
      </w:r>
      <w:r>
        <w:t xml:space="preserve">Zod at every Server Action boundary, plus DB constraints.</w:t>
      </w:r>
    </w:p>
    <w:p>
      <w:pPr>
        <w:pStyle w:val="FirstParagraph"/>
      </w:pPr>
      <w:r>
        <w:t xml:space="preserve">Gaps: services, Server Actions, and auth are not yet covered by tests (see §15).</w:t>
      </w:r>
    </w:p>
    <w:p>
      <w:r>
        <w:pict>
          <v:rect style="width:0;height:1.5pt" o:hralign="center" o:hrstd="t" o:hr="t"/>
        </w:pict>
      </w:r>
    </w:p>
    <w:bookmarkEnd w:id="71"/>
    <w:bookmarkStart w:id="72" w:name="X9463e17b87bef3230d48fbb6476b8450b4768e7"/>
    <w:p>
      <w:pPr>
        <w:pStyle w:val="Heading2"/>
      </w:pPr>
      <w:r>
        <w:t xml:space="preserve">15. Known limitations / hardening backlog</w:t>
      </w:r>
    </w:p>
    <w:p>
      <w:pPr>
        <w:pStyle w:val="FirstParagraph"/>
      </w:pPr>
      <w:r>
        <w:t xml:space="preserve">Documented so the trade-offs are explicit. None block a small, trusted-user deployment; they matter</w:t>
      </w:r>
      <w:r>
        <w:t xml:space="preserve"> </w:t>
      </w:r>
      <w:r>
        <w:t xml:space="preserve">at scale.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Row-Level Security.</w:t>
      </w:r>
      <w:r>
        <w:t xml:space="preserve"> </w:t>
      </w:r>
      <w:r>
        <w:t xml:space="preserve">All access uses the service-role key; protection is app-layer only.</w:t>
      </w:r>
      <w:r>
        <w:t xml:space="preserve"> </w:t>
      </w:r>
      <w:r>
        <w:t xml:space="preserve">Add RLS + anon key for defense in depth.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Read-modify-write bill numbers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purchases</w:t>
      </w:r>
      <w:r>
        <w:t xml:space="preserve">/</w:t>
      </w:r>
      <w:r>
        <w:rPr>
          <w:rStyle w:val="VerbatimChar"/>
        </w:rPr>
        <w:t xml:space="preserve">bilty</w:t>
      </w:r>
      <w:r>
        <w:t xml:space="preserve"> </w:t>
      </w:r>
      <w:r>
        <w:t xml:space="preserve">(race-prone; relies on a unique-constraint</w:t>
      </w:r>
      <w:r>
        <w:t xml:space="preserve"> </w:t>
      </w:r>
      <w:r>
        <w:t xml:space="preserve">error). Move to atomic sequences like</w:t>
      </w:r>
      <w:r>
        <w:t xml:space="preserve"> </w:t>
      </w:r>
      <w:r>
        <w:rPr>
          <w:rStyle w:val="VerbatimChar"/>
        </w:rPr>
        <w:t xml:space="preserve">next_company_invoice_seq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multi-table transactions.</w:t>
      </w:r>
      <w:r>
        <w:t xml:space="preserve"> </w:t>
      </w:r>
      <w:r>
        <w:t xml:space="preserve">Invoice header+items uses a best-effort compensating delete;</w:t>
      </w:r>
      <w:r>
        <w:t xml:space="preserve"> </w:t>
      </w:r>
      <w:r>
        <w:t xml:space="preserve">gunny payment+allocations can orphan a payment row on partial failure. Wrap in Postgres functions.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cache revalidation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revalidatePath</w:t>
      </w:r>
      <w:r>
        <w:t xml:space="preserve">/</w:t>
      </w:r>
      <w:r>
        <w:rPr>
          <w:rStyle w:val="VerbatimChar"/>
        </w:rPr>
        <w:t xml:space="preserve">revalidateTag</w:t>
      </w:r>
      <w:r>
        <w:t xml:space="preserve"> </w:t>
      </w:r>
      <w:r>
        <w:t xml:space="preserve">unused) — freshness relies on refetch.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Thin tests</w:t>
      </w:r>
      <w:r>
        <w:t xml:space="preserve"> </w:t>
      </w:r>
      <w:r>
        <w:t xml:space="preserve">— only pure calc functions are covered.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Inconsistent error surfacing</w:t>
      </w:r>
      <w:r>
        <w:t xml:space="preserve"> </w:t>
      </w:r>
      <w:r>
        <w:t xml:space="preserve">— most actions throw raw DB error strings to the client.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SESSION_SECRET</w:t>
      </w:r>
      <w:r>
        <w:rPr>
          <w:b/>
          <w:bCs/>
        </w:rPr>
        <w:t xml:space="preserve"> </w:t>
      </w:r>
      <w:r>
        <w:rPr>
          <w:b/>
          <w:bCs/>
        </w:rPr>
        <w:t xml:space="preserve">has a dev fallback default</w:t>
      </w:r>
      <w:r>
        <w:t xml:space="preserve"> </w:t>
      </w:r>
      <w:r>
        <w:t xml:space="preserve">— must hard-fail in production.</w:t>
      </w:r>
    </w:p>
    <w:p>
      <w:r>
        <w:pict>
          <v:rect style="width:0;height:1.5pt" o:hralign="center" o:hrstd="t" o:hr="t"/>
        </w:pict>
      </w:r>
    </w:p>
    <w:bookmarkEnd w:id="72"/>
    <w:bookmarkStart w:id="73" w:name="Xe59125275499ebfb6c1ac76304ddfba6bf0ee59"/>
    <w:p>
      <w:pPr>
        <w:pStyle w:val="Heading2"/>
      </w:pPr>
      <w:r>
        <w:t xml:space="preserve">16. Glossary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Bilty</w:t>
            </w:r>
          </w:p>
        </w:tc>
        <w:tc>
          <w:tcPr/>
          <w:p>
            <w:pPr>
              <w:pStyle w:val="Compact"/>
            </w:pPr>
            <w:r>
              <w:t xml:space="preserve">A transport consignment / goods-receipt note for moving grain.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Gunny</w:t>
            </w:r>
          </w:p>
        </w:tc>
        <w:tc>
          <w:tcPr/>
          <w:p>
            <w:pPr>
              <w:pStyle w:val="Compact"/>
            </w:pPr>
            <w:r>
              <w:t xml:space="preserve">Jute sacks used to hold grain; bought from sellers as a separate line of business.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Hamali</w:t>
            </w:r>
          </w:p>
        </w:tc>
        <w:tc>
          <w:tcPr/>
          <w:p>
            <w:pPr>
              <w:pStyle w:val="Compact"/>
            </w:pPr>
            <w:r>
              <w:t xml:space="preserve">Manual loading/unloading labor charges (an expense category).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Bag avg</w:t>
            </w:r>
          </w:p>
        </w:tc>
        <w:tc>
          <w:tcPr/>
          <w:p>
            <w:pPr>
              <w:pStyle w:val="Compact"/>
            </w:pPr>
            <w:r>
              <w:t xml:space="preserve">Net weight ÷ number of bags.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Less %</w:t>
            </w:r>
          </w:p>
        </w:tc>
        <w:tc>
          <w:tcPr/>
          <w:p>
            <w:pPr>
              <w:pStyle w:val="Compact"/>
            </w:pPr>
            <w:r>
              <w:t xml:space="preserve">Percentage weight deduction applied before computing amount.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Issuer company</w:t>
            </w:r>
          </w:p>
        </w:tc>
        <w:tc>
          <w:tcPr/>
          <w:p>
            <w:pPr>
              <w:pStyle w:val="Compact"/>
            </w:pPr>
            <w:r>
              <w:t xml:space="preserve">Your own trading entity that issues invoices.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Buyer company</w:t>
            </w:r>
          </w:p>
        </w:tc>
        <w:tc>
          <w:tcPr/>
          <w:p>
            <w:pPr>
              <w:pStyle w:val="Compact"/>
            </w:pPr>
            <w:r>
              <w:t xml:space="preserve">A customer company that buys grain.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Allocation</w:t>
            </w:r>
          </w:p>
        </w:tc>
        <w:tc>
          <w:tcPr/>
          <w:p>
            <w:pPr>
              <w:pStyle w:val="Compact"/>
            </w:pPr>
            <w:r>
              <w:t xml:space="preserve">Splitting one payment across multiple records (bills/sales/gunny rows).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Financial year</w:t>
            </w:r>
          </w:p>
        </w:tc>
        <w:tc>
          <w:tcPr/>
          <w:p>
            <w:pPr>
              <w:pStyle w:val="Compact"/>
            </w:pPr>
            <w:r>
              <w:t xml:space="preserve">April 1 → March 31 (India); resets bill counters and dashboard scope.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 = manual</w:t>
            </w:r>
          </w:p>
        </w:tc>
        <w:tc>
          <w:tcPr/>
          <w:p>
            <w:pPr>
              <w:pStyle w:val="Compact"/>
            </w:pPr>
            <w:r>
              <w:t xml:space="preserve">A row imported from legacy Excel; protected from in-app edit/delete.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6" w:name="X3efb68cb701d22e57075fd9556d7f713693632b"/>
    <w:p>
      <w:pPr>
        <w:pStyle w:val="Heading2"/>
      </w:pPr>
      <w:r>
        <w:t xml:space="preserve">17. Regenerating the diagrams</w:t>
      </w:r>
    </w:p>
    <w:p>
      <w:pPr>
        <w:pStyle w:val="FirstParagraph"/>
      </w:pPr>
      <w:r>
        <w:t xml:space="preserve">Diagram sources are the</w:t>
      </w:r>
      <w:r>
        <w:t xml:space="preserve"> </w:t>
      </w:r>
      <w:r>
        <w:rPr>
          <w:rStyle w:val="VerbatimChar"/>
        </w:rPr>
        <w:t xml:space="preserve">.mmd</w:t>
      </w:r>
      <w:r>
        <w:t xml:space="preserve"> </w:t>
      </w:r>
      <w:r>
        <w:t xml:space="preserve">files in</w:t>
      </w:r>
      <w:r>
        <w:t xml:space="preserve"> </w:t>
      </w:r>
      <w:hyperlink r:id="rId74">
        <w:r>
          <w:rPr>
            <w:rStyle w:val="VerbatimChar"/>
          </w:rPr>
          <w:t xml:space="preserve">diagrams/</w:t>
        </w:r>
      </w:hyperlink>
      <w:r>
        <w:t xml:space="preserve">; the committed</w:t>
      </w:r>
      <w:r>
        <w:t xml:space="preserve"> </w:t>
      </w:r>
      <w:r>
        <w:rPr>
          <w:rStyle w:val="VerbatimChar"/>
        </w:rPr>
        <w:t xml:space="preserve">.svg</w:t>
      </w:r>
      <w:r>
        <w:t xml:space="preserve"> </w:t>
      </w:r>
      <w:r>
        <w:t xml:space="preserve">files are</w:t>
      </w:r>
      <w:r>
        <w:t xml:space="preserve"> </w:t>
      </w:r>
      <w:r>
        <w:t xml:space="preserve">rendered output (</w:t>
      </w:r>
      <w:r>
        <w:rPr>
          <w:rStyle w:val="VerbatimChar"/>
        </w:rPr>
        <w:t xml:space="preserve">@mermaid-js/mermaid-cli</w:t>
      </w:r>
      <w:r>
        <w:t xml:space="preserve"> </w:t>
      </w:r>
      <w:r>
        <w:t xml:space="preserve">is a devDependency).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docs/diagrams/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.mmd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mmdc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.mmd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.svg"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docs/diagrams/mermaid-theme.json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transparent</w:t>
      </w:r>
      <w:r>
        <w:br/>
      </w:r>
      <w:r>
        <w:rPr>
          <w:rStyle w:val="ControlFlowTok"/>
        </w:rPr>
        <w:t xml:space="preserve">done</w:t>
      </w:r>
    </w:p>
    <w:p>
      <w:pPr>
        <w:pStyle w:val="BlockText"/>
      </w:pPr>
      <w:r>
        <w:t xml:space="preserve">On macOS the renderer uses the system Chrome via a Puppeteer config</w:t>
      </w:r>
      <w:r>
        <w:t xml:space="preserve"> </w:t>
      </w:r>
      <w:r>
        <w:t xml:space="preserve">(</w:t>
      </w:r>
      <w:r>
        <w:rPr>
          <w:rStyle w:val="VerbatimChar"/>
        </w:rPr>
        <w:t xml:space="preserve">executablePath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/Applications/Google Chrome.app/...</w:t>
      </w:r>
      <w:r>
        <w:t xml:space="preserve">). Adjust for your OS if needed.</w:t>
      </w:r>
    </w:p>
    <w:p>
      <w:r>
        <w:pict>
          <v:rect style="width:0;height:1.5pt" o:hralign="center" o:hrstd="t" o:hr="t"/>
        </w:pict>
      </w:r>
    </w:p>
    <w:bookmarkStart w:id="75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Shows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diagrams/01-high-level.svg</w:t>
            </w:r>
          </w:p>
        </w:tc>
        <w:tc>
          <w:tcPr/>
          <w:p>
            <w:pPr>
              <w:pStyle w:val="Compact"/>
            </w:pPr>
            <w:r>
              <w:t xml:space="preserve">System architecture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diagrams/02-feature-slice.svg</w:t>
            </w:r>
          </w:p>
        </w:tc>
        <w:tc>
          <w:tcPr/>
          <w:p>
            <w:pPr>
              <w:pStyle w:val="Compact"/>
            </w:pPr>
            <w:r>
              <w:t xml:space="preserve">Per-domain layering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diagrams/03-request-lifecycle.svg</w:t>
            </w:r>
          </w:p>
        </w:tc>
        <w:tc>
          <w:tcPr/>
          <w:p>
            <w:pPr>
              <w:pStyle w:val="Compact"/>
            </w:pPr>
            <w:r>
              <w:t xml:space="preserve">Mutation end-to-end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diagrams/04-auth.svg</w:t>
            </w:r>
          </w:p>
        </w:tc>
        <w:tc>
          <w:tcPr/>
          <w:p>
            <w:pPr>
              <w:pStyle w:val="Compact"/>
            </w:pPr>
            <w:r>
              <w:t xml:space="preserve">Login /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diagrams/05-route-map.svg</w:t>
            </w:r>
          </w:p>
        </w:tc>
        <w:tc>
          <w:tcPr/>
          <w:p>
            <w:pPr>
              <w:pStyle w:val="Compact"/>
            </w:pPr>
            <w:r>
              <w:t xml:space="preserve">All routes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diagrams/06-erd.svg</w:t>
            </w:r>
          </w:p>
        </w:tc>
        <w:tc>
          <w:tcPr/>
          <w:p>
            <w:pPr>
              <w:pStyle w:val="Compact"/>
            </w:pPr>
            <w:r>
              <w:t xml:space="preserve">Data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diagrams/07-invoice-flow.svg</w:t>
            </w:r>
          </w:p>
        </w:tc>
        <w:tc>
          <w:tcPr/>
          <w:p>
            <w:pPr>
              <w:pStyle w:val="Compact"/>
            </w:pPr>
            <w:r>
              <w:t xml:space="preserve">Invoice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diagrams/08-module-map.svg</w:t>
            </w:r>
          </w:p>
        </w:tc>
        <w:tc>
          <w:tcPr/>
          <w:p>
            <w:pPr>
              <w:pStyle w:val="Compact"/>
            </w:pPr>
            <w:r>
              <w:t xml:space="preserve">Business module relationships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diagrams/09-dashboard.svg</w:t>
            </w:r>
          </w:p>
        </w:tc>
        <w:tc>
          <w:tcPr/>
          <w:p>
            <w:pPr>
              <w:pStyle w:val="Compact"/>
            </w:pPr>
            <w:r>
              <w:t xml:space="preserve">Dashboard aggregation</w:t>
            </w:r>
          </w:p>
        </w:tc>
      </w:tr>
    </w:tbl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13" Target="media/rId13.png" /><Relationship Type="http://schemas.openxmlformats.org/officeDocument/2006/relationships/image" Id="rId62" Target="media/rId62.png" /><Relationship Type="http://schemas.openxmlformats.org/officeDocument/2006/relationships/hyperlink" Id="rId44" Target="../src/components/layout/Sidebar.tsx" TargetMode="External" /><Relationship Type="http://schemas.openxmlformats.org/officeDocument/2006/relationships/hyperlink" Id="rId61" Target="../src/lib/financial-year.ts" TargetMode="External" /><Relationship Type="http://schemas.openxmlformats.org/officeDocument/2006/relationships/hyperlink" Id="rId39" Target="../src/proxy.ts" TargetMode="External" /><Relationship Type="http://schemas.openxmlformats.org/officeDocument/2006/relationships/hyperlink" Id="rId49" Target="../supabase/schema.sql" TargetMode="External" /><Relationship Type="http://schemas.openxmlformats.org/officeDocument/2006/relationships/hyperlink" Id="rId9" Target="ARCHITECTURE.md" TargetMode="External" /><Relationship Type="http://schemas.openxmlformats.org/officeDocument/2006/relationships/hyperlink" Id="rId74" Target="diagram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../src/components/layout/Sidebar.tsx" TargetMode="External" /><Relationship Type="http://schemas.openxmlformats.org/officeDocument/2006/relationships/hyperlink" Id="rId61" Target="../src/lib/financial-year.ts" TargetMode="External" /><Relationship Type="http://schemas.openxmlformats.org/officeDocument/2006/relationships/hyperlink" Id="rId39" Target="../src/proxy.ts" TargetMode="External" /><Relationship Type="http://schemas.openxmlformats.org/officeDocument/2006/relationships/hyperlink" Id="rId49" Target="../supabase/schema.sql" TargetMode="External" /><Relationship Type="http://schemas.openxmlformats.org/officeDocument/2006/relationships/hyperlink" Id="rId9" Target="ARCHITECTURE.md" TargetMode="External" /><Relationship Type="http://schemas.openxmlformats.org/officeDocument/2006/relationships/hyperlink" Id="rId74" Target="diagram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PB Manager — Project Documentation</dc:title>
  <dc:creator>MB Groups</dc:creator>
  <cp:keywords/>
  <dcterms:created xsi:type="dcterms:W3CDTF">2026-06-10T06:00:12Z</dcterms:created>
  <dcterms:modified xsi:type="dcterms:W3CDTF">2026-06-10T06:00:12Z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