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53A5B"/>
          <w:sz w:val="48"/>
        </w:rPr>
        <w:t>16. Claude + Codex Broker Operating Model</w:t>
      </w:r>
    </w:p>
    <w:p>
      <w:pPr>
        <w:spacing w:after="200"/>
      </w:pPr>
      <w:r>
        <w:rPr>
          <w:rFonts w:ascii="Arial" w:hAnsi="Arial"/>
          <w:color w:val="52606D"/>
          <w:sz w:val="20"/>
        </w:rPr>
        <w:t>A broker-based extension to the controlled multi-agent business described in this guide</w:t>
      </w:r>
    </w:p>
    <w:tbl>
      <w:tblPr>
        <w:tblW w:type="auto" w:w="0"/>
        <w:jc w:val="center"/>
        <w:tblLayout w:type="fixed"/>
        <w:tblLook w:firstColumn="1" w:firstRow="1" w:lastColumn="0" w:lastRow="0" w:noHBand="0" w:noVBand="1" w:val="04A0"/>
        <w:tblBorders>
          <w:top w:val="single" w:sz="8" w:space="0" w:color="15868A"/>
          <w:left w:val="single" w:sz="8" w:space="0" w:color="15868A"/>
          <w:bottom w:val="single" w:sz="8" w:space="0" w:color="15868A"/>
          <w:right w:val="single" w:sz="8" w:space="0" w:color="15868A"/>
          <w:insideH w:val="single" w:sz="8" w:space="0" w:color="15868A"/>
          <w:insideV w:val="single" w:sz="8" w:space="0" w:color="15868A"/>
        </w:tblBorders>
      </w:tblPr>
      <w:tblGrid>
        <w:gridCol w:w="9720"/>
      </w:tblGrid>
      <w:tr>
        <w:tc>
          <w:tcPr>
            <w:tcW w:type="dxa" w:w="10368"/>
            <w:shd w:fill="E6F3F3"/>
            <w:tcMar>
              <w:top w:w="100" w:type="dxa"/>
              <w:start w:w="130" w:type="dxa"/>
              <w:bottom w:w="100" w:type="dxa"/>
              <w:end w:w="130" w:type="dxa"/>
            </w:tcMar>
          </w:tcPr>
          <w:p>
            <w:pPr>
              <w:spacing w:after="40"/>
            </w:pPr>
            <w:r>
              <w:rPr>
                <w:rFonts w:ascii="Arial" w:hAnsi="Arial"/>
                <w:b/>
                <w:color w:val="15868A"/>
                <w:sz w:val="20"/>
              </w:rPr>
              <w:t>Purpose of this addendum</w:t>
            </w:r>
          </w:p>
          <w:p>
            <w:pPr>
              <w:spacing w:after="0"/>
            </w:pPr>
            <w:r>
              <w:rPr>
                <w:rFonts w:ascii="Arial" w:hAnsi="Arial"/>
                <w:color w:val="1F2933"/>
                <w:sz w:val="18"/>
              </w:rPr>
              <w:t>The original guide defines specialized business and software roles, strict handoffs, least privilege, independent review, and human gates. This addendum keeps those controls but moves orchestration above any single model. Claude and Codex become interchangeable workers behind a central broker, and both contribute as a second voice at every important stage.</w:t>
            </w:r>
          </w:p>
        </w:tc>
      </w:tr>
    </w:tbl>
    <w:p>
      <w:pPr>
        <w:spacing w:after="0"/>
      </w:pPr>
    </w:p>
    <w:p>
      <w:pPr>
        <w:spacing w:before="120" w:after="80"/>
      </w:pPr>
      <w:r>
        <w:rPr>
          <w:rFonts w:ascii="Arial" w:hAnsi="Arial"/>
          <w:b/>
          <w:color w:val="153A5B"/>
          <w:sz w:val="30"/>
        </w:rPr>
        <w:t>16.1 What stays the same</w:t>
      </w:r>
    </w:p>
    <w:p>
      <w:pPr>
        <w:pStyle w:val="ListBullet"/>
        <w:spacing w:after="40"/>
        <w:ind w:left="259" w:hanging="173"/>
      </w:pPr>
      <w:r>
        <w:rPr>
          <w:rFonts w:ascii="Arial" w:hAnsi="Arial"/>
          <w:color w:val="1F2933"/>
          <w:sz w:val="18"/>
        </w:rPr>
        <w:t>One role owns one deliverable.</w:t>
      </w:r>
    </w:p>
    <w:p>
      <w:pPr>
        <w:pStyle w:val="ListBullet"/>
        <w:spacing w:after="40"/>
        <w:ind w:left="259" w:hanging="173"/>
      </w:pPr>
      <w:r>
        <w:rPr>
          <w:rFonts w:ascii="Arial" w:hAnsi="Arial"/>
          <w:color w:val="1F2933"/>
          <w:sz w:val="18"/>
        </w:rPr>
        <w:t>Agents receive explicit inputs and return a fixed universal handoff.</w:t>
      </w:r>
    </w:p>
    <w:p>
      <w:pPr>
        <w:pStyle w:val="ListBullet"/>
        <w:spacing w:after="40"/>
        <w:ind w:left="259" w:hanging="173"/>
      </w:pPr>
      <w:r>
        <w:rPr>
          <w:rFonts w:ascii="Arial" w:hAnsi="Arial"/>
          <w:color w:val="1F2933"/>
          <w:sz w:val="18"/>
        </w:rPr>
        <w:t>Planning and review roles remain read-only by default.</w:t>
      </w:r>
    </w:p>
    <w:p>
      <w:pPr>
        <w:pStyle w:val="ListBullet"/>
        <w:spacing w:after="40"/>
        <w:ind w:left="259" w:hanging="173"/>
      </w:pPr>
      <w:r>
        <w:rPr>
          <w:rFonts w:ascii="Arial" w:hAnsi="Arial"/>
          <w:color w:val="1F2933"/>
          <w:sz w:val="18"/>
        </w:rPr>
        <w:t>No agent approves its own work.</w:t>
      </w:r>
    </w:p>
    <w:p>
      <w:pPr>
        <w:pStyle w:val="ListBullet"/>
        <w:spacing w:after="40"/>
        <w:ind w:left="259" w:hanging="173"/>
      </w:pPr>
      <w:r>
        <w:rPr>
          <w:rFonts w:ascii="Arial" w:hAnsi="Arial"/>
          <w:color w:val="1F2933"/>
          <w:sz w:val="18"/>
        </w:rPr>
        <w:t>Deterministic evidence is required before release.</w:t>
      </w:r>
    </w:p>
    <w:p>
      <w:pPr>
        <w:pStyle w:val="ListBullet"/>
        <w:spacing w:after="40"/>
        <w:ind w:left="259" w:hanging="173"/>
      </w:pPr>
      <w:r>
        <w:rPr>
          <w:rFonts w:ascii="Arial" w:hAnsi="Arial"/>
          <w:color w:val="1F2933"/>
          <w:sz w:val="18"/>
        </w:rPr>
        <w:t>Humans approve material architecture, spending, legal risk, production changes, and releases.</w:t>
      </w:r>
    </w:p>
    <w:p>
      <w:pPr>
        <w:spacing w:before="120" w:after="80"/>
      </w:pPr>
      <w:r>
        <w:rPr>
          <w:rFonts w:ascii="Arial" w:hAnsi="Arial"/>
          <w:b/>
          <w:color w:val="153A5B"/>
          <w:sz w:val="30"/>
        </w:rPr>
        <w:t>16.2 What the broker adds</w:t>
      </w:r>
    </w:p>
    <w:p>
      <w:pPr>
        <w:pStyle w:val="ListBullet"/>
        <w:spacing w:after="40"/>
        <w:ind w:left="259" w:hanging="173"/>
      </w:pPr>
      <w:r>
        <w:rPr>
          <w:rFonts w:ascii="Arial" w:hAnsi="Arial"/>
          <w:color w:val="1F2933"/>
          <w:sz w:val="18"/>
        </w:rPr>
        <w:t>A durable work-unit queue with dependencies, priority, status, and audit history.</w:t>
      </w:r>
    </w:p>
    <w:p>
      <w:pPr>
        <w:pStyle w:val="ListBullet"/>
        <w:spacing w:after="40"/>
        <w:ind w:left="259" w:hanging="173"/>
      </w:pPr>
      <w:r>
        <w:rPr>
          <w:rFonts w:ascii="Arial" w:hAnsi="Arial"/>
          <w:color w:val="1F2933"/>
          <w:sz w:val="18"/>
        </w:rPr>
        <w:t>Dynamic routing: Claude or Codex may plan, code, test, or review based on suitability and current capacity.</w:t>
      </w:r>
    </w:p>
    <w:p>
      <w:pPr>
        <w:pStyle w:val="ListBullet"/>
        <w:spacing w:after="40"/>
        <w:ind w:left="259" w:hanging="173"/>
      </w:pPr>
      <w:r>
        <w:rPr>
          <w:rFonts w:ascii="Arial" w:hAnsi="Arial"/>
          <w:color w:val="1F2933"/>
          <w:sz w:val="18"/>
        </w:rPr>
        <w:t>A required second voice from the other model during planning and implementation review.</w:t>
      </w:r>
    </w:p>
    <w:p>
      <w:pPr>
        <w:pStyle w:val="ListBullet"/>
        <w:spacing w:after="40"/>
        <w:ind w:left="259" w:hanging="173"/>
      </w:pPr>
      <w:r>
        <w:rPr>
          <w:rFonts w:ascii="Arial" w:hAnsi="Arial"/>
          <w:color w:val="1F2933"/>
          <w:sz w:val="18"/>
        </w:rPr>
        <w:t>Isolated Git worktrees so one work unit cannot corrupt another.</w:t>
      </w:r>
    </w:p>
    <w:p>
      <w:pPr>
        <w:pStyle w:val="ListBullet"/>
        <w:spacing w:after="40"/>
        <w:ind w:left="259" w:hanging="173"/>
      </w:pPr>
      <w:r>
        <w:rPr>
          <w:rFonts w:ascii="Arial" w:hAnsi="Arial"/>
          <w:color w:val="1F2933"/>
          <w:sz w:val="18"/>
        </w:rPr>
        <w:t>A three-session quality panel with majority convergence and blocker rules.</w:t>
      </w:r>
    </w:p>
    <w:p>
      <w:pPr>
        <w:pStyle w:val="ListBullet"/>
        <w:spacing w:after="40"/>
        <w:ind w:left="259" w:hanging="173"/>
      </w:pPr>
      <w:r>
        <w:rPr>
          <w:rFonts w:ascii="Arial" w:hAnsi="Arial"/>
          <w:color w:val="1F2933"/>
          <w:sz w:val="18"/>
        </w:rPr>
        <w:t>Token, latency, failure, cooldown, and capacity-aware load balancing.</w:t>
      </w:r>
    </w:p>
    <w:p>
      <w:pPr>
        <w:pStyle w:val="ListBullet"/>
        <w:spacing w:after="40"/>
        <w:ind w:left="259" w:hanging="173"/>
      </w:pPr>
      <w:r>
        <w:rPr>
          <w:rFonts w:ascii="Arial" w:hAnsi="Arial"/>
          <w:color w:val="1F2933"/>
          <w:sz w:val="18"/>
        </w:rPr>
        <w:t>A bounded repair loop that returns defects to the owning role rather than letting reviewers silently fix them.</w:t>
      </w:r>
    </w:p>
    <w:tbl>
      <w:tblPr>
        <w:tblW w:type="auto" w:w="0"/>
        <w:jc w:val="center"/>
        <w:tblLayout w:type="fixed"/>
        <w:tblLook w:firstColumn="1" w:firstRow="1" w:lastColumn="0" w:lastRow="0" w:noHBand="0" w:noVBand="1" w:val="04A0"/>
        <w:tblBorders>
          <w:top w:val="single" w:sz="8" w:space="0" w:color="E88A2E"/>
          <w:left w:val="single" w:sz="8" w:space="0" w:color="E88A2E"/>
          <w:bottom w:val="single" w:sz="8" w:space="0" w:color="E88A2E"/>
          <w:right w:val="single" w:sz="8" w:space="0" w:color="E88A2E"/>
          <w:insideH w:val="single" w:sz="8" w:space="0" w:color="E88A2E"/>
          <w:insideV w:val="single" w:sz="8" w:space="0" w:color="E88A2E"/>
        </w:tblBorders>
      </w:tblPr>
      <w:tblGrid>
        <w:gridCol w:w="9720"/>
      </w:tblGrid>
      <w:tr>
        <w:tc>
          <w:tcPr>
            <w:tcW w:type="dxa" w:w="10368"/>
            <w:shd w:fill="FFF0E1"/>
            <w:tcMar>
              <w:top w:w="100" w:type="dxa"/>
              <w:start w:w="130" w:type="dxa"/>
              <w:bottom w:w="100" w:type="dxa"/>
              <w:end w:w="130" w:type="dxa"/>
            </w:tcMar>
          </w:tcPr>
          <w:p>
            <w:pPr>
              <w:spacing w:after="40"/>
            </w:pPr>
            <w:r>
              <w:rPr>
                <w:rFonts w:ascii="Arial" w:hAnsi="Arial"/>
                <w:b/>
                <w:color w:val="E88A2E"/>
                <w:sz w:val="20"/>
              </w:rPr>
              <w:t>Core principle</w:t>
            </w:r>
          </w:p>
          <w:p>
            <w:pPr>
              <w:spacing w:after="0"/>
            </w:pPr>
            <w:r>
              <w:rPr>
                <w:rFonts w:ascii="Arial" w:hAnsi="Arial"/>
                <w:color w:val="1F2933"/>
                <w:sz w:val="18"/>
              </w:rPr>
              <w:t>Roles are stable; models are replaceable. The Solution Architect, Code Writer, QA Engineer, and PR Reviewer remain distinct responsibilities, but the broker decides whether Claude or Codex fills each role for a particular work unit.</w:t>
            </w:r>
          </w:p>
        </w:tc>
      </w:tr>
    </w:tbl>
    <w:p>
      <w:pPr>
        <w:spacing w:after="0"/>
      </w:pPr>
    </w:p>
    <w:p>
      <w:r>
        <w:br w:type="page"/>
      </w:r>
    </w:p>
    <w:p>
      <w:pPr>
        <w:spacing w:after="80"/>
      </w:pPr>
      <w:r>
        <w:rPr>
          <w:rFonts w:ascii="Arial" w:hAnsi="Arial"/>
          <w:b/>
          <w:color w:val="153A5B"/>
          <w:sz w:val="48"/>
        </w:rPr>
        <w:t>17. Broker-Centered Company Architecture</w:t>
      </w:r>
    </w:p>
    <w:p>
      <w:pPr>
        <w:spacing w:after="100" w:line="252" w:lineRule="auto"/>
      </w:pPr>
      <w:r>
        <w:rPr>
          <w:rFonts w:ascii="Arial" w:hAnsi="Arial"/>
          <w:color w:val="1F2933"/>
          <w:sz w:val="19"/>
        </w:rPr>
        <w:t>The broker sits between the company roles defined in Sections 3-4 and the model providers. It does not replace the Chief of Staff; it operationalizes the Chief of Staff rules as software-enforced routing, permissions, work isolation, quality gates, and audit records.</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a_hand_drawn_sketchy_architecture_diagram_on_a_whi.png"/>
                    <pic:cNvPicPr/>
                  </pic:nvPicPr>
                  <pic:blipFill>
                    <a:blip r:embed="rId11"/>
                    <a:stretch>
                      <a:fillRect/>
                    </a:stretch>
                  </pic:blipFill>
                  <pic:spPr>
                    <a:xfrm>
                      <a:off x="0" y="0"/>
                      <a:ext cx="6172200" cy="4114800"/>
                    </a:xfrm>
                    <a:prstGeom prst="rect"/>
                  </pic:spPr>
                </pic:pic>
              </a:graphicData>
            </a:graphic>
          </wp:inline>
        </w:drawing>
      </w:r>
    </w:p>
    <w:tbl>
      <w:tblPr>
        <w:tblW w:type="auto" w:w="0"/>
        <w:jc w:val="center"/>
        <w:tblLayout w:type="fixed"/>
        <w:tblLook w:firstColumn="1" w:firstRow="1" w:lastColumn="0" w:lastRow="0" w:noHBand="0" w:noVBand="1" w:val="04A0"/>
        <w:tblBorders>
          <w:top w:val="single" w:sz="8" w:space="0" w:color="153A5B"/>
          <w:left w:val="single" w:sz="8" w:space="0" w:color="153A5B"/>
          <w:bottom w:val="single" w:sz="8" w:space="0" w:color="153A5B"/>
          <w:right w:val="single" w:sz="8" w:space="0" w:color="153A5B"/>
          <w:insideH w:val="single" w:sz="8" w:space="0" w:color="153A5B"/>
          <w:insideV w:val="single" w:sz="8" w:space="0" w:color="153A5B"/>
        </w:tblBorders>
      </w:tblPr>
      <w:tblGrid>
        <w:gridCol w:w="9720"/>
      </w:tblGrid>
      <w:tr>
        <w:tc>
          <w:tcPr>
            <w:tcW w:type="dxa" w:w="10368"/>
            <w:shd w:fill="EAF2F8"/>
            <w:tcMar>
              <w:top w:w="100" w:type="dxa"/>
              <w:start w:w="130" w:type="dxa"/>
              <w:bottom w:w="100" w:type="dxa"/>
              <w:end w:w="130" w:type="dxa"/>
            </w:tcMar>
          </w:tcPr>
          <w:p>
            <w:pPr>
              <w:spacing w:after="40"/>
            </w:pPr>
            <w:r>
              <w:rPr>
                <w:rFonts w:ascii="Arial" w:hAnsi="Arial"/>
                <w:b/>
                <w:color w:val="153A5B"/>
                <w:sz w:val="20"/>
              </w:rPr>
              <w:t>Reading the diagram</w:t>
            </w:r>
          </w:p>
          <w:p>
            <w:pPr>
              <w:spacing w:after="0"/>
            </w:pPr>
            <w:r>
              <w:rPr>
                <w:rFonts w:ascii="Arial" w:hAnsi="Arial"/>
                <w:color w:val="1F2933"/>
                <w:sz w:val="18"/>
              </w:rPr>
              <w:t>Ideas, requirements, roadmaps, or agent skills create work units. The broker queues and routes them to Claude Code CLI or Codex CLI, supervises execution in isolated worktrees, runs deterministic checks, convenes an independent review panel, and produces an approved branch, report, or pull request for human review.</w:t>
            </w:r>
          </w:p>
        </w:tc>
      </w:tr>
    </w:tbl>
    <w:p>
      <w:pPr>
        <w:spacing w:after="0"/>
      </w:pPr>
    </w:p>
    <w:p>
      <w:r>
        <w:br w:type="page"/>
      </w:r>
    </w:p>
    <w:p>
      <w:pPr>
        <w:spacing w:after="80"/>
      </w:pPr>
      <w:r>
        <w:rPr>
          <w:rFonts w:ascii="Arial" w:hAnsi="Arial"/>
          <w:b/>
          <w:color w:val="153A5B"/>
          <w:sz w:val="48"/>
        </w:rPr>
        <w:t>18. Company Structure with the Broker in Front</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56"/>
        <w:gridCol w:w="3456"/>
        <w:gridCol w:w="3456"/>
      </w:tblGrid>
      <w:tr>
        <w:trPr>
          <w:tblHeader w:val="true"/>
        </w:trPr>
        <w:tc>
          <w:tcPr>
            <w:tcW w:type="dxa" w:w="1656"/>
            <w:shd w:fill="153A5B"/>
            <w:tcMar>
              <w:top w:w="90" w:type="dxa"/>
              <w:start w:w="100" w:type="dxa"/>
              <w:bottom w:w="90" w:type="dxa"/>
              <w:end w:w="100" w:type="dxa"/>
            </w:tcMar>
            <w:vAlign w:val="center"/>
          </w:tcPr>
          <w:p>
            <w:pPr>
              <w:spacing w:after="0"/>
            </w:pPr>
            <w:r>
              <w:rPr>
                <w:rFonts w:ascii="Arial" w:hAnsi="Arial"/>
                <w:b/>
                <w:color w:val="FFFFFF"/>
                <w:sz w:val="15"/>
              </w:rPr>
              <w:t>Layer</w:t>
            </w:r>
          </w:p>
        </w:tc>
        <w:tc>
          <w:tcPr>
            <w:tcW w:type="dxa" w:w="5112"/>
            <w:shd w:fill="153A5B"/>
            <w:tcMar>
              <w:top w:w="90" w:type="dxa"/>
              <w:start w:w="100" w:type="dxa"/>
              <w:bottom w:w="90" w:type="dxa"/>
              <w:end w:w="100" w:type="dxa"/>
            </w:tcMar>
            <w:vAlign w:val="center"/>
          </w:tcPr>
          <w:p>
            <w:pPr>
              <w:spacing w:after="0"/>
            </w:pPr>
            <w:r>
              <w:rPr>
                <w:rFonts w:ascii="Arial" w:hAnsi="Arial"/>
                <w:b/>
                <w:color w:val="FFFFFF"/>
                <w:sz w:val="15"/>
              </w:rPr>
              <w:t>Stable responsibilities</w:t>
            </w:r>
          </w:p>
        </w:tc>
        <w:tc>
          <w:tcPr>
            <w:tcW w:type="dxa" w:w="2952"/>
            <w:shd w:fill="153A5B"/>
            <w:tcMar>
              <w:top w:w="90" w:type="dxa"/>
              <w:start w:w="100" w:type="dxa"/>
              <w:bottom w:w="90" w:type="dxa"/>
              <w:end w:w="100" w:type="dxa"/>
            </w:tcMar>
            <w:vAlign w:val="center"/>
          </w:tcPr>
          <w:p>
            <w:pPr>
              <w:spacing w:after="0"/>
            </w:pPr>
            <w:r>
              <w:rPr>
                <w:rFonts w:ascii="Arial" w:hAnsi="Arial"/>
                <w:b/>
                <w:color w:val="FFFFFF"/>
                <w:sz w:val="15"/>
              </w:rPr>
              <w:t>Who may execute</w:t>
            </w:r>
          </w:p>
        </w:tc>
      </w:tr>
      <w:tr>
        <w:tc>
          <w:tcPr>
            <w:tcW w:type="dxa" w:w="1656"/>
            <w:shd w:fill="FFFFFF"/>
            <w:tcMar>
              <w:top w:w="90" w:type="dxa"/>
              <w:start w:w="100" w:type="dxa"/>
              <w:bottom w:w="90" w:type="dxa"/>
              <w:end w:w="100" w:type="dxa"/>
            </w:tcMar>
            <w:vAlign w:val="top"/>
          </w:tcPr>
          <w:p>
            <w:pPr>
              <w:spacing w:after="0"/>
            </w:pPr>
            <w:r>
              <w:rPr>
                <w:rFonts w:ascii="Arial" w:hAnsi="Arial"/>
                <w:color w:val="1F2933"/>
                <w:sz w:val="15"/>
              </w:rPr>
              <w:t>Human leadership</w:t>
            </w:r>
          </w:p>
        </w:tc>
        <w:tc>
          <w:tcPr>
            <w:tcW w:type="dxa" w:w="5112"/>
            <w:shd w:fill="FFFFFF"/>
            <w:tcMar>
              <w:top w:w="90" w:type="dxa"/>
              <w:start w:w="100" w:type="dxa"/>
              <w:bottom w:w="90" w:type="dxa"/>
              <w:end w:w="100" w:type="dxa"/>
            </w:tcMar>
            <w:vAlign w:val="top"/>
          </w:tcPr>
          <w:p>
            <w:pPr>
              <w:spacing w:after="0"/>
            </w:pPr>
            <w:r>
              <w:rPr>
                <w:rFonts w:ascii="Arial" w:hAnsi="Arial"/>
                <w:color w:val="1F2933"/>
                <w:sz w:val="15"/>
              </w:rPr>
              <w:t>Vision, budget, legal responsibility, material approvals, production release</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Owner, executives, authorized humans</w:t>
            </w:r>
          </w:p>
        </w:tc>
      </w:tr>
      <w:tr>
        <w:tc>
          <w:tcPr>
            <w:tcW w:type="dxa" w:w="1656"/>
            <w:shd w:fill="F5F7FA"/>
            <w:tcMar>
              <w:top w:w="90" w:type="dxa"/>
              <w:start w:w="100" w:type="dxa"/>
              <w:bottom w:w="90" w:type="dxa"/>
              <w:end w:w="100" w:type="dxa"/>
            </w:tcMar>
            <w:vAlign w:val="top"/>
          </w:tcPr>
          <w:p>
            <w:pPr>
              <w:spacing w:after="0"/>
            </w:pPr>
            <w:r>
              <w:rPr>
                <w:rFonts w:ascii="Arial" w:hAnsi="Arial"/>
                <w:color w:val="1F2933"/>
                <w:sz w:val="15"/>
              </w:rPr>
              <w:t>Executive board</w:t>
            </w:r>
          </w:p>
        </w:tc>
        <w:tc>
          <w:tcPr>
            <w:tcW w:type="dxa" w:w="5112"/>
            <w:shd w:fill="F5F7FA"/>
            <w:tcMar>
              <w:top w:w="90" w:type="dxa"/>
              <w:start w:w="100" w:type="dxa"/>
              <w:bottom w:w="90" w:type="dxa"/>
              <w:end w:w="100" w:type="dxa"/>
            </w:tcMar>
            <w:vAlign w:val="top"/>
          </w:tcPr>
          <w:p>
            <w:pPr>
              <w:spacing w:after="0"/>
            </w:pPr>
            <w:r>
              <w:rPr>
                <w:rFonts w:ascii="Arial" w:hAnsi="Arial"/>
                <w:color w:val="1F2933"/>
                <w:sz w:val="15"/>
              </w:rPr>
              <w:t>Strategy, program planning, business analysis, product scope, risk decisions</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Claude or Codex selected per work unit; the other model critiques</w:t>
            </w:r>
          </w:p>
        </w:tc>
      </w:tr>
      <w:tr>
        <w:tc>
          <w:tcPr>
            <w:tcW w:type="dxa" w:w="1656"/>
            <w:shd w:fill="FFFFFF"/>
            <w:tcMar>
              <w:top w:w="90" w:type="dxa"/>
              <w:start w:w="100" w:type="dxa"/>
              <w:bottom w:w="90" w:type="dxa"/>
              <w:end w:w="100" w:type="dxa"/>
            </w:tcMar>
            <w:vAlign w:val="top"/>
          </w:tcPr>
          <w:p>
            <w:pPr>
              <w:spacing w:after="0"/>
            </w:pPr>
            <w:r>
              <w:rPr>
                <w:rFonts w:ascii="Arial" w:hAnsi="Arial"/>
                <w:color w:val="1F2933"/>
                <w:sz w:val="15"/>
              </w:rPr>
              <w:t>Broker management</w:t>
            </w:r>
          </w:p>
        </w:tc>
        <w:tc>
          <w:tcPr>
            <w:tcW w:type="dxa" w:w="5112"/>
            <w:shd w:fill="FFFFFF"/>
            <w:tcMar>
              <w:top w:w="90" w:type="dxa"/>
              <w:start w:w="100" w:type="dxa"/>
              <w:bottom w:w="90" w:type="dxa"/>
              <w:end w:w="100" w:type="dxa"/>
            </w:tcMar>
            <w:vAlign w:val="top"/>
          </w:tcPr>
          <w:p>
            <w:pPr>
              <w:spacing w:after="0"/>
            </w:pPr>
            <w:r>
              <w:rPr>
                <w:rFonts w:ascii="Arial" w:hAnsi="Arial"/>
                <w:color w:val="1F2933"/>
                <w:sz w:val="15"/>
              </w:rPr>
              <w:t>Queue, routing, model health, capacity, permissions, audit, retries, quality policy</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Deterministic broker service - not an LLM opinion</w:t>
            </w:r>
          </w:p>
        </w:tc>
      </w:tr>
      <w:tr>
        <w:tc>
          <w:tcPr>
            <w:tcW w:type="dxa" w:w="1656"/>
            <w:shd w:fill="F5F7FA"/>
            <w:tcMar>
              <w:top w:w="90" w:type="dxa"/>
              <w:start w:w="100" w:type="dxa"/>
              <w:bottom w:w="90" w:type="dxa"/>
              <w:end w:w="100" w:type="dxa"/>
            </w:tcMar>
            <w:vAlign w:val="top"/>
          </w:tcPr>
          <w:p>
            <w:pPr>
              <w:spacing w:after="0"/>
            </w:pPr>
            <w:r>
              <w:rPr>
                <w:rFonts w:ascii="Arial" w:hAnsi="Arial"/>
                <w:color w:val="1F2933"/>
                <w:sz w:val="15"/>
              </w:rPr>
              <w:t>Product and design</w:t>
            </w:r>
          </w:p>
        </w:tc>
        <w:tc>
          <w:tcPr>
            <w:tcW w:type="dxa" w:w="5112"/>
            <w:shd w:fill="F5F7FA"/>
            <w:tcMar>
              <w:top w:w="90" w:type="dxa"/>
              <w:start w:w="100" w:type="dxa"/>
              <w:bottom w:w="90" w:type="dxa"/>
              <w:end w:w="100" w:type="dxa"/>
            </w:tcMar>
            <w:vAlign w:val="top"/>
          </w:tcPr>
          <w:p>
            <w:pPr>
              <w:spacing w:after="0"/>
            </w:pPr>
            <w:r>
              <w:rPr>
                <w:rFonts w:ascii="Arial" w:hAnsi="Arial"/>
                <w:color w:val="1F2933"/>
                <w:sz w:val="15"/>
              </w:rPr>
              <w:t>Product management, user stories, UX flows, accessibility, success metrics</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Best eligible model plus an independent second voice</w:t>
            </w:r>
          </w:p>
        </w:tc>
      </w:tr>
      <w:tr>
        <w:tc>
          <w:tcPr>
            <w:tcW w:type="dxa" w:w="1656"/>
            <w:shd w:fill="FFFFFF"/>
            <w:tcMar>
              <w:top w:w="90" w:type="dxa"/>
              <w:start w:w="100" w:type="dxa"/>
              <w:bottom w:w="90" w:type="dxa"/>
              <w:end w:w="100" w:type="dxa"/>
            </w:tcMar>
            <w:vAlign w:val="top"/>
          </w:tcPr>
          <w:p>
            <w:pPr>
              <w:spacing w:after="0"/>
            </w:pPr>
            <w:r>
              <w:rPr>
                <w:rFonts w:ascii="Arial" w:hAnsi="Arial"/>
                <w:color w:val="1F2933"/>
                <w:sz w:val="15"/>
              </w:rPr>
              <w:t>Engineering</w:t>
            </w:r>
          </w:p>
        </w:tc>
        <w:tc>
          <w:tcPr>
            <w:tcW w:type="dxa" w:w="5112"/>
            <w:shd w:fill="FFFFFF"/>
            <w:tcMar>
              <w:top w:w="90" w:type="dxa"/>
              <w:start w:w="100" w:type="dxa"/>
              <w:bottom w:w="90" w:type="dxa"/>
              <w:end w:w="100" w:type="dxa"/>
            </w:tcMar>
            <w:vAlign w:val="top"/>
          </w:tcPr>
          <w:p>
            <w:pPr>
              <w:spacing w:after="0"/>
            </w:pPr>
            <w:r>
              <w:rPr>
                <w:rFonts w:ascii="Arial" w:hAnsi="Arial"/>
                <w:color w:val="1F2933"/>
                <w:sz w:val="15"/>
              </w:rPr>
              <w:t>Architecture, security design, code research, implementation, testing, DevOps</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Claude and Codex dynamically assigned by stage</w:t>
            </w:r>
          </w:p>
        </w:tc>
      </w:tr>
      <w:tr>
        <w:tc>
          <w:tcPr>
            <w:tcW w:type="dxa" w:w="1656"/>
            <w:shd w:fill="F5F7FA"/>
            <w:tcMar>
              <w:top w:w="90" w:type="dxa"/>
              <w:start w:w="100" w:type="dxa"/>
              <w:bottom w:w="90" w:type="dxa"/>
              <w:end w:w="100" w:type="dxa"/>
            </w:tcMar>
            <w:vAlign w:val="top"/>
          </w:tcPr>
          <w:p>
            <w:pPr>
              <w:spacing w:after="0"/>
            </w:pPr>
            <w:r>
              <w:rPr>
                <w:rFonts w:ascii="Arial" w:hAnsi="Arial"/>
                <w:color w:val="1F2933"/>
                <w:sz w:val="15"/>
              </w:rPr>
              <w:t>Quality board</w:t>
            </w:r>
          </w:p>
        </w:tc>
        <w:tc>
          <w:tcPr>
            <w:tcW w:type="dxa" w:w="5112"/>
            <w:shd w:fill="F5F7FA"/>
            <w:tcMar>
              <w:top w:w="90" w:type="dxa"/>
              <w:start w:w="100" w:type="dxa"/>
              <w:bottom w:w="90" w:type="dxa"/>
              <w:end w:w="100" w:type="dxa"/>
            </w:tcMar>
            <w:vAlign w:val="top"/>
          </w:tcPr>
          <w:p>
            <w:pPr>
              <w:spacing w:after="0"/>
            </w:pPr>
            <w:r>
              <w:rPr>
                <w:rFonts w:ascii="Arial" w:hAnsi="Arial"/>
                <w:color w:val="1F2933"/>
                <w:sz w:val="15"/>
              </w:rPr>
              <w:t>QA, PR review, security review, release recommendation</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Fresh independent sessions; reviewers are read-only</w:t>
            </w:r>
          </w:p>
        </w:tc>
      </w:tr>
      <w:tr>
        <w:tc>
          <w:tcPr>
            <w:tcW w:type="dxa" w:w="1656"/>
            <w:shd w:fill="FFFFFF"/>
            <w:tcMar>
              <w:top w:w="90" w:type="dxa"/>
              <w:start w:w="100" w:type="dxa"/>
              <w:bottom w:w="90" w:type="dxa"/>
              <w:end w:w="100" w:type="dxa"/>
            </w:tcMar>
            <w:vAlign w:val="top"/>
          </w:tcPr>
          <w:p>
            <w:pPr>
              <w:spacing w:after="0"/>
            </w:pPr>
            <w:r>
              <w:rPr>
                <w:rFonts w:ascii="Arial" w:hAnsi="Arial"/>
                <w:color w:val="1F2933"/>
                <w:sz w:val="15"/>
              </w:rPr>
              <w:t>Operations</w:t>
            </w:r>
          </w:p>
        </w:tc>
        <w:tc>
          <w:tcPr>
            <w:tcW w:type="dxa" w:w="5112"/>
            <w:shd w:fill="FFFFFF"/>
            <w:tcMar>
              <w:top w:w="90" w:type="dxa"/>
              <w:start w:w="100" w:type="dxa"/>
              <w:bottom w:w="90" w:type="dxa"/>
              <w:end w:w="100" w:type="dxa"/>
            </w:tcMar>
            <w:vAlign w:val="top"/>
          </w:tcPr>
          <w:p>
            <w:pPr>
              <w:spacing w:after="0"/>
            </w:pPr>
            <w:r>
              <w:rPr>
                <w:rFonts w:ascii="Arial" w:hAnsi="Arial"/>
                <w:color w:val="1F2933"/>
                <w:sz w:val="15"/>
              </w:rPr>
              <w:t>Monitoring, support, incident response, analytics, learning loop</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Specialized agents plus deterministic systems</w:t>
            </w:r>
          </w:p>
        </w:tc>
      </w:tr>
    </w:tbl>
    <w:p>
      <w:pPr>
        <w:spacing w:after="0"/>
      </w:pPr>
    </w:p>
    <w:p>
      <w:pPr>
        <w:spacing w:before="120" w:after="80"/>
      </w:pPr>
      <w:r>
        <w:rPr>
          <w:rFonts w:ascii="Arial" w:hAnsi="Arial"/>
          <w:b/>
          <w:color w:val="153A5B"/>
          <w:sz w:val="30"/>
        </w:rPr>
        <w:t>18.1 Chief of Staff and broker relationship</w:t>
      </w:r>
    </w:p>
    <w:p>
      <w:pPr>
        <w:pStyle w:val="ListBullet"/>
        <w:spacing w:after="40"/>
        <w:ind w:left="259" w:hanging="173"/>
      </w:pPr>
      <w:r>
        <w:rPr>
          <w:rFonts w:ascii="Arial" w:hAnsi="Arial"/>
          <w:color w:val="1F2933"/>
          <w:sz w:val="18"/>
        </w:rPr>
        <w:t>The Chief of Staff interprets the request, chooses the business workflow, and confirms approval gates.</w:t>
      </w:r>
    </w:p>
    <w:p>
      <w:pPr>
        <w:pStyle w:val="ListBullet"/>
        <w:spacing w:after="40"/>
        <w:ind w:left="259" w:hanging="173"/>
      </w:pPr>
      <w:r>
        <w:rPr>
          <w:rFonts w:ascii="Arial" w:hAnsi="Arial"/>
          <w:color w:val="1F2933"/>
          <w:sz w:val="18"/>
        </w:rPr>
        <w:t>The Program Manager and Product Manager break approved outcomes into epics and work units.</w:t>
      </w:r>
    </w:p>
    <w:p>
      <w:pPr>
        <w:pStyle w:val="ListBullet"/>
        <w:spacing w:after="40"/>
        <w:ind w:left="259" w:hanging="173"/>
      </w:pPr>
      <w:r>
        <w:rPr>
          <w:rFonts w:ascii="Arial" w:hAnsi="Arial"/>
          <w:color w:val="1F2933"/>
          <w:sz w:val="18"/>
        </w:rPr>
        <w:t>The broker validates each work unit, selects the model, creates the isolated workspace, and enforces the execution policy.</w:t>
      </w:r>
    </w:p>
    <w:p>
      <w:pPr>
        <w:pStyle w:val="ListBullet"/>
        <w:spacing w:after="40"/>
        <w:ind w:left="259" w:hanging="173"/>
      </w:pPr>
      <w:r>
        <w:rPr>
          <w:rFonts w:ascii="Arial" w:hAnsi="Arial"/>
          <w:color w:val="1F2933"/>
          <w:sz w:val="18"/>
        </w:rPr>
        <w:t>Specialist agents own deliverables; the broker owns sequencing, evidence collection, and completion status.</w:t>
      </w:r>
    </w:p>
    <w:p>
      <w:pPr>
        <w:pStyle w:val="ListBullet"/>
        <w:spacing w:after="40"/>
        <w:ind w:left="259" w:hanging="173"/>
      </w:pPr>
      <w:r>
        <w:rPr>
          <w:rFonts w:ascii="Arial" w:hAnsi="Arial"/>
          <w:color w:val="1F2933"/>
          <w:sz w:val="18"/>
        </w:rPr>
        <w:t>The human owner can pause, reprioritize, reject, or require additional review at any point.</w:t>
      </w:r>
    </w:p>
    <w:p>
      <w:pPr>
        <w:spacing w:before="120" w:after="80"/>
      </w:pPr>
      <w:r>
        <w:rPr>
          <w:rFonts w:ascii="Arial" w:hAnsi="Arial"/>
          <w:b/>
          <w:color w:val="153A5B"/>
          <w:sz w:val="30"/>
        </w:rPr>
        <w:t>18.2 The work-unit contract</w:t>
      </w:r>
    </w:p>
    <w:tbl>
      <w:tblPr>
        <w:tblW w:type="auto" w:w="0"/>
        <w:jc w:val="center"/>
        <w:tblLook w:firstColumn="1" w:firstRow="1" w:lastColumn="0" w:lastRow="0" w:noHBand="0" w:noVBand="1" w:val="04A0"/>
        <w:tblBorders>
          <w:top w:val="single" w:sz="4" w:space="0" w:color="CBD2D9"/>
          <w:left w:val="single" w:sz="4" w:space="0" w:color="CBD2D9"/>
          <w:bottom w:val="single" w:sz="4" w:space="0" w:color="CBD2D9"/>
          <w:right w:val="single" w:sz="4" w:space="0" w:color="CBD2D9"/>
          <w:insideH w:val="single" w:sz="4" w:space="0" w:color="CBD2D9"/>
          <w:insideV w:val="single" w:sz="4" w:space="0" w:color="CBD2D9"/>
        </w:tblBorders>
      </w:tblPr>
      <w:tblGrid>
        <w:gridCol w:w="10368"/>
      </w:tblGrid>
      <w:tr>
        <w:tc>
          <w:tcPr>
            <w:tcW w:type="dxa" w:w="10368"/>
            <w:shd w:fill="F4F6F8"/>
            <w:tcMar>
              <w:top w:w="90" w:type="dxa"/>
              <w:start w:w="110" w:type="dxa"/>
              <w:bottom w:w="90" w:type="dxa"/>
              <w:end w:w="110" w:type="dxa"/>
            </w:tcMar>
          </w:tcPr>
          <w:p>
            <w:pPr>
              <w:spacing w:after="0"/>
            </w:pPr>
            <w:r>
              <w:rPr>
                <w:rFonts w:ascii="Liberation Mono" w:hAnsi="Liberation Mono"/>
                <w:color w:val="1F2933"/>
                <w:sz w:val="15"/>
              </w:rPr>
              <w:t>{</w:t>
              <w:br/>
              <w:t xml:space="preserve">  "id": "contact-form",</w:t>
              <w:br/>
              <w:t xml:space="preserve">  "goal": "Create a production-ready contact form",</w:t>
              <w:br/>
              <w:t xml:space="preserve">  "acceptanceCriteria": ["validates input", "tests pass"],</w:t>
              <w:br/>
              <w:t xml:space="preserve">  "constraints": ["follow existing Astro architecture"],</w:t>
              <w:br/>
              <w:t xml:space="preserve">  "risk": "medium",</w:t>
              <w:br/>
              <w:t xml:space="preserve">  "preferredProvider": "auto",</w:t>
              <w:br/>
              <w:t xml:space="preserve">  "dependencies": []</w:t>
              <w:br/>
              <w:t>}</w:t>
            </w:r>
          </w:p>
        </w:tc>
      </w:tr>
    </w:tbl>
    <w:p>
      <w:r>
        <w:br w:type="page"/>
      </w:r>
    </w:p>
    <w:p>
      <w:pPr>
        <w:spacing w:after="80"/>
      </w:pPr>
      <w:r>
        <w:rPr>
          <w:rFonts w:ascii="Arial" w:hAnsi="Arial"/>
          <w:b/>
          <w:color w:val="153A5B"/>
          <w:sz w:val="48"/>
        </w:rPr>
        <w:t>19. End-to-End Broker Workflow</w:t>
      </w:r>
    </w:p>
    <w:p>
      <w:pPr>
        <w:pStyle w:val="ListNumber"/>
        <w:spacing w:after="40"/>
        <w:ind w:left="317" w:hanging="259"/>
      </w:pPr>
      <w:r>
        <w:rPr>
          <w:rFonts w:ascii="Arial" w:hAnsi="Arial"/>
          <w:color w:val="1F2933"/>
          <w:sz w:val="17"/>
        </w:rPr>
        <w:t>Idea intake: the Chief of Staff clarifies the request, identifies the workflow, and stops at any required human go/no-go gate.</w:t>
      </w:r>
    </w:p>
    <w:p>
      <w:pPr>
        <w:pStyle w:val="ListNumber"/>
        <w:spacing w:after="40"/>
        <w:ind w:left="317" w:hanging="259"/>
      </w:pPr>
      <w:r>
        <w:rPr>
          <w:rFonts w:ascii="Arial" w:hAnsi="Arial"/>
          <w:color w:val="1F2933"/>
          <w:sz w:val="17"/>
        </w:rPr>
        <w:t>Business and product definition: Market Researcher, Business Analyst, Product Manager, and UX Designer create approved input packages.</w:t>
      </w:r>
    </w:p>
    <w:p>
      <w:pPr>
        <w:pStyle w:val="ListNumber"/>
        <w:spacing w:after="40"/>
        <w:ind w:left="317" w:hanging="259"/>
      </w:pPr>
      <w:r>
        <w:rPr>
          <w:rFonts w:ascii="Arial" w:hAnsi="Arial"/>
          <w:color w:val="1F2933"/>
          <w:sz w:val="17"/>
        </w:rPr>
        <w:t>Architecture panel: the broker selects a primary planner; the other model independently critiques assumptions, risks, and testability.</w:t>
      </w:r>
    </w:p>
    <w:p>
      <w:pPr>
        <w:pStyle w:val="ListNumber"/>
        <w:spacing w:after="40"/>
        <w:ind w:left="317" w:hanging="259"/>
      </w:pPr>
      <w:r>
        <w:rPr>
          <w:rFonts w:ascii="Arial" w:hAnsi="Arial"/>
          <w:color w:val="1F2933"/>
          <w:sz w:val="17"/>
        </w:rPr>
        <w:t>Work-unit breakdown: the Program Manager converts the approved plan into small, dependency-aware feature requests.</w:t>
      </w:r>
    </w:p>
    <w:p>
      <w:pPr>
        <w:pStyle w:val="ListNumber"/>
        <w:spacing w:after="40"/>
        <w:ind w:left="317" w:hanging="259"/>
      </w:pPr>
      <w:r>
        <w:rPr>
          <w:rFonts w:ascii="Arial" w:hAnsi="Arial"/>
          <w:color w:val="1F2933"/>
          <w:sz w:val="17"/>
        </w:rPr>
        <w:t>Routing: the broker filters ineligible providers and scores Claude and Codex for the current stage.</w:t>
      </w:r>
    </w:p>
    <w:p>
      <w:pPr>
        <w:pStyle w:val="ListNumber"/>
        <w:spacing w:after="40"/>
        <w:ind w:left="317" w:hanging="259"/>
      </w:pPr>
      <w:r>
        <w:rPr>
          <w:rFonts w:ascii="Arial" w:hAnsi="Arial"/>
          <w:color w:val="1F2933"/>
          <w:sz w:val="17"/>
        </w:rPr>
        <w:t>Implementation: the selected model edits only inside an isolated Git worktree and must add or update tests.</w:t>
      </w:r>
    </w:p>
    <w:p>
      <w:pPr>
        <w:pStyle w:val="ListNumber"/>
        <w:spacing w:after="40"/>
        <w:ind w:left="317" w:hanging="259"/>
      </w:pPr>
      <w:r>
        <w:rPr>
          <w:rFonts w:ascii="Arial" w:hAnsi="Arial"/>
          <w:color w:val="1F2933"/>
          <w:sz w:val="17"/>
        </w:rPr>
        <w:t>Second-voice review: the other model reviews the complete diff without editing it.</w:t>
      </w:r>
    </w:p>
    <w:p>
      <w:pPr>
        <w:pStyle w:val="ListNumber"/>
        <w:spacing w:after="40"/>
        <w:ind w:left="317" w:hanging="259"/>
      </w:pPr>
      <w:r>
        <w:rPr>
          <w:rFonts w:ascii="Arial" w:hAnsi="Arial"/>
          <w:color w:val="1F2933"/>
          <w:sz w:val="17"/>
        </w:rPr>
        <w:t>Deterministic gates: lint, type checks, unit tests, integration tests, build, and security scanners run as real commands.</w:t>
      </w:r>
    </w:p>
    <w:p>
      <w:pPr>
        <w:pStyle w:val="ListNumber"/>
        <w:spacing w:after="40"/>
        <w:ind w:left="317" w:hanging="259"/>
      </w:pPr>
      <w:r>
        <w:rPr>
          <w:rFonts w:ascii="Arial" w:hAnsi="Arial"/>
          <w:color w:val="1F2933"/>
          <w:sz w:val="17"/>
        </w:rPr>
        <w:t>Agent panel: Claude reviewer, Codex reviewer, and a load-balanced arbiter evaluate evidence and acceptance criteria.</w:t>
      </w:r>
    </w:p>
    <w:p>
      <w:pPr>
        <w:pStyle w:val="ListNumber"/>
        <w:spacing w:after="40"/>
        <w:ind w:left="317" w:hanging="259"/>
      </w:pPr>
      <w:r>
        <w:rPr>
          <w:rFonts w:ascii="Arial" w:hAnsi="Arial"/>
          <w:color w:val="1F2933"/>
          <w:sz w:val="17"/>
        </w:rPr>
        <w:t>Repair loop: failures return to the owning implementation role with evidence; retries are bounded.</w:t>
      </w:r>
    </w:p>
    <w:p>
      <w:pPr>
        <w:pStyle w:val="ListNumber"/>
        <w:spacing w:after="40"/>
        <w:ind w:left="317" w:hanging="259"/>
      </w:pPr>
      <w:r>
        <w:rPr>
          <w:rFonts w:ascii="Arial" w:hAnsi="Arial"/>
          <w:color w:val="1F2933"/>
          <w:sz w:val="17"/>
        </w:rPr>
        <w:t>Completion: approved work is committed to a broker branch and prepared for a pull request. The broker never silently merges or deploys.</w:t>
      </w:r>
    </w:p>
    <w:p>
      <w:pPr>
        <w:pStyle w:val="ListNumber"/>
        <w:spacing w:after="40"/>
        <w:ind w:left="317" w:hanging="259"/>
      </w:pPr>
      <w:r>
        <w:rPr>
          <w:rFonts w:ascii="Arial" w:hAnsi="Arial"/>
          <w:color w:val="1F2933"/>
          <w:sz w:val="17"/>
        </w:rPr>
        <w:t>Human release gate: the Release Manager presents evidence and a release-or-hold recommendation to the authorized human.</w:t>
      </w:r>
    </w:p>
    <w:tbl>
      <w:tblPr>
        <w:tblW w:type="auto" w:w="0"/>
        <w:jc w:val="center"/>
        <w:tblLayout w:type="fixed"/>
        <w:tblLook w:firstColumn="1" w:firstRow="1" w:lastColumn="0" w:lastRow="0" w:noHBand="0" w:noVBand="1" w:val="04A0"/>
        <w:tblBorders>
          <w:top w:val="single" w:sz="8" w:space="0" w:color="6A4FB3"/>
          <w:left w:val="single" w:sz="8" w:space="0" w:color="6A4FB3"/>
          <w:bottom w:val="single" w:sz="8" w:space="0" w:color="6A4FB3"/>
          <w:right w:val="single" w:sz="8" w:space="0" w:color="6A4FB3"/>
          <w:insideH w:val="single" w:sz="8" w:space="0" w:color="6A4FB3"/>
          <w:insideV w:val="single" w:sz="8" w:space="0" w:color="6A4FB3"/>
        </w:tblBorders>
      </w:tblPr>
      <w:tblGrid>
        <w:gridCol w:w="9720"/>
      </w:tblGrid>
      <w:tr>
        <w:tc>
          <w:tcPr>
            <w:tcW w:type="dxa" w:w="10368"/>
            <w:shd w:fill="F1ECFA"/>
            <w:tcMar>
              <w:top w:w="100" w:type="dxa"/>
              <w:start w:w="130" w:type="dxa"/>
              <w:bottom w:w="100" w:type="dxa"/>
              <w:end w:w="130" w:type="dxa"/>
            </w:tcMar>
          </w:tcPr>
          <w:p>
            <w:pPr>
              <w:spacing w:after="40"/>
            </w:pPr>
            <w:r>
              <w:rPr>
                <w:rFonts w:ascii="Arial" w:hAnsi="Arial"/>
                <w:b/>
                <w:color w:val="6A4FB3"/>
                <w:sz w:val="20"/>
              </w:rPr>
              <w:t>How this maps to the original 15-phase workflow</w:t>
            </w:r>
          </w:p>
          <w:p>
            <w:pPr>
              <w:spacing w:after="0"/>
            </w:pPr>
            <w:r>
              <w:rPr>
                <w:rFonts w:ascii="Arial" w:hAnsi="Arial"/>
                <w:color w:val="1F2933"/>
                <w:sz w:val="18"/>
              </w:rPr>
              <w:t>Phases 1-9 still produce validated business, product, UX, architecture, security, and codebase inputs. The broker becomes the controlled execution layer for phases 10-14 and the audit/learning layer for phase 15. It can also broker planning stages so Claude and Codex provide independent perspectives before implementation begins.</w:t>
            </w:r>
          </w:p>
        </w:tc>
      </w:tr>
    </w:tbl>
    <w:p>
      <w:pPr>
        <w:spacing w:after="0"/>
      </w:pPr>
    </w:p>
    <w:p>
      <w:r>
        <w:br w:type="page"/>
      </w:r>
    </w:p>
    <w:p>
      <w:pPr>
        <w:spacing w:after="80"/>
      </w:pPr>
      <w:r>
        <w:rPr>
          <w:rFonts w:ascii="Arial" w:hAnsi="Arial"/>
          <w:b/>
          <w:color w:val="153A5B"/>
          <w:sz w:val="48"/>
        </w:rPr>
        <w:t>20. Stable Roles, Dynamic Model Assignment</w:t>
      </w:r>
    </w:p>
    <w:p>
      <w:pPr>
        <w:spacing w:after="100" w:line="252" w:lineRule="auto"/>
      </w:pPr>
      <w:r>
        <w:rPr>
          <w:rFonts w:ascii="Arial" w:hAnsi="Arial"/>
          <w:color w:val="1F2933"/>
          <w:sz w:val="19"/>
        </w:rPr>
        <w:t>Do not permanently define Claude as the architect and Codex as the coder. Both are capable of planning, implementation, testing, and review. The broker assigns a model to a role for one work unit, then may reverse the assignment on the next unit.</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92"/>
        <w:gridCol w:w="2592"/>
        <w:gridCol w:w="2592"/>
        <w:gridCol w:w="2592"/>
      </w:tblGrid>
      <w:tr>
        <w:trPr>
          <w:tblHeader w:val="true"/>
        </w:trPr>
        <w:tc>
          <w:tcPr>
            <w:tcW w:type="dxa" w:w="1944"/>
            <w:shd w:fill="153A5B"/>
            <w:tcMar>
              <w:top w:w="90" w:type="dxa"/>
              <w:start w:w="100" w:type="dxa"/>
              <w:bottom w:w="90" w:type="dxa"/>
              <w:end w:w="100" w:type="dxa"/>
            </w:tcMar>
            <w:vAlign w:val="center"/>
          </w:tcPr>
          <w:p>
            <w:pPr>
              <w:spacing w:after="0"/>
            </w:pPr>
            <w:r>
              <w:rPr>
                <w:rFonts w:ascii="Arial" w:hAnsi="Arial"/>
                <w:b/>
                <w:color w:val="FFFFFF"/>
                <w:sz w:val="14"/>
              </w:rPr>
              <w:t>Stage / role</w:t>
            </w:r>
          </w:p>
        </w:tc>
        <w:tc>
          <w:tcPr>
            <w:tcW w:type="dxa" w:w="2880"/>
            <w:shd w:fill="153A5B"/>
            <w:tcMar>
              <w:top w:w="90" w:type="dxa"/>
              <w:start w:w="100" w:type="dxa"/>
              <w:bottom w:w="90" w:type="dxa"/>
              <w:end w:w="100" w:type="dxa"/>
            </w:tcMar>
            <w:vAlign w:val="center"/>
          </w:tcPr>
          <w:p>
            <w:pPr>
              <w:spacing w:after="0"/>
            </w:pPr>
            <w:r>
              <w:rPr>
                <w:rFonts w:ascii="Arial" w:hAnsi="Arial"/>
                <w:b/>
                <w:color w:val="FFFFFF"/>
                <w:sz w:val="14"/>
              </w:rPr>
              <w:t>Primary worker</w:t>
            </w:r>
          </w:p>
        </w:tc>
        <w:tc>
          <w:tcPr>
            <w:tcW w:type="dxa" w:w="3888"/>
            <w:shd w:fill="153A5B"/>
            <w:tcMar>
              <w:top w:w="90" w:type="dxa"/>
              <w:start w:w="100" w:type="dxa"/>
              <w:bottom w:w="90" w:type="dxa"/>
              <w:end w:w="100" w:type="dxa"/>
            </w:tcMar>
            <w:vAlign w:val="center"/>
          </w:tcPr>
          <w:p>
            <w:pPr>
              <w:spacing w:after="0"/>
            </w:pPr>
            <w:r>
              <w:rPr>
                <w:rFonts w:ascii="Arial" w:hAnsi="Arial"/>
                <w:b/>
                <w:color w:val="FFFFFF"/>
                <w:sz w:val="14"/>
              </w:rPr>
              <w:t>Required second voice</w:t>
            </w:r>
          </w:p>
        </w:tc>
        <w:tc>
          <w:tcPr>
            <w:tcW w:type="dxa" w:w="1008"/>
            <w:shd w:fill="153A5B"/>
            <w:tcMar>
              <w:top w:w="90" w:type="dxa"/>
              <w:start w:w="100" w:type="dxa"/>
              <w:bottom w:w="90" w:type="dxa"/>
              <w:end w:w="100" w:type="dxa"/>
            </w:tcMar>
            <w:vAlign w:val="center"/>
          </w:tcPr>
          <w:p>
            <w:pPr>
              <w:spacing w:after="0"/>
            </w:pPr>
            <w:r>
              <w:rPr>
                <w:rFonts w:ascii="Arial" w:hAnsi="Arial"/>
                <w:b/>
                <w:color w:val="FFFFFF"/>
                <w:sz w:val="14"/>
              </w:rPr>
              <w:t>Write access</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Program planning</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Best eligible Claude or Codex session</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Other model checks dependencies and risk</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4"/>
              </w:rPr>
              <w:t>Business analysis</w:t>
            </w:r>
          </w:p>
        </w:tc>
        <w:tc>
          <w:tcPr>
            <w:tcW w:type="dxa" w:w="2880"/>
            <w:shd w:fill="F5F7FA"/>
            <w:tcMar>
              <w:top w:w="90" w:type="dxa"/>
              <w:start w:w="100" w:type="dxa"/>
              <w:bottom w:w="90" w:type="dxa"/>
              <w:end w:w="100" w:type="dxa"/>
            </w:tcMar>
            <w:vAlign w:val="top"/>
          </w:tcPr>
          <w:p>
            <w:pPr>
              <w:spacing w:after="0"/>
            </w:pPr>
            <w:r>
              <w:rPr>
                <w:rFonts w:ascii="Arial" w:hAnsi="Arial"/>
                <w:color w:val="1F2933"/>
                <w:sz w:val="14"/>
              </w:rPr>
              <w:t>Best eligible model</w:t>
            </w:r>
          </w:p>
        </w:tc>
        <w:tc>
          <w:tcPr>
            <w:tcW w:type="dxa" w:w="3888"/>
            <w:shd w:fill="F5F7FA"/>
            <w:tcMar>
              <w:top w:w="90" w:type="dxa"/>
              <w:start w:w="100" w:type="dxa"/>
              <w:bottom w:w="90" w:type="dxa"/>
              <w:end w:w="100" w:type="dxa"/>
            </w:tcMar>
            <w:vAlign w:val="top"/>
          </w:tcPr>
          <w:p>
            <w:pPr>
              <w:spacing w:after="0"/>
            </w:pPr>
            <w:r>
              <w:rPr>
                <w:rFonts w:ascii="Arial" w:hAnsi="Arial"/>
                <w:color w:val="1F2933"/>
                <w:sz w:val="14"/>
              </w:rPr>
              <w:t>Other model checks ambiguity and testability</w:t>
            </w:r>
          </w:p>
        </w:tc>
        <w:tc>
          <w:tcPr>
            <w:tcW w:type="dxa" w:w="1008"/>
            <w:shd w:fill="F5F7FA"/>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Product and UX</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Best eligible model</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Other model challenges scope and edge cases</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4"/>
              </w:rPr>
              <w:t>Solution architecture</w:t>
            </w:r>
          </w:p>
        </w:tc>
        <w:tc>
          <w:tcPr>
            <w:tcW w:type="dxa" w:w="2880"/>
            <w:shd w:fill="F5F7FA"/>
            <w:tcMar>
              <w:top w:w="90" w:type="dxa"/>
              <w:start w:w="100" w:type="dxa"/>
              <w:bottom w:w="90" w:type="dxa"/>
              <w:end w:w="100" w:type="dxa"/>
            </w:tcMar>
            <w:vAlign w:val="top"/>
          </w:tcPr>
          <w:p>
            <w:pPr>
              <w:spacing w:after="0"/>
            </w:pPr>
            <w:r>
              <w:rPr>
                <w:rFonts w:ascii="Arial" w:hAnsi="Arial"/>
                <w:color w:val="1F2933"/>
                <w:sz w:val="14"/>
              </w:rPr>
              <w:t>Best eligible model</w:t>
            </w:r>
          </w:p>
        </w:tc>
        <w:tc>
          <w:tcPr>
            <w:tcW w:type="dxa" w:w="3888"/>
            <w:shd w:fill="F5F7FA"/>
            <w:tcMar>
              <w:top w:w="90" w:type="dxa"/>
              <w:start w:w="100" w:type="dxa"/>
              <w:bottom w:w="90" w:type="dxa"/>
              <w:end w:w="100" w:type="dxa"/>
            </w:tcMar>
            <w:vAlign w:val="top"/>
          </w:tcPr>
          <w:p>
            <w:pPr>
              <w:spacing w:after="0"/>
            </w:pPr>
            <w:r>
              <w:rPr>
                <w:rFonts w:ascii="Arial" w:hAnsi="Arial"/>
                <w:color w:val="1F2933"/>
                <w:sz w:val="14"/>
              </w:rPr>
              <w:t>Other model critiques tradeoffs and migration risk</w:t>
            </w:r>
          </w:p>
        </w:tc>
        <w:tc>
          <w:tcPr>
            <w:tcW w:type="dxa" w:w="1008"/>
            <w:shd w:fill="F5F7FA"/>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Security design</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Security-capable model</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Other model checks threat coverage</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4"/>
              </w:rPr>
              <w:t>Codebase research</w:t>
            </w:r>
          </w:p>
        </w:tc>
        <w:tc>
          <w:tcPr>
            <w:tcW w:type="dxa" w:w="2880"/>
            <w:shd w:fill="F5F7FA"/>
            <w:tcMar>
              <w:top w:w="90" w:type="dxa"/>
              <w:start w:w="100" w:type="dxa"/>
              <w:bottom w:w="90" w:type="dxa"/>
              <w:end w:w="100" w:type="dxa"/>
            </w:tcMar>
            <w:vAlign w:val="top"/>
          </w:tcPr>
          <w:p>
            <w:pPr>
              <w:spacing w:after="0"/>
            </w:pPr>
            <w:r>
              <w:rPr>
                <w:rFonts w:ascii="Arial" w:hAnsi="Arial"/>
                <w:color w:val="1F2933"/>
                <w:sz w:val="14"/>
              </w:rPr>
              <w:t>Model with repository context advantage</w:t>
            </w:r>
          </w:p>
        </w:tc>
        <w:tc>
          <w:tcPr>
            <w:tcW w:type="dxa" w:w="3888"/>
            <w:shd w:fill="F5F7FA"/>
            <w:tcMar>
              <w:top w:w="90" w:type="dxa"/>
              <w:start w:w="100" w:type="dxa"/>
              <w:bottom w:w="90" w:type="dxa"/>
              <w:end w:w="100" w:type="dxa"/>
            </w:tcMar>
            <w:vAlign w:val="top"/>
          </w:tcPr>
          <w:p>
            <w:pPr>
              <w:spacing w:after="0"/>
            </w:pPr>
            <w:r>
              <w:rPr>
                <w:rFonts w:ascii="Arial" w:hAnsi="Arial"/>
                <w:color w:val="1F2933"/>
                <w:sz w:val="14"/>
              </w:rPr>
              <w:t>Other model validates change points when risk is material</w:t>
            </w:r>
          </w:p>
        </w:tc>
        <w:tc>
          <w:tcPr>
            <w:tcW w:type="dxa" w:w="1008"/>
            <w:shd w:fill="F5F7FA"/>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Implementation</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Best eligible coding model</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Other model performs independent diff review</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Yes - isolated worktree only</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4"/>
              </w:rPr>
              <w:t>QA</w:t>
            </w:r>
          </w:p>
        </w:tc>
        <w:tc>
          <w:tcPr>
            <w:tcW w:type="dxa" w:w="2880"/>
            <w:shd w:fill="F5F7FA"/>
            <w:tcMar>
              <w:top w:w="90" w:type="dxa"/>
              <w:start w:w="100" w:type="dxa"/>
              <w:bottom w:w="90" w:type="dxa"/>
              <w:end w:w="100" w:type="dxa"/>
            </w:tcMar>
            <w:vAlign w:val="top"/>
          </w:tcPr>
          <w:p>
            <w:pPr>
              <w:spacing w:after="0"/>
            </w:pPr>
            <w:r>
              <w:rPr>
                <w:rFonts w:ascii="Arial" w:hAnsi="Arial"/>
                <w:color w:val="1F2933"/>
                <w:sz w:val="14"/>
              </w:rPr>
              <w:t>Fresh session not used as implementer</w:t>
            </w:r>
          </w:p>
        </w:tc>
        <w:tc>
          <w:tcPr>
            <w:tcW w:type="dxa" w:w="3888"/>
            <w:shd w:fill="F5F7FA"/>
            <w:tcMar>
              <w:top w:w="90" w:type="dxa"/>
              <w:start w:w="100" w:type="dxa"/>
              <w:bottom w:w="90" w:type="dxa"/>
              <w:end w:w="100" w:type="dxa"/>
            </w:tcMar>
            <w:vAlign w:val="top"/>
          </w:tcPr>
          <w:p>
            <w:pPr>
              <w:spacing w:after="0"/>
            </w:pPr>
            <w:r>
              <w:rPr>
                <w:rFonts w:ascii="Arial" w:hAnsi="Arial"/>
                <w:color w:val="1F2933"/>
                <w:sz w:val="14"/>
              </w:rPr>
              <w:t>Deterministic tests remain authoritative</w:t>
            </w:r>
          </w:p>
        </w:tc>
        <w:tc>
          <w:tcPr>
            <w:tcW w:type="dxa" w:w="1008"/>
            <w:shd w:fill="F5F7FA"/>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PR / security review</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Fresh independent sessions</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Three-member panel convergence</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No</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4"/>
              </w:rPr>
              <w:t>DevOps preparation</w:t>
            </w:r>
          </w:p>
        </w:tc>
        <w:tc>
          <w:tcPr>
            <w:tcW w:type="dxa" w:w="2880"/>
            <w:shd w:fill="F5F7FA"/>
            <w:tcMar>
              <w:top w:w="90" w:type="dxa"/>
              <w:start w:w="100" w:type="dxa"/>
              <w:bottom w:w="90" w:type="dxa"/>
              <w:end w:w="100" w:type="dxa"/>
            </w:tcMar>
            <w:vAlign w:val="top"/>
          </w:tcPr>
          <w:p>
            <w:pPr>
              <w:spacing w:after="0"/>
            </w:pPr>
            <w:r>
              <w:rPr>
                <w:rFonts w:ascii="Arial" w:hAnsi="Arial"/>
                <w:color w:val="1F2933"/>
                <w:sz w:val="14"/>
              </w:rPr>
              <w:t>Eligible implementation model</w:t>
            </w:r>
          </w:p>
        </w:tc>
        <w:tc>
          <w:tcPr>
            <w:tcW w:type="dxa" w:w="3888"/>
            <w:shd w:fill="F5F7FA"/>
            <w:tcMar>
              <w:top w:w="90" w:type="dxa"/>
              <w:start w:w="100" w:type="dxa"/>
              <w:bottom w:w="90" w:type="dxa"/>
              <w:end w:w="100" w:type="dxa"/>
            </w:tcMar>
            <w:vAlign w:val="top"/>
          </w:tcPr>
          <w:p>
            <w:pPr>
              <w:spacing w:after="0"/>
            </w:pPr>
            <w:r>
              <w:rPr>
                <w:rFonts w:ascii="Arial" w:hAnsi="Arial"/>
                <w:color w:val="1F2933"/>
                <w:sz w:val="14"/>
              </w:rPr>
              <w:t>Independent reviewer checks rollback and safety</w:t>
            </w:r>
          </w:p>
        </w:tc>
        <w:tc>
          <w:tcPr>
            <w:tcW w:type="dxa" w:w="1008"/>
            <w:shd w:fill="F5F7FA"/>
            <w:tcMar>
              <w:top w:w="90" w:type="dxa"/>
              <w:start w:w="100" w:type="dxa"/>
              <w:bottom w:w="90" w:type="dxa"/>
              <w:end w:w="100" w:type="dxa"/>
            </w:tcMar>
            <w:vAlign w:val="top"/>
          </w:tcPr>
          <w:p>
            <w:pPr>
              <w:spacing w:after="0"/>
            </w:pPr>
            <w:r>
              <w:rPr>
                <w:rFonts w:ascii="Arial" w:hAnsi="Arial"/>
                <w:color w:val="1F2933"/>
                <w:sz w:val="14"/>
              </w:rPr>
              <w:t>Controlled</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4"/>
              </w:rPr>
              <w:t>Release decision</w:t>
            </w:r>
          </w:p>
        </w:tc>
        <w:tc>
          <w:tcPr>
            <w:tcW w:type="dxa" w:w="2880"/>
            <w:shd w:fill="FFFFFF"/>
            <w:tcMar>
              <w:top w:w="90" w:type="dxa"/>
              <w:start w:w="100" w:type="dxa"/>
              <w:bottom w:w="90" w:type="dxa"/>
              <w:end w:w="100" w:type="dxa"/>
            </w:tcMar>
            <w:vAlign w:val="top"/>
          </w:tcPr>
          <w:p>
            <w:pPr>
              <w:spacing w:after="0"/>
            </w:pPr>
            <w:r>
              <w:rPr>
                <w:rFonts w:ascii="Arial" w:hAnsi="Arial"/>
                <w:color w:val="1F2933"/>
                <w:sz w:val="14"/>
              </w:rPr>
              <w:t>Release Manager role</w:t>
            </w:r>
          </w:p>
        </w:tc>
        <w:tc>
          <w:tcPr>
            <w:tcW w:type="dxa" w:w="3888"/>
            <w:shd w:fill="FFFFFF"/>
            <w:tcMar>
              <w:top w:w="90" w:type="dxa"/>
              <w:start w:w="100" w:type="dxa"/>
              <w:bottom w:w="90" w:type="dxa"/>
              <w:end w:w="100" w:type="dxa"/>
            </w:tcMar>
            <w:vAlign w:val="top"/>
          </w:tcPr>
          <w:p>
            <w:pPr>
              <w:spacing w:after="0"/>
            </w:pPr>
            <w:r>
              <w:rPr>
                <w:rFonts w:ascii="Arial" w:hAnsi="Arial"/>
                <w:color w:val="1F2933"/>
                <w:sz w:val="14"/>
              </w:rPr>
              <w:t>Human owner is final authority</w:t>
            </w:r>
          </w:p>
        </w:tc>
        <w:tc>
          <w:tcPr>
            <w:tcW w:type="dxa" w:w="1008"/>
            <w:shd w:fill="FFFFFF"/>
            <w:tcMar>
              <w:top w:w="90" w:type="dxa"/>
              <w:start w:w="100" w:type="dxa"/>
              <w:bottom w:w="90" w:type="dxa"/>
              <w:end w:w="100" w:type="dxa"/>
            </w:tcMar>
            <w:vAlign w:val="top"/>
          </w:tcPr>
          <w:p>
            <w:pPr>
              <w:spacing w:after="0"/>
            </w:pPr>
            <w:r>
              <w:rPr>
                <w:rFonts w:ascii="Arial" w:hAnsi="Arial"/>
                <w:color w:val="1F2933"/>
                <w:sz w:val="14"/>
              </w:rPr>
              <w:t>No</w:t>
            </w:r>
          </w:p>
        </w:tc>
      </w:tr>
    </w:tbl>
    <w:p>
      <w:pPr>
        <w:spacing w:after="0"/>
      </w:pPr>
    </w:p>
    <w:tbl>
      <w:tblPr>
        <w:tblW w:type="auto" w:w="0"/>
        <w:jc w:val="center"/>
        <w:tblLayout w:type="fixed"/>
        <w:tblLook w:firstColumn="1" w:firstRow="1" w:lastColumn="0" w:lastRow="0" w:noHBand="0" w:noVBand="1" w:val="04A0"/>
        <w:tblBorders>
          <w:top w:val="single" w:sz="8" w:space="0" w:color="C94C4C"/>
          <w:left w:val="single" w:sz="8" w:space="0" w:color="C94C4C"/>
          <w:bottom w:val="single" w:sz="8" w:space="0" w:color="C94C4C"/>
          <w:right w:val="single" w:sz="8" w:space="0" w:color="C94C4C"/>
          <w:insideH w:val="single" w:sz="8" w:space="0" w:color="C94C4C"/>
          <w:insideV w:val="single" w:sz="8" w:space="0" w:color="C94C4C"/>
        </w:tblBorders>
      </w:tblPr>
      <w:tblGrid>
        <w:gridCol w:w="9720"/>
      </w:tblGrid>
      <w:tr>
        <w:tc>
          <w:tcPr>
            <w:tcW w:type="dxa" w:w="10368"/>
            <w:shd w:fill="FCEDED"/>
            <w:tcMar>
              <w:top w:w="100" w:type="dxa"/>
              <w:start w:w="130" w:type="dxa"/>
              <w:bottom w:w="100" w:type="dxa"/>
              <w:end w:w="130" w:type="dxa"/>
            </w:tcMar>
          </w:tcPr>
          <w:p>
            <w:pPr>
              <w:spacing w:after="40"/>
            </w:pPr>
            <w:r>
              <w:rPr>
                <w:rFonts w:ascii="Arial" w:hAnsi="Arial"/>
                <w:b/>
                <w:color w:val="C94C4C"/>
                <w:sz w:val="20"/>
              </w:rPr>
              <w:t>Independence rule</w:t>
            </w:r>
          </w:p>
          <w:p>
            <w:pPr>
              <w:spacing w:after="0"/>
            </w:pPr>
            <w:r>
              <w:rPr>
                <w:rFonts w:ascii="Arial" w:hAnsi="Arial"/>
                <w:color w:val="1F2933"/>
                <w:sz w:val="18"/>
              </w:rPr>
              <w:t>A model may fill different roles across different work units, but the exact session that authored a deliverable cannot be counted as an independent approver of that same deliverable.</w:t>
            </w:r>
          </w:p>
        </w:tc>
      </w:tr>
    </w:tbl>
    <w:p>
      <w:pPr>
        <w:spacing w:after="0"/>
      </w:pPr>
    </w:p>
    <w:p>
      <w:r>
        <w:br w:type="page"/>
      </w:r>
    </w:p>
    <w:p>
      <w:pPr>
        <w:spacing w:after="80"/>
      </w:pPr>
      <w:r>
        <w:rPr>
          <w:rFonts w:ascii="Arial" w:hAnsi="Arial"/>
          <w:b/>
          <w:color w:val="153A5B"/>
          <w:sz w:val="48"/>
        </w:rPr>
        <w:t>21. Broker Core Components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56"/>
        <w:gridCol w:w="3456"/>
        <w:gridCol w:w="3456"/>
      </w:tblGrid>
      <w:tr>
        <w:trPr>
          <w:tblHeader w:val="true"/>
        </w:trPr>
        <w:tc>
          <w:tcPr>
            <w:tcW w:type="dxa" w:w="1944"/>
            <w:shd w:fill="153A5B"/>
            <w:tcMar>
              <w:top w:w="90" w:type="dxa"/>
              <w:start w:w="100" w:type="dxa"/>
              <w:bottom w:w="90" w:type="dxa"/>
              <w:end w:w="100" w:type="dxa"/>
            </w:tcMar>
            <w:vAlign w:val="center"/>
          </w:tcPr>
          <w:p>
            <w:pPr>
              <w:spacing w:after="0"/>
            </w:pPr>
            <w:r>
              <w:rPr>
                <w:rFonts w:ascii="Arial" w:hAnsi="Arial"/>
                <w:b/>
                <w:color w:val="FFFFFF"/>
                <w:sz w:val="15"/>
              </w:rPr>
              <w:t>Component</w:t>
            </w:r>
          </w:p>
        </w:tc>
        <w:tc>
          <w:tcPr>
            <w:tcW w:type="dxa" w:w="4680"/>
            <w:shd w:fill="153A5B"/>
            <w:tcMar>
              <w:top w:w="90" w:type="dxa"/>
              <w:start w:w="100" w:type="dxa"/>
              <w:bottom w:w="90" w:type="dxa"/>
              <w:end w:w="100" w:type="dxa"/>
            </w:tcMar>
            <w:vAlign w:val="center"/>
          </w:tcPr>
          <w:p>
            <w:pPr>
              <w:spacing w:after="0"/>
            </w:pPr>
            <w:r>
              <w:rPr>
                <w:rFonts w:ascii="Arial" w:hAnsi="Arial"/>
                <w:b/>
                <w:color w:val="FFFFFF"/>
                <w:sz w:val="15"/>
              </w:rPr>
              <w:t>Responsibility</w:t>
            </w:r>
          </w:p>
        </w:tc>
        <w:tc>
          <w:tcPr>
            <w:tcW w:type="dxa" w:w="3096"/>
            <w:shd w:fill="153A5B"/>
            <w:tcMar>
              <w:top w:w="90" w:type="dxa"/>
              <w:start w:w="100" w:type="dxa"/>
              <w:bottom w:w="90" w:type="dxa"/>
              <w:end w:w="100" w:type="dxa"/>
            </w:tcMar>
            <w:vAlign w:val="center"/>
          </w:tcPr>
          <w:p>
            <w:pPr>
              <w:spacing w:after="0"/>
            </w:pPr>
            <w:r>
              <w:rPr>
                <w:rFonts w:ascii="Arial" w:hAnsi="Arial"/>
                <w:b/>
                <w:color w:val="FFFFFF"/>
                <w:sz w:val="15"/>
              </w:rPr>
              <w:t>Evidence stored</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5"/>
              </w:rPr>
              <w:t>Work Unit Queue</w:t>
            </w:r>
          </w:p>
        </w:tc>
        <w:tc>
          <w:tcPr>
            <w:tcW w:type="dxa" w:w="4680"/>
            <w:shd w:fill="FFFFFF"/>
            <w:tcMar>
              <w:top w:w="90" w:type="dxa"/>
              <w:start w:w="100" w:type="dxa"/>
              <w:bottom w:w="90" w:type="dxa"/>
              <w:end w:w="100" w:type="dxa"/>
            </w:tcMar>
            <w:vAlign w:val="top"/>
          </w:tcPr>
          <w:p>
            <w:pPr>
              <w:spacing w:after="0"/>
            </w:pPr>
            <w:r>
              <w:rPr>
                <w:rFonts w:ascii="Arial" w:hAnsi="Arial"/>
                <w:color w:val="1F2933"/>
                <w:sz w:val="15"/>
              </w:rPr>
              <w:t>Priority, dependencies, retries, current phase, status</w:t>
            </w:r>
          </w:p>
        </w:tc>
        <w:tc>
          <w:tcPr>
            <w:tcW w:type="dxa" w:w="3096"/>
            <w:shd w:fill="FFFFFF"/>
            <w:tcMar>
              <w:top w:w="90" w:type="dxa"/>
              <w:start w:w="100" w:type="dxa"/>
              <w:bottom w:w="90" w:type="dxa"/>
              <w:end w:w="100" w:type="dxa"/>
            </w:tcMar>
            <w:vAlign w:val="top"/>
          </w:tcPr>
          <w:p>
            <w:pPr>
              <w:spacing w:after="0"/>
            </w:pPr>
            <w:r>
              <w:rPr>
                <w:rFonts w:ascii="Arial" w:hAnsi="Arial"/>
                <w:color w:val="1F2933"/>
                <w:sz w:val="15"/>
              </w:rPr>
              <w:t>Work-unit JSON and timestamps</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5"/>
              </w:rPr>
              <w:t>Router and Scheduler</w:t>
            </w:r>
          </w:p>
        </w:tc>
        <w:tc>
          <w:tcPr>
            <w:tcW w:type="dxa" w:w="4680"/>
            <w:shd w:fill="F5F7FA"/>
            <w:tcMar>
              <w:top w:w="90" w:type="dxa"/>
              <w:start w:w="100" w:type="dxa"/>
              <w:bottom w:w="90" w:type="dxa"/>
              <w:end w:w="100" w:type="dxa"/>
            </w:tcMar>
            <w:vAlign w:val="top"/>
          </w:tcPr>
          <w:p>
            <w:pPr>
              <w:spacing w:after="0"/>
            </w:pPr>
            <w:r>
              <w:rPr>
                <w:rFonts w:ascii="Arial" w:hAnsi="Arial"/>
                <w:color w:val="1F2933"/>
                <w:sz w:val="15"/>
              </w:rPr>
              <w:t>Eligibility filtering, scoring, assignment, fallback, cooldown</w:t>
            </w:r>
          </w:p>
        </w:tc>
        <w:tc>
          <w:tcPr>
            <w:tcW w:type="dxa" w:w="3096"/>
            <w:shd w:fill="F5F7FA"/>
            <w:tcMar>
              <w:top w:w="90" w:type="dxa"/>
              <w:start w:w="100" w:type="dxa"/>
              <w:bottom w:w="90" w:type="dxa"/>
              <w:end w:w="100" w:type="dxa"/>
            </w:tcMar>
            <w:vAlign w:val="top"/>
          </w:tcPr>
          <w:p>
            <w:pPr>
              <w:spacing w:after="0"/>
            </w:pPr>
            <w:r>
              <w:rPr>
                <w:rFonts w:ascii="Arial" w:hAnsi="Arial"/>
                <w:color w:val="1F2933"/>
                <w:sz w:val="15"/>
              </w:rPr>
              <w:t>Routing scores and selected provider</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5"/>
              </w:rPr>
              <w:t>Model Registry</w:t>
            </w:r>
          </w:p>
        </w:tc>
        <w:tc>
          <w:tcPr>
            <w:tcW w:type="dxa" w:w="4680"/>
            <w:shd w:fill="FFFFFF"/>
            <w:tcMar>
              <w:top w:w="90" w:type="dxa"/>
              <w:start w:w="100" w:type="dxa"/>
              <w:bottom w:w="90" w:type="dxa"/>
              <w:end w:w="100" w:type="dxa"/>
            </w:tcMar>
            <w:vAlign w:val="top"/>
          </w:tcPr>
          <w:p>
            <w:pPr>
              <w:spacing w:after="0"/>
            </w:pPr>
            <w:r>
              <w:rPr>
                <w:rFonts w:ascii="Arial" w:hAnsi="Arial"/>
                <w:color w:val="1F2933"/>
                <w:sz w:val="15"/>
              </w:rPr>
              <w:t>Capabilities, context limits, tool support, health, privacy class</w:t>
            </w:r>
          </w:p>
        </w:tc>
        <w:tc>
          <w:tcPr>
            <w:tcW w:type="dxa" w:w="3096"/>
            <w:shd w:fill="FFFFFF"/>
            <w:tcMar>
              <w:top w:w="90" w:type="dxa"/>
              <w:start w:w="100" w:type="dxa"/>
              <w:bottom w:w="90" w:type="dxa"/>
              <w:end w:w="100" w:type="dxa"/>
            </w:tcMar>
            <w:vAlign w:val="top"/>
          </w:tcPr>
          <w:p>
            <w:pPr>
              <w:spacing w:after="0"/>
            </w:pPr>
            <w:r>
              <w:rPr>
                <w:rFonts w:ascii="Arial" w:hAnsi="Arial"/>
                <w:color w:val="1F2933"/>
                <w:sz w:val="15"/>
              </w:rPr>
              <w:t>Model profile and health history</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5"/>
              </w:rPr>
              <w:t>Context Packager</w:t>
            </w:r>
          </w:p>
        </w:tc>
        <w:tc>
          <w:tcPr>
            <w:tcW w:type="dxa" w:w="4680"/>
            <w:shd w:fill="F5F7FA"/>
            <w:tcMar>
              <w:top w:w="90" w:type="dxa"/>
              <w:start w:w="100" w:type="dxa"/>
              <w:bottom w:w="90" w:type="dxa"/>
              <w:end w:w="100" w:type="dxa"/>
            </w:tcMar>
            <w:vAlign w:val="top"/>
          </w:tcPr>
          <w:p>
            <w:pPr>
              <w:spacing w:after="0"/>
            </w:pPr>
            <w:r>
              <w:rPr>
                <w:rFonts w:ascii="Arial" w:hAnsi="Arial"/>
                <w:color w:val="1F2933"/>
                <w:sz w:val="15"/>
              </w:rPr>
              <w:t>Passes only approved requirements, plans, diffs, and test evidence</w:t>
            </w:r>
          </w:p>
        </w:tc>
        <w:tc>
          <w:tcPr>
            <w:tcW w:type="dxa" w:w="3096"/>
            <w:shd w:fill="F5F7FA"/>
            <w:tcMar>
              <w:top w:w="90" w:type="dxa"/>
              <w:start w:w="100" w:type="dxa"/>
              <w:bottom w:w="90" w:type="dxa"/>
              <w:end w:w="100" w:type="dxa"/>
            </w:tcMar>
            <w:vAlign w:val="top"/>
          </w:tcPr>
          <w:p>
            <w:pPr>
              <w:spacing w:after="0"/>
            </w:pPr>
            <w:r>
              <w:rPr>
                <w:rFonts w:ascii="Arial" w:hAnsi="Arial"/>
                <w:color w:val="1F2933"/>
                <w:sz w:val="15"/>
              </w:rPr>
              <w:t>Input manifest and hashes</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5"/>
              </w:rPr>
              <w:t>Execution Manager</w:t>
            </w:r>
          </w:p>
        </w:tc>
        <w:tc>
          <w:tcPr>
            <w:tcW w:type="dxa" w:w="4680"/>
            <w:shd w:fill="FFFFFF"/>
            <w:tcMar>
              <w:top w:w="90" w:type="dxa"/>
              <w:start w:w="100" w:type="dxa"/>
              <w:bottom w:w="90" w:type="dxa"/>
              <w:end w:w="100" w:type="dxa"/>
            </w:tcMar>
            <w:vAlign w:val="top"/>
          </w:tcPr>
          <w:p>
            <w:pPr>
              <w:spacing w:after="0"/>
            </w:pPr>
            <w:r>
              <w:rPr>
                <w:rFonts w:ascii="Arial" w:hAnsi="Arial"/>
                <w:color w:val="1F2933"/>
                <w:sz w:val="15"/>
              </w:rPr>
              <w:t>Creates worktree, invokes CLI, captures output, enforces timeout</w:t>
            </w:r>
          </w:p>
        </w:tc>
        <w:tc>
          <w:tcPr>
            <w:tcW w:type="dxa" w:w="3096"/>
            <w:shd w:fill="FFFFFF"/>
            <w:tcMar>
              <w:top w:w="90" w:type="dxa"/>
              <w:start w:w="100" w:type="dxa"/>
              <w:bottom w:w="90" w:type="dxa"/>
              <w:end w:w="100" w:type="dxa"/>
            </w:tcMar>
            <w:vAlign w:val="top"/>
          </w:tcPr>
          <w:p>
            <w:pPr>
              <w:spacing w:after="0"/>
            </w:pPr>
            <w:r>
              <w:rPr>
                <w:rFonts w:ascii="Arial" w:hAnsi="Arial"/>
                <w:color w:val="1F2933"/>
                <w:sz w:val="15"/>
              </w:rPr>
              <w:t>Logs, session IDs, duration, usage</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5"/>
              </w:rPr>
              <w:t>Permission Policy</w:t>
            </w:r>
          </w:p>
        </w:tc>
        <w:tc>
          <w:tcPr>
            <w:tcW w:type="dxa" w:w="4680"/>
            <w:shd w:fill="F5F7FA"/>
            <w:tcMar>
              <w:top w:w="90" w:type="dxa"/>
              <w:start w:w="100" w:type="dxa"/>
              <w:bottom w:w="90" w:type="dxa"/>
              <w:end w:w="100" w:type="dxa"/>
            </w:tcMar>
            <w:vAlign w:val="top"/>
          </w:tcPr>
          <w:p>
            <w:pPr>
              <w:spacing w:after="0"/>
            </w:pPr>
            <w:r>
              <w:rPr>
                <w:rFonts w:ascii="Arial" w:hAnsi="Arial"/>
                <w:color w:val="1F2933"/>
                <w:sz w:val="15"/>
              </w:rPr>
              <w:t>Read-only vs write, denied commands, repository boundaries</w:t>
            </w:r>
          </w:p>
        </w:tc>
        <w:tc>
          <w:tcPr>
            <w:tcW w:type="dxa" w:w="3096"/>
            <w:shd w:fill="F5F7FA"/>
            <w:tcMar>
              <w:top w:w="90" w:type="dxa"/>
              <w:start w:w="100" w:type="dxa"/>
              <w:bottom w:w="90" w:type="dxa"/>
              <w:end w:w="100" w:type="dxa"/>
            </w:tcMar>
            <w:vAlign w:val="top"/>
          </w:tcPr>
          <w:p>
            <w:pPr>
              <w:spacing w:after="0"/>
            </w:pPr>
            <w:r>
              <w:rPr>
                <w:rFonts w:ascii="Arial" w:hAnsi="Arial"/>
                <w:color w:val="1F2933"/>
                <w:sz w:val="15"/>
              </w:rPr>
              <w:t>Policy decision and violations</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5"/>
              </w:rPr>
              <w:t>Gate Engine</w:t>
            </w:r>
          </w:p>
        </w:tc>
        <w:tc>
          <w:tcPr>
            <w:tcW w:type="dxa" w:w="4680"/>
            <w:shd w:fill="FFFFFF"/>
            <w:tcMar>
              <w:top w:w="90" w:type="dxa"/>
              <w:start w:w="100" w:type="dxa"/>
              <w:bottom w:w="90" w:type="dxa"/>
              <w:end w:w="100" w:type="dxa"/>
            </w:tcMar>
            <w:vAlign w:val="top"/>
          </w:tcPr>
          <w:p>
            <w:pPr>
              <w:spacing w:after="0"/>
            </w:pPr>
            <w:r>
              <w:rPr>
                <w:rFonts w:ascii="Arial" w:hAnsi="Arial"/>
                <w:color w:val="1F2933"/>
                <w:sz w:val="15"/>
              </w:rPr>
              <w:t>Runs tests, build, lint, type checks, scanners, acceptance evidence</w:t>
            </w:r>
          </w:p>
        </w:tc>
        <w:tc>
          <w:tcPr>
            <w:tcW w:type="dxa" w:w="3096"/>
            <w:shd w:fill="FFFFFF"/>
            <w:tcMar>
              <w:top w:w="90" w:type="dxa"/>
              <w:start w:w="100" w:type="dxa"/>
              <w:bottom w:w="90" w:type="dxa"/>
              <w:end w:w="100" w:type="dxa"/>
            </w:tcMar>
            <w:vAlign w:val="top"/>
          </w:tcPr>
          <w:p>
            <w:pPr>
              <w:spacing w:after="0"/>
            </w:pPr>
            <w:r>
              <w:rPr>
                <w:rFonts w:ascii="Arial" w:hAnsi="Arial"/>
                <w:color w:val="1F2933"/>
                <w:sz w:val="15"/>
              </w:rPr>
              <w:t>Command, exit code, stdout, stderr</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5"/>
              </w:rPr>
              <w:t>Review Panel</w:t>
            </w:r>
          </w:p>
        </w:tc>
        <w:tc>
          <w:tcPr>
            <w:tcW w:type="dxa" w:w="4680"/>
            <w:shd w:fill="F5F7FA"/>
            <w:tcMar>
              <w:top w:w="90" w:type="dxa"/>
              <w:start w:w="100" w:type="dxa"/>
              <w:bottom w:w="90" w:type="dxa"/>
              <w:end w:w="100" w:type="dxa"/>
            </w:tcMar>
            <w:vAlign w:val="top"/>
          </w:tcPr>
          <w:p>
            <w:pPr>
              <w:spacing w:after="0"/>
            </w:pPr>
            <w:r>
              <w:rPr>
                <w:rFonts w:ascii="Arial" w:hAnsi="Arial"/>
                <w:color w:val="1F2933"/>
                <w:sz w:val="15"/>
              </w:rPr>
              <w:t>Collects structured votes from fresh reviewers</w:t>
            </w:r>
          </w:p>
        </w:tc>
        <w:tc>
          <w:tcPr>
            <w:tcW w:type="dxa" w:w="3096"/>
            <w:shd w:fill="F5F7FA"/>
            <w:tcMar>
              <w:top w:w="90" w:type="dxa"/>
              <w:start w:w="100" w:type="dxa"/>
              <w:bottom w:w="90" w:type="dxa"/>
              <w:end w:w="100" w:type="dxa"/>
            </w:tcMar>
            <w:vAlign w:val="top"/>
          </w:tcPr>
          <w:p>
            <w:pPr>
              <w:spacing w:after="0"/>
            </w:pPr>
            <w:r>
              <w:rPr>
                <w:rFonts w:ascii="Arial" w:hAnsi="Arial"/>
                <w:color w:val="1F2933"/>
                <w:sz w:val="15"/>
              </w:rPr>
              <w:t>Findings, confidence, criterion evidence</w:t>
            </w:r>
          </w:p>
        </w:tc>
      </w:tr>
      <w:tr>
        <w:tc>
          <w:tcPr>
            <w:tcW w:type="dxa" w:w="1944"/>
            <w:shd w:fill="FFFFFF"/>
            <w:tcMar>
              <w:top w:w="90" w:type="dxa"/>
              <w:start w:w="100" w:type="dxa"/>
              <w:bottom w:w="90" w:type="dxa"/>
              <w:end w:w="100" w:type="dxa"/>
            </w:tcMar>
            <w:vAlign w:val="top"/>
          </w:tcPr>
          <w:p>
            <w:pPr>
              <w:spacing w:after="0"/>
            </w:pPr>
            <w:r>
              <w:rPr>
                <w:rFonts w:ascii="Arial" w:hAnsi="Arial"/>
                <w:color w:val="1F2933"/>
                <w:sz w:val="15"/>
              </w:rPr>
              <w:t>Audit and Results Store</w:t>
            </w:r>
          </w:p>
        </w:tc>
        <w:tc>
          <w:tcPr>
            <w:tcW w:type="dxa" w:w="4680"/>
            <w:shd w:fill="FFFFFF"/>
            <w:tcMar>
              <w:top w:w="90" w:type="dxa"/>
              <w:start w:w="100" w:type="dxa"/>
              <w:bottom w:w="90" w:type="dxa"/>
              <w:end w:w="100" w:type="dxa"/>
            </w:tcMar>
            <w:vAlign w:val="top"/>
          </w:tcPr>
          <w:p>
            <w:pPr>
              <w:spacing w:after="0"/>
            </w:pPr>
            <w:r>
              <w:rPr>
                <w:rFonts w:ascii="Arial" w:hAnsi="Arial"/>
                <w:color w:val="1F2933"/>
                <w:sz w:val="15"/>
              </w:rPr>
              <w:t>Preserves every decision, change, failure, and approval</w:t>
            </w:r>
          </w:p>
        </w:tc>
        <w:tc>
          <w:tcPr>
            <w:tcW w:type="dxa" w:w="3096"/>
            <w:shd w:fill="FFFFFF"/>
            <w:tcMar>
              <w:top w:w="90" w:type="dxa"/>
              <w:start w:w="100" w:type="dxa"/>
              <w:bottom w:w="90" w:type="dxa"/>
              <w:end w:w="100" w:type="dxa"/>
            </w:tcMar>
            <w:vAlign w:val="top"/>
          </w:tcPr>
          <w:p>
            <w:pPr>
              <w:spacing w:after="0"/>
            </w:pPr>
            <w:r>
              <w:rPr>
                <w:rFonts w:ascii="Arial" w:hAnsi="Arial"/>
                <w:color w:val="1F2933"/>
                <w:sz w:val="15"/>
              </w:rPr>
              <w:t>Runs, costs, verdicts, branches, reports</w:t>
            </w:r>
          </w:p>
        </w:tc>
      </w:tr>
      <w:tr>
        <w:tc>
          <w:tcPr>
            <w:tcW w:type="dxa" w:w="1944"/>
            <w:shd w:fill="F5F7FA"/>
            <w:tcMar>
              <w:top w:w="90" w:type="dxa"/>
              <w:start w:w="100" w:type="dxa"/>
              <w:bottom w:w="90" w:type="dxa"/>
              <w:end w:w="100" w:type="dxa"/>
            </w:tcMar>
            <w:vAlign w:val="top"/>
          </w:tcPr>
          <w:p>
            <w:pPr>
              <w:spacing w:after="0"/>
            </w:pPr>
            <w:r>
              <w:rPr>
                <w:rFonts w:ascii="Arial" w:hAnsi="Arial"/>
                <w:color w:val="1F2933"/>
                <w:sz w:val="15"/>
              </w:rPr>
              <w:t>Human Approval Service</w:t>
            </w:r>
          </w:p>
        </w:tc>
        <w:tc>
          <w:tcPr>
            <w:tcW w:type="dxa" w:w="4680"/>
            <w:shd w:fill="F5F7FA"/>
            <w:tcMar>
              <w:top w:w="90" w:type="dxa"/>
              <w:start w:w="100" w:type="dxa"/>
              <w:bottom w:w="90" w:type="dxa"/>
              <w:end w:w="100" w:type="dxa"/>
            </w:tcMar>
            <w:vAlign w:val="top"/>
          </w:tcPr>
          <w:p>
            <w:pPr>
              <w:spacing w:after="0"/>
            </w:pPr>
            <w:r>
              <w:rPr>
                <w:rFonts w:ascii="Arial" w:hAnsi="Arial"/>
                <w:color w:val="1F2933"/>
                <w:sz w:val="15"/>
              </w:rPr>
              <w:t>Pauses high-impact actions until an authorized person approves</w:t>
            </w:r>
          </w:p>
        </w:tc>
        <w:tc>
          <w:tcPr>
            <w:tcW w:type="dxa" w:w="3096"/>
            <w:shd w:fill="F5F7FA"/>
            <w:tcMar>
              <w:top w:w="90" w:type="dxa"/>
              <w:start w:w="100" w:type="dxa"/>
              <w:bottom w:w="90" w:type="dxa"/>
              <w:end w:w="100" w:type="dxa"/>
            </w:tcMar>
            <w:vAlign w:val="top"/>
          </w:tcPr>
          <w:p>
            <w:pPr>
              <w:spacing w:after="0"/>
            </w:pPr>
            <w:r>
              <w:rPr>
                <w:rFonts w:ascii="Arial" w:hAnsi="Arial"/>
                <w:color w:val="1F2933"/>
                <w:sz w:val="15"/>
              </w:rPr>
              <w:t>Approver, decision, time, scope</w:t>
            </w:r>
          </w:p>
        </w:tc>
      </w:tr>
    </w:tbl>
    <w:p>
      <w:pPr>
        <w:spacing w:after="0"/>
      </w:pPr>
    </w:p>
    <w:p>
      <w:pPr>
        <w:spacing w:before="120" w:after="80"/>
      </w:pPr>
      <w:r>
        <w:rPr>
          <w:rFonts w:ascii="Arial" w:hAnsi="Arial"/>
          <w:b/>
          <w:color w:val="153A5B"/>
          <w:sz w:val="30"/>
        </w:rPr>
        <w:t>21.1 Control plane versus worker plane</w:t>
      </w:r>
    </w:p>
    <w:p>
      <w:pPr>
        <w:pStyle w:val="ListBullet"/>
        <w:spacing w:after="40"/>
        <w:ind w:left="259" w:hanging="173"/>
      </w:pPr>
      <w:r>
        <w:rPr>
          <w:rFonts w:ascii="Arial" w:hAnsi="Arial"/>
          <w:color w:val="1F2933"/>
          <w:sz w:val="18"/>
        </w:rPr>
        <w:t>Control plane: queue, router, policy, gates, audit, human approvals. It must be deterministic wherever possible.</w:t>
      </w:r>
    </w:p>
    <w:p>
      <w:pPr>
        <w:pStyle w:val="ListBullet"/>
        <w:spacing w:after="40"/>
        <w:ind w:left="259" w:hanging="173"/>
      </w:pPr>
      <w:r>
        <w:rPr>
          <w:rFonts w:ascii="Arial" w:hAnsi="Arial"/>
          <w:color w:val="1F2933"/>
          <w:sz w:val="18"/>
        </w:rPr>
        <w:t>Worker plane: Claude Code CLI and Codex CLI sessions that perform one assigned role using the approved context package.</w:t>
      </w:r>
    </w:p>
    <w:p>
      <w:pPr>
        <w:pStyle w:val="ListBullet"/>
        <w:spacing w:after="40"/>
        <w:ind w:left="259" w:hanging="173"/>
      </w:pPr>
      <w:r>
        <w:rPr>
          <w:rFonts w:ascii="Arial" w:hAnsi="Arial"/>
          <w:color w:val="1F2933"/>
          <w:sz w:val="18"/>
        </w:rPr>
        <w:t>Workers cannot mark themselves complete; only the broker can transition a work unit after evidence satisfies policy.</w:t>
      </w:r>
    </w:p>
    <w:p>
      <w:r>
        <w:br w:type="page"/>
      </w:r>
    </w:p>
    <w:p>
      <w:pPr>
        <w:spacing w:after="80"/>
      </w:pPr>
      <w:r>
        <w:rPr>
          <w:rFonts w:ascii="Arial" w:hAnsi="Arial"/>
          <w:b/>
          <w:color w:val="153A5B"/>
          <w:sz w:val="48"/>
        </w:rPr>
        <w:t>22. Token-Aware and Capacity-Aware Routing</w:t>
      </w:r>
    </w:p>
    <w:p>
      <w:pPr>
        <w:spacing w:before="120" w:after="80"/>
      </w:pPr>
      <w:r>
        <w:rPr>
          <w:rFonts w:ascii="Arial" w:hAnsi="Arial"/>
          <w:b/>
          <w:color w:val="153A5B"/>
          <w:sz w:val="30"/>
        </w:rPr>
        <w:t>22.1 Eligibility comes before scoring</w:t>
      </w:r>
    </w:p>
    <w:p>
      <w:pPr>
        <w:pStyle w:val="ListBullet"/>
        <w:spacing w:after="40"/>
        <w:ind w:left="259" w:hanging="173"/>
      </w:pPr>
      <w:r>
        <w:rPr>
          <w:rFonts w:ascii="Arial" w:hAnsi="Arial"/>
          <w:color w:val="1F2933"/>
          <w:sz w:val="18"/>
        </w:rPr>
        <w:t>Reject a provider when it is rate-limited, unhealthy, paused, missing required tool support, or disallowed for the data classification.</w:t>
      </w:r>
    </w:p>
    <w:p>
      <w:pPr>
        <w:pStyle w:val="ListBullet"/>
        <w:spacing w:after="40"/>
        <w:ind w:left="259" w:hanging="173"/>
      </w:pPr>
      <w:r>
        <w:rPr>
          <w:rFonts w:ascii="Arial" w:hAnsi="Arial"/>
          <w:color w:val="1F2933"/>
          <w:sz w:val="18"/>
        </w:rPr>
        <w:t>Reject a model whose context window, structured-output support, or repository permissions are insufficient.</w:t>
      </w:r>
    </w:p>
    <w:p>
      <w:pPr>
        <w:pStyle w:val="ListBullet"/>
        <w:spacing w:after="40"/>
        <w:ind w:left="259" w:hanging="173"/>
      </w:pPr>
      <w:r>
        <w:rPr>
          <w:rFonts w:ascii="Arial" w:hAnsi="Arial"/>
          <w:color w:val="1F2933"/>
          <w:sz w:val="18"/>
        </w:rPr>
        <w:t>High-risk tasks may require a premium model and mandatory human review even when a cheaper worker is available.</w:t>
      </w:r>
    </w:p>
    <w:p>
      <w:pPr>
        <w:spacing w:before="120" w:after="80"/>
      </w:pPr>
      <w:r>
        <w:rPr>
          <w:rFonts w:ascii="Arial" w:hAnsi="Arial"/>
          <w:b/>
          <w:color w:val="153A5B"/>
          <w:sz w:val="30"/>
        </w:rPr>
        <w:t>22.2 Example routing score</w:t>
      </w:r>
    </w:p>
    <w:tbl>
      <w:tblPr>
        <w:tblW w:type="auto" w:w="0"/>
        <w:jc w:val="center"/>
        <w:tblLook w:firstColumn="1" w:firstRow="1" w:lastColumn="0" w:lastRow="0" w:noHBand="0" w:noVBand="1" w:val="04A0"/>
        <w:tblBorders>
          <w:top w:val="single" w:sz="4" w:space="0" w:color="CBD2D9"/>
          <w:left w:val="single" w:sz="4" w:space="0" w:color="CBD2D9"/>
          <w:bottom w:val="single" w:sz="4" w:space="0" w:color="CBD2D9"/>
          <w:right w:val="single" w:sz="4" w:space="0" w:color="CBD2D9"/>
          <w:insideH w:val="single" w:sz="4" w:space="0" w:color="CBD2D9"/>
          <w:insideV w:val="single" w:sz="4" w:space="0" w:color="CBD2D9"/>
        </w:tblBorders>
      </w:tblPr>
      <w:tblGrid>
        <w:gridCol w:w="10368"/>
      </w:tblGrid>
      <w:tr>
        <w:tc>
          <w:tcPr>
            <w:tcW w:type="dxa" w:w="10368"/>
            <w:shd w:fill="F4F6F8"/>
            <w:tcMar>
              <w:top w:w="90" w:type="dxa"/>
              <w:start w:w="110" w:type="dxa"/>
              <w:bottom w:w="90" w:type="dxa"/>
              <w:end w:w="110" w:type="dxa"/>
            </w:tcMar>
          </w:tcPr>
          <w:p>
            <w:pPr>
              <w:spacing w:after="0"/>
            </w:pPr>
            <w:r>
              <w:rPr>
                <w:rFonts w:ascii="Liberation Mono" w:hAnsi="Liberation Mono"/>
                <w:color w:val="1F2933"/>
                <w:sz w:val="15"/>
              </w:rPr>
              <w:t>score =</w:t>
              <w:br/>
              <w:t xml:space="preserve">    0.30 * capability_match</w:t>
              <w:br/>
              <w:t xml:space="preserve">  + 0.20 * broker_budget_remaining</w:t>
              <w:br/>
              <w:t xml:space="preserve">  + 0.15 * historical_quality</w:t>
              <w:br/>
              <w:t xml:space="preserve">  + 0.10 * reliability</w:t>
              <w:br/>
              <w:t xml:space="preserve">  + 0.10 * context_cache_advantage</w:t>
              <w:br/>
              <w:t xml:space="preserve">  + 0.10 * manual_capacity_override</w:t>
              <w:br/>
              <w:t xml:space="preserve">  - 0.05 * current_load</w:t>
              <w:br/>
              <w:t xml:space="preserve">  - privacy_or_policy_penalties</w:t>
            </w:r>
          </w:p>
        </w:tc>
      </w:tr>
    </w:tbl>
    <w:p>
      <w:pPr>
        <w:spacing w:before="120" w:after="80"/>
      </w:pPr>
      <w:r>
        <w:rPr>
          <w:rFonts w:ascii="Arial" w:hAnsi="Arial"/>
          <w:b/>
          <w:color w:val="153A5B"/>
          <w:sz w:val="30"/>
        </w:rPr>
        <w:t>22.3 Practical signals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5184"/>
        <w:gridCol w:w="5184"/>
      </w:tblGrid>
      <w:tr>
        <w:trPr>
          <w:tblHeader w:val="true"/>
        </w:trPr>
        <w:tc>
          <w:tcPr>
            <w:tcW w:type="dxa" w:w="3024"/>
            <w:shd w:fill="153A5B"/>
            <w:tcMar>
              <w:top w:w="90" w:type="dxa"/>
              <w:start w:w="100" w:type="dxa"/>
              <w:bottom w:w="90" w:type="dxa"/>
              <w:end w:w="100" w:type="dxa"/>
            </w:tcMar>
            <w:vAlign w:val="center"/>
          </w:tcPr>
          <w:p>
            <w:pPr>
              <w:spacing w:after="0"/>
            </w:pPr>
            <w:r>
              <w:rPr>
                <w:rFonts w:ascii="Arial" w:hAnsi="Arial"/>
                <w:b/>
                <w:color w:val="FFFFFF"/>
                <w:sz w:val="16"/>
              </w:rPr>
              <w:t>Signal</w:t>
            </w:r>
          </w:p>
        </w:tc>
        <w:tc>
          <w:tcPr>
            <w:tcW w:type="dxa" w:w="6696"/>
            <w:shd w:fill="153A5B"/>
            <w:tcMar>
              <w:top w:w="90" w:type="dxa"/>
              <w:start w:w="100" w:type="dxa"/>
              <w:bottom w:w="90" w:type="dxa"/>
              <w:end w:w="100" w:type="dxa"/>
            </w:tcMar>
            <w:vAlign w:val="center"/>
          </w:tcPr>
          <w:p>
            <w:pPr>
              <w:spacing w:after="0"/>
            </w:pPr>
            <w:r>
              <w:rPr>
                <w:rFonts w:ascii="Arial" w:hAnsi="Arial"/>
                <w:b/>
                <w:color w:val="FFFFFF"/>
                <w:sz w:val="16"/>
              </w:rPr>
              <w:t>How the broker uses it</w:t>
            </w:r>
          </w:p>
        </w:tc>
      </w:tr>
      <w:tr>
        <w:tc>
          <w:tcPr>
            <w:tcW w:type="dxa" w:w="3024"/>
            <w:shd w:fill="FFFFFF"/>
            <w:tcMar>
              <w:top w:w="90" w:type="dxa"/>
              <w:start w:w="100" w:type="dxa"/>
              <w:bottom w:w="90" w:type="dxa"/>
              <w:end w:w="100" w:type="dxa"/>
            </w:tcMar>
            <w:vAlign w:val="top"/>
          </w:tcPr>
          <w:p>
            <w:pPr>
              <w:spacing w:after="0"/>
            </w:pPr>
            <w:r>
              <w:rPr>
                <w:rFonts w:ascii="Arial" w:hAnsi="Arial"/>
                <w:color w:val="1F2933"/>
                <w:sz w:val="16"/>
              </w:rPr>
              <w:t>Usage reported by completed calls</w:t>
            </w:r>
          </w:p>
        </w:tc>
        <w:tc>
          <w:tcPr>
            <w:tcW w:type="dxa" w:w="6696"/>
            <w:shd w:fill="FFFFFF"/>
            <w:tcMar>
              <w:top w:w="90" w:type="dxa"/>
              <w:start w:w="100" w:type="dxa"/>
              <w:bottom w:w="90" w:type="dxa"/>
              <w:end w:w="100" w:type="dxa"/>
            </w:tcMar>
            <w:vAlign w:val="top"/>
          </w:tcPr>
          <w:p>
            <w:pPr>
              <w:spacing w:after="0"/>
            </w:pPr>
            <w:r>
              <w:rPr>
                <w:rFonts w:ascii="Arial" w:hAnsi="Arial"/>
                <w:color w:val="1F2933"/>
                <w:sz w:val="16"/>
              </w:rPr>
              <w:t>Updates broker-maintained token and cost counters</w:t>
            </w:r>
          </w:p>
        </w:tc>
      </w:tr>
      <w:tr>
        <w:tc>
          <w:tcPr>
            <w:tcW w:type="dxa" w:w="3024"/>
            <w:shd w:fill="F5F7FA"/>
            <w:tcMar>
              <w:top w:w="90" w:type="dxa"/>
              <w:start w:w="100" w:type="dxa"/>
              <w:bottom w:w="90" w:type="dxa"/>
              <w:end w:w="100" w:type="dxa"/>
            </w:tcMar>
            <w:vAlign w:val="top"/>
          </w:tcPr>
          <w:p>
            <w:pPr>
              <w:spacing w:after="0"/>
            </w:pPr>
            <w:r>
              <w:rPr>
                <w:rFonts w:ascii="Arial" w:hAnsi="Arial"/>
                <w:color w:val="1F2933"/>
                <w:sz w:val="16"/>
              </w:rPr>
              <w:t>Rate-limit or capacity error</w:t>
            </w:r>
          </w:p>
        </w:tc>
        <w:tc>
          <w:tcPr>
            <w:tcW w:type="dxa" w:w="6696"/>
            <w:shd w:fill="F5F7FA"/>
            <w:tcMar>
              <w:top w:w="90" w:type="dxa"/>
              <w:start w:w="100" w:type="dxa"/>
              <w:bottom w:w="90" w:type="dxa"/>
              <w:end w:w="100" w:type="dxa"/>
            </w:tcMar>
            <w:vAlign w:val="top"/>
          </w:tcPr>
          <w:p>
            <w:pPr>
              <w:spacing w:after="0"/>
            </w:pPr>
            <w:r>
              <w:rPr>
                <w:rFonts w:ascii="Arial" w:hAnsi="Arial"/>
                <w:color w:val="1F2933"/>
                <w:sz w:val="16"/>
              </w:rPr>
              <w:t>Places that provider in a temporary cooldown and retries with the other model</w:t>
            </w:r>
          </w:p>
        </w:tc>
      </w:tr>
      <w:tr>
        <w:tc>
          <w:tcPr>
            <w:tcW w:type="dxa" w:w="3024"/>
            <w:shd w:fill="FFFFFF"/>
            <w:tcMar>
              <w:top w:w="90" w:type="dxa"/>
              <w:start w:w="100" w:type="dxa"/>
              <w:bottom w:w="90" w:type="dxa"/>
              <w:end w:w="100" w:type="dxa"/>
            </w:tcMar>
            <w:vAlign w:val="top"/>
          </w:tcPr>
          <w:p>
            <w:pPr>
              <w:spacing w:after="0"/>
            </w:pPr>
            <w:r>
              <w:rPr>
                <w:rFonts w:ascii="Arial" w:hAnsi="Arial"/>
                <w:color w:val="1F2933"/>
                <w:sz w:val="16"/>
              </w:rPr>
              <w:t>Manual capacity override 0-1</w:t>
            </w:r>
          </w:p>
        </w:tc>
        <w:tc>
          <w:tcPr>
            <w:tcW w:type="dxa" w:w="6696"/>
            <w:shd w:fill="FFFFFF"/>
            <w:tcMar>
              <w:top w:w="90" w:type="dxa"/>
              <w:start w:w="100" w:type="dxa"/>
              <w:bottom w:w="90" w:type="dxa"/>
              <w:end w:w="100" w:type="dxa"/>
            </w:tcMar>
            <w:vAlign w:val="top"/>
          </w:tcPr>
          <w:p>
            <w:pPr>
              <w:spacing w:after="0"/>
            </w:pPr>
            <w:r>
              <w:rPr>
                <w:rFonts w:ascii="Arial" w:hAnsi="Arial"/>
                <w:color w:val="1F2933"/>
                <w:sz w:val="16"/>
              </w:rPr>
              <w:t>Lets the operator express that one subscription is nearly exhausted or has reset</w:t>
            </w:r>
          </w:p>
        </w:tc>
      </w:tr>
      <w:tr>
        <w:tc>
          <w:tcPr>
            <w:tcW w:type="dxa" w:w="3024"/>
            <w:shd w:fill="F5F7FA"/>
            <w:tcMar>
              <w:top w:w="90" w:type="dxa"/>
              <w:start w:w="100" w:type="dxa"/>
              <w:bottom w:w="90" w:type="dxa"/>
              <w:end w:w="100" w:type="dxa"/>
            </w:tcMar>
            <w:vAlign w:val="top"/>
          </w:tcPr>
          <w:p>
            <w:pPr>
              <w:spacing w:after="0"/>
            </w:pPr>
            <w:r>
              <w:rPr>
                <w:rFonts w:ascii="Arial" w:hAnsi="Arial"/>
                <w:color w:val="1F2933"/>
                <w:sz w:val="16"/>
              </w:rPr>
              <w:t>Failure and acceptance history</w:t>
            </w:r>
          </w:p>
        </w:tc>
        <w:tc>
          <w:tcPr>
            <w:tcW w:type="dxa" w:w="6696"/>
            <w:shd w:fill="F5F7FA"/>
            <w:tcMar>
              <w:top w:w="90" w:type="dxa"/>
              <w:start w:w="100" w:type="dxa"/>
              <w:bottom w:w="90" w:type="dxa"/>
              <w:end w:w="100" w:type="dxa"/>
            </w:tcMar>
            <w:vAlign w:val="top"/>
          </w:tcPr>
          <w:p>
            <w:pPr>
              <w:spacing w:after="0"/>
            </w:pPr>
            <w:r>
              <w:rPr>
                <w:rFonts w:ascii="Arial" w:hAnsi="Arial"/>
                <w:color w:val="1F2933"/>
                <w:sz w:val="16"/>
              </w:rPr>
              <w:t>Reduces routing weight when a provider repeatedly fails a task category</w:t>
            </w:r>
          </w:p>
        </w:tc>
      </w:tr>
      <w:tr>
        <w:tc>
          <w:tcPr>
            <w:tcW w:type="dxa" w:w="3024"/>
            <w:shd w:fill="FFFFFF"/>
            <w:tcMar>
              <w:top w:w="90" w:type="dxa"/>
              <w:start w:w="100" w:type="dxa"/>
              <w:bottom w:w="90" w:type="dxa"/>
              <w:end w:w="100" w:type="dxa"/>
            </w:tcMar>
            <w:vAlign w:val="top"/>
          </w:tcPr>
          <w:p>
            <w:pPr>
              <w:spacing w:after="0"/>
            </w:pPr>
            <w:r>
              <w:rPr>
                <w:rFonts w:ascii="Arial" w:hAnsi="Arial"/>
                <w:color w:val="1F2933"/>
                <w:sz w:val="16"/>
              </w:rPr>
              <w:t>Latency and queue pressure</w:t>
            </w:r>
          </w:p>
        </w:tc>
        <w:tc>
          <w:tcPr>
            <w:tcW w:type="dxa" w:w="6696"/>
            <w:shd w:fill="FFFFFF"/>
            <w:tcMar>
              <w:top w:w="90" w:type="dxa"/>
              <w:start w:w="100" w:type="dxa"/>
              <w:bottom w:w="90" w:type="dxa"/>
              <w:end w:w="100" w:type="dxa"/>
            </w:tcMar>
            <w:vAlign w:val="top"/>
          </w:tcPr>
          <w:p>
            <w:pPr>
              <w:spacing w:after="0"/>
            </w:pPr>
            <w:r>
              <w:rPr>
                <w:rFonts w:ascii="Arial" w:hAnsi="Arial"/>
                <w:color w:val="1F2933"/>
                <w:sz w:val="16"/>
              </w:rPr>
              <w:t>Moves routine work to the less-loaded provider</w:t>
            </w:r>
          </w:p>
        </w:tc>
      </w:tr>
      <w:tr>
        <w:tc>
          <w:tcPr>
            <w:tcW w:type="dxa" w:w="3024"/>
            <w:shd w:fill="F5F7FA"/>
            <w:tcMar>
              <w:top w:w="90" w:type="dxa"/>
              <w:start w:w="100" w:type="dxa"/>
              <w:bottom w:w="90" w:type="dxa"/>
              <w:end w:w="100" w:type="dxa"/>
            </w:tcMar>
            <w:vAlign w:val="top"/>
          </w:tcPr>
          <w:p>
            <w:pPr>
              <w:spacing w:after="0"/>
            </w:pPr>
            <w:r>
              <w:rPr>
                <w:rFonts w:ascii="Arial" w:hAnsi="Arial"/>
                <w:color w:val="1F2933"/>
                <w:sz w:val="16"/>
              </w:rPr>
              <w:t>Task affinity</w:t>
            </w:r>
          </w:p>
        </w:tc>
        <w:tc>
          <w:tcPr>
            <w:tcW w:type="dxa" w:w="6696"/>
            <w:shd w:fill="F5F7FA"/>
            <w:tcMar>
              <w:top w:w="90" w:type="dxa"/>
              <w:start w:w="100" w:type="dxa"/>
              <w:bottom w:w="90" w:type="dxa"/>
              <w:end w:w="100" w:type="dxa"/>
            </w:tcMar>
            <w:vAlign w:val="top"/>
          </w:tcPr>
          <w:p>
            <w:pPr>
              <w:spacing w:after="0"/>
            </w:pPr>
            <w:r>
              <w:rPr>
                <w:rFonts w:ascii="Arial" w:hAnsi="Arial"/>
                <w:color w:val="1F2933"/>
                <w:sz w:val="16"/>
              </w:rPr>
              <w:t>Adds a small preference based on measured performance, never a permanent role assignment</w:t>
            </w:r>
          </w:p>
        </w:tc>
      </w:tr>
    </w:tbl>
    <w:p>
      <w:pPr>
        <w:spacing w:after="0"/>
      </w:pPr>
    </w:p>
    <w:tbl>
      <w:tblPr>
        <w:tblW w:type="auto" w:w="0"/>
        <w:jc w:val="center"/>
        <w:tblLayout w:type="fixed"/>
        <w:tblLook w:firstColumn="1" w:firstRow="1" w:lastColumn="0" w:lastRow="0" w:noHBand="0" w:noVBand="1" w:val="04A0"/>
        <w:tblBorders>
          <w:top w:val="single" w:sz="8" w:space="0" w:color="E88A2E"/>
          <w:left w:val="single" w:sz="8" w:space="0" w:color="E88A2E"/>
          <w:bottom w:val="single" w:sz="8" w:space="0" w:color="E88A2E"/>
          <w:right w:val="single" w:sz="8" w:space="0" w:color="E88A2E"/>
          <w:insideH w:val="single" w:sz="8" w:space="0" w:color="E88A2E"/>
          <w:insideV w:val="single" w:sz="8" w:space="0" w:color="E88A2E"/>
        </w:tblBorders>
      </w:tblPr>
      <w:tblGrid>
        <w:gridCol w:w="9720"/>
      </w:tblGrid>
      <w:tr>
        <w:tc>
          <w:tcPr>
            <w:tcW w:type="dxa" w:w="10368"/>
            <w:shd w:fill="FFF0E1"/>
            <w:tcMar>
              <w:top w:w="100" w:type="dxa"/>
              <w:start w:w="130" w:type="dxa"/>
              <w:bottom w:w="100" w:type="dxa"/>
              <w:end w:w="130" w:type="dxa"/>
            </w:tcMar>
          </w:tcPr>
          <w:p>
            <w:pPr>
              <w:spacing w:after="40"/>
            </w:pPr>
            <w:r>
              <w:rPr>
                <w:rFonts w:ascii="Arial" w:hAnsi="Arial"/>
                <w:b/>
                <w:color w:val="E88A2E"/>
                <w:sz w:val="20"/>
              </w:rPr>
              <w:t>Known limitation</w:t>
            </w:r>
          </w:p>
          <w:p>
            <w:pPr>
              <w:spacing w:after="0"/>
            </w:pPr>
            <w:r>
              <w:rPr>
                <w:rFonts w:ascii="Arial" w:hAnsi="Arial"/>
                <w:color w:val="1F2933"/>
                <w:sz w:val="18"/>
              </w:rPr>
              <w:t>Consumer subscription CLIs do not provide one dependable universal API for exact tokens remaining. The broker should use observed usage, provider headers when available, failures, cooldowns, and operator capacity overrides rather than pretending the remaining allowance is known precisely.</w:t>
            </w:r>
          </w:p>
        </w:tc>
      </w:tr>
    </w:tbl>
    <w:p>
      <w:pPr>
        <w:spacing w:after="0"/>
      </w:pPr>
    </w:p>
    <w:p>
      <w:r>
        <w:br w:type="page"/>
      </w:r>
    </w:p>
    <w:p>
      <w:pPr>
        <w:spacing w:after="80"/>
      </w:pPr>
      <w:r>
        <w:rPr>
          <w:rFonts w:ascii="Arial" w:hAnsi="Arial"/>
          <w:b/>
          <w:color w:val="153A5B"/>
          <w:sz w:val="48"/>
        </w:rPr>
        <w:t>23. Quality Gates and Majority Convergence</w:t>
      </w:r>
    </w:p>
    <w:p>
      <w:pPr>
        <w:spacing w:before="120" w:after="80"/>
      </w:pPr>
      <w:r>
        <w:rPr>
          <w:rFonts w:ascii="Arial" w:hAnsi="Arial"/>
          <w:b/>
          <w:color w:val="153A5B"/>
          <w:sz w:val="30"/>
        </w:rPr>
        <w:t>23.1 Deterministic gates are mandatory</w:t>
      </w:r>
    </w:p>
    <w:p>
      <w:pPr>
        <w:pStyle w:val="ListBullet"/>
        <w:spacing w:after="40"/>
        <w:ind w:left="259" w:hanging="173"/>
      </w:pPr>
      <w:r>
        <w:rPr>
          <w:rFonts w:ascii="Arial" w:hAnsi="Arial"/>
          <w:color w:val="1F2933"/>
          <w:sz w:val="18"/>
        </w:rPr>
        <w:t>Repository tests, lint, type checks, build, and approved security scanners run before model voting.</w:t>
      </w:r>
    </w:p>
    <w:p>
      <w:pPr>
        <w:pStyle w:val="ListBullet"/>
        <w:spacing w:after="40"/>
        <w:ind w:left="259" w:hanging="173"/>
      </w:pPr>
      <w:r>
        <w:rPr>
          <w:rFonts w:ascii="Arial" w:hAnsi="Arial"/>
          <w:color w:val="1F2933"/>
          <w:sz w:val="18"/>
        </w:rPr>
        <w:t>A failed deterministic gate cannot be overruled by confident model opinions.</w:t>
      </w:r>
    </w:p>
    <w:p>
      <w:pPr>
        <w:pStyle w:val="ListBullet"/>
        <w:spacing w:after="40"/>
        <w:ind w:left="259" w:hanging="173"/>
      </w:pPr>
      <w:r>
        <w:rPr>
          <w:rFonts w:ascii="Arial" w:hAnsi="Arial"/>
          <w:color w:val="1F2933"/>
          <w:sz w:val="18"/>
        </w:rPr>
        <w:t>Reviewers must cite files, diffs, commands, test output, and acceptance criteria evidence.</w:t>
      </w:r>
    </w:p>
    <w:p>
      <w:pPr>
        <w:spacing w:before="120" w:after="80"/>
      </w:pPr>
      <w:r>
        <w:rPr>
          <w:rFonts w:ascii="Arial" w:hAnsi="Arial"/>
          <w:b/>
          <w:color w:val="153A5B"/>
          <w:sz w:val="30"/>
        </w:rPr>
        <w:t>23.2 Three-member agent panel</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56"/>
        <w:gridCol w:w="3456"/>
        <w:gridCol w:w="3456"/>
      </w:tblGrid>
      <w:tr>
        <w:trPr>
          <w:tblHeader w:val="true"/>
        </w:trPr>
        <w:tc>
          <w:tcPr>
            <w:tcW w:type="dxa" w:w="2088"/>
            <w:shd w:fill="153A5B"/>
            <w:tcMar>
              <w:top w:w="90" w:type="dxa"/>
              <w:start w:w="100" w:type="dxa"/>
              <w:bottom w:w="90" w:type="dxa"/>
              <w:end w:w="100" w:type="dxa"/>
            </w:tcMar>
            <w:vAlign w:val="center"/>
          </w:tcPr>
          <w:p>
            <w:pPr>
              <w:spacing w:after="0"/>
            </w:pPr>
            <w:r>
              <w:rPr>
                <w:rFonts w:ascii="Arial" w:hAnsi="Arial"/>
                <w:b/>
                <w:color w:val="FFFFFF"/>
                <w:sz w:val="16"/>
              </w:rPr>
              <w:t>Panel member</w:t>
            </w:r>
          </w:p>
        </w:tc>
        <w:tc>
          <w:tcPr>
            <w:tcW w:type="dxa" w:w="5400"/>
            <w:shd w:fill="153A5B"/>
            <w:tcMar>
              <w:top w:w="90" w:type="dxa"/>
              <w:start w:w="100" w:type="dxa"/>
              <w:bottom w:w="90" w:type="dxa"/>
              <w:end w:w="100" w:type="dxa"/>
            </w:tcMar>
            <w:vAlign w:val="center"/>
          </w:tcPr>
          <w:p>
            <w:pPr>
              <w:spacing w:after="0"/>
            </w:pPr>
            <w:r>
              <w:rPr>
                <w:rFonts w:ascii="Arial" w:hAnsi="Arial"/>
                <w:b/>
                <w:color w:val="FFFFFF"/>
                <w:sz w:val="16"/>
              </w:rPr>
              <w:t>Purpose</w:t>
            </w:r>
          </w:p>
        </w:tc>
        <w:tc>
          <w:tcPr>
            <w:tcW w:type="dxa" w:w="2232"/>
            <w:shd w:fill="153A5B"/>
            <w:tcMar>
              <w:top w:w="90" w:type="dxa"/>
              <w:start w:w="100" w:type="dxa"/>
              <w:bottom w:w="90" w:type="dxa"/>
              <w:end w:w="100" w:type="dxa"/>
            </w:tcMar>
            <w:vAlign w:val="center"/>
          </w:tcPr>
          <w:p>
            <w:pPr>
              <w:spacing w:after="0"/>
            </w:pPr>
            <w:r>
              <w:rPr>
                <w:rFonts w:ascii="Arial" w:hAnsi="Arial"/>
                <w:b/>
                <w:color w:val="FFFFFF"/>
                <w:sz w:val="16"/>
              </w:rPr>
              <w:t>Independence</w:t>
            </w:r>
          </w:p>
        </w:tc>
      </w:tr>
      <w:tr>
        <w:tc>
          <w:tcPr>
            <w:tcW w:type="dxa" w:w="2088"/>
            <w:shd w:fill="FFFFFF"/>
            <w:tcMar>
              <w:top w:w="90" w:type="dxa"/>
              <w:start w:w="100" w:type="dxa"/>
              <w:bottom w:w="90" w:type="dxa"/>
              <w:end w:w="100" w:type="dxa"/>
            </w:tcMar>
            <w:vAlign w:val="top"/>
          </w:tcPr>
          <w:p>
            <w:pPr>
              <w:spacing w:after="0"/>
            </w:pPr>
            <w:r>
              <w:rPr>
                <w:rFonts w:ascii="Arial" w:hAnsi="Arial"/>
                <w:color w:val="1F2933"/>
                <w:sz w:val="16"/>
              </w:rPr>
              <w:t>Claude reviewer</w:t>
            </w:r>
          </w:p>
        </w:tc>
        <w:tc>
          <w:tcPr>
            <w:tcW w:type="dxa" w:w="5400"/>
            <w:shd w:fill="FFFFFF"/>
            <w:tcMar>
              <w:top w:w="90" w:type="dxa"/>
              <w:start w:w="100" w:type="dxa"/>
              <w:bottom w:w="90" w:type="dxa"/>
              <w:end w:w="100" w:type="dxa"/>
            </w:tcMar>
            <w:vAlign w:val="top"/>
          </w:tcPr>
          <w:p>
            <w:pPr>
              <w:spacing w:after="0"/>
            </w:pPr>
            <w:r>
              <w:rPr>
                <w:rFonts w:ascii="Arial" w:hAnsi="Arial"/>
                <w:color w:val="1F2933"/>
                <w:sz w:val="16"/>
              </w:rPr>
              <w:t>Architecture, requirements, correctness, maintainability, security</w:t>
            </w:r>
          </w:p>
        </w:tc>
        <w:tc>
          <w:tcPr>
            <w:tcW w:type="dxa" w:w="2232"/>
            <w:shd w:fill="FFFFFF"/>
            <w:tcMar>
              <w:top w:w="90" w:type="dxa"/>
              <w:start w:w="100" w:type="dxa"/>
              <w:bottom w:w="90" w:type="dxa"/>
              <w:end w:w="100" w:type="dxa"/>
            </w:tcMar>
            <w:vAlign w:val="top"/>
          </w:tcPr>
          <w:p>
            <w:pPr>
              <w:spacing w:after="0"/>
            </w:pPr>
            <w:r>
              <w:rPr>
                <w:rFonts w:ascii="Arial" w:hAnsi="Arial"/>
                <w:color w:val="1F2933"/>
                <w:sz w:val="16"/>
              </w:rPr>
              <w:t>Fresh read-only session</w:t>
            </w:r>
          </w:p>
        </w:tc>
      </w:tr>
      <w:tr>
        <w:tc>
          <w:tcPr>
            <w:tcW w:type="dxa" w:w="2088"/>
            <w:shd w:fill="F5F7FA"/>
            <w:tcMar>
              <w:top w:w="90" w:type="dxa"/>
              <w:start w:w="100" w:type="dxa"/>
              <w:bottom w:w="90" w:type="dxa"/>
              <w:end w:w="100" w:type="dxa"/>
            </w:tcMar>
            <w:vAlign w:val="top"/>
          </w:tcPr>
          <w:p>
            <w:pPr>
              <w:spacing w:after="0"/>
            </w:pPr>
            <w:r>
              <w:rPr>
                <w:rFonts w:ascii="Arial" w:hAnsi="Arial"/>
                <w:color w:val="1F2933"/>
                <w:sz w:val="16"/>
              </w:rPr>
              <w:t>Codex reviewer</w:t>
            </w:r>
          </w:p>
        </w:tc>
        <w:tc>
          <w:tcPr>
            <w:tcW w:type="dxa" w:w="5400"/>
            <w:shd w:fill="F5F7FA"/>
            <w:tcMar>
              <w:top w:w="90" w:type="dxa"/>
              <w:start w:w="100" w:type="dxa"/>
              <w:bottom w:w="90" w:type="dxa"/>
              <w:end w:w="100" w:type="dxa"/>
            </w:tcMar>
            <w:vAlign w:val="top"/>
          </w:tcPr>
          <w:p>
            <w:pPr>
              <w:spacing w:after="0"/>
            </w:pPr>
            <w:r>
              <w:rPr>
                <w:rFonts w:ascii="Arial" w:hAnsi="Arial"/>
                <w:color w:val="1F2933"/>
                <w:sz w:val="16"/>
              </w:rPr>
              <w:t>Implementation quality, tests, regressions, edge cases, repository conventions</w:t>
            </w:r>
          </w:p>
        </w:tc>
        <w:tc>
          <w:tcPr>
            <w:tcW w:type="dxa" w:w="2232"/>
            <w:shd w:fill="F5F7FA"/>
            <w:tcMar>
              <w:top w:w="90" w:type="dxa"/>
              <w:start w:w="100" w:type="dxa"/>
              <w:bottom w:w="90" w:type="dxa"/>
              <w:end w:w="100" w:type="dxa"/>
            </w:tcMar>
            <w:vAlign w:val="top"/>
          </w:tcPr>
          <w:p>
            <w:pPr>
              <w:spacing w:after="0"/>
            </w:pPr>
            <w:r>
              <w:rPr>
                <w:rFonts w:ascii="Arial" w:hAnsi="Arial"/>
                <w:color w:val="1F2933"/>
                <w:sz w:val="16"/>
              </w:rPr>
              <w:t>Fresh read-only session</w:t>
            </w:r>
          </w:p>
        </w:tc>
      </w:tr>
      <w:tr>
        <w:tc>
          <w:tcPr>
            <w:tcW w:type="dxa" w:w="2088"/>
            <w:shd w:fill="FFFFFF"/>
            <w:tcMar>
              <w:top w:w="90" w:type="dxa"/>
              <w:start w:w="100" w:type="dxa"/>
              <w:bottom w:w="90" w:type="dxa"/>
              <w:end w:w="100" w:type="dxa"/>
            </w:tcMar>
            <w:vAlign w:val="top"/>
          </w:tcPr>
          <w:p>
            <w:pPr>
              <w:spacing w:after="0"/>
            </w:pPr>
            <w:r>
              <w:rPr>
                <w:rFonts w:ascii="Arial" w:hAnsi="Arial"/>
                <w:color w:val="1F2933"/>
                <w:sz w:val="16"/>
              </w:rPr>
              <w:t>Load-balanced arbiter</w:t>
            </w:r>
          </w:p>
        </w:tc>
        <w:tc>
          <w:tcPr>
            <w:tcW w:type="dxa" w:w="5400"/>
            <w:shd w:fill="FFFFFF"/>
            <w:tcMar>
              <w:top w:w="90" w:type="dxa"/>
              <w:start w:w="100" w:type="dxa"/>
              <w:bottom w:w="90" w:type="dxa"/>
              <w:end w:w="100" w:type="dxa"/>
            </w:tcMar>
            <w:vAlign w:val="top"/>
          </w:tcPr>
          <w:p>
            <w:pPr>
              <w:spacing w:after="0"/>
            </w:pPr>
            <w:r>
              <w:rPr>
                <w:rFonts w:ascii="Arial" w:hAnsi="Arial"/>
                <w:color w:val="1F2933"/>
                <w:sz w:val="16"/>
              </w:rPr>
              <w:t>Rechecks disputed criteria and determines whether evidence converges</w:t>
            </w:r>
          </w:p>
        </w:tc>
        <w:tc>
          <w:tcPr>
            <w:tcW w:type="dxa" w:w="2232"/>
            <w:shd w:fill="FFFFFF"/>
            <w:tcMar>
              <w:top w:w="90" w:type="dxa"/>
              <w:start w:w="100" w:type="dxa"/>
              <w:bottom w:w="90" w:type="dxa"/>
              <w:end w:w="100" w:type="dxa"/>
            </w:tcMar>
            <w:vAlign w:val="top"/>
          </w:tcPr>
          <w:p>
            <w:pPr>
              <w:spacing w:after="0"/>
            </w:pPr>
            <w:r>
              <w:rPr>
                <w:rFonts w:ascii="Arial" w:hAnsi="Arial"/>
                <w:color w:val="1F2933"/>
                <w:sz w:val="16"/>
              </w:rPr>
              <w:t>Fresh session chosen by broker</w:t>
            </w:r>
          </w:p>
        </w:tc>
      </w:tr>
    </w:tbl>
    <w:p>
      <w:pPr>
        <w:spacing w:after="0"/>
      </w:pPr>
    </w:p>
    <w:p>
      <w:pPr>
        <w:spacing w:before="120" w:after="80"/>
      </w:pPr>
      <w:r>
        <w:rPr>
          <w:rFonts w:ascii="Arial" w:hAnsi="Arial"/>
          <w:b/>
          <w:color w:val="153A5B"/>
          <w:sz w:val="30"/>
        </w:rPr>
        <w:t>23.3 Completion policy</w:t>
      </w:r>
    </w:p>
    <w:tbl>
      <w:tblPr>
        <w:tblW w:type="auto" w:w="0"/>
        <w:jc w:val="center"/>
        <w:tblLook w:firstColumn="1" w:firstRow="1" w:lastColumn="0" w:lastRow="0" w:noHBand="0" w:noVBand="1" w:val="04A0"/>
        <w:tblBorders>
          <w:top w:val="single" w:sz="4" w:space="0" w:color="CBD2D9"/>
          <w:left w:val="single" w:sz="4" w:space="0" w:color="CBD2D9"/>
          <w:bottom w:val="single" w:sz="4" w:space="0" w:color="CBD2D9"/>
          <w:right w:val="single" w:sz="4" w:space="0" w:color="CBD2D9"/>
          <w:insideH w:val="single" w:sz="4" w:space="0" w:color="CBD2D9"/>
          <w:insideV w:val="single" w:sz="4" w:space="0" w:color="CBD2D9"/>
        </w:tblBorders>
      </w:tblPr>
      <w:tblGrid>
        <w:gridCol w:w="10368"/>
      </w:tblGrid>
      <w:tr>
        <w:tc>
          <w:tcPr>
            <w:tcW w:type="dxa" w:w="10368"/>
            <w:shd w:fill="F4F6F8"/>
            <w:tcMar>
              <w:top w:w="90" w:type="dxa"/>
              <w:start w:w="110" w:type="dxa"/>
              <w:bottom w:w="90" w:type="dxa"/>
              <w:end w:w="110" w:type="dxa"/>
            </w:tcMar>
          </w:tcPr>
          <w:p>
            <w:pPr>
              <w:spacing w:after="0"/>
            </w:pPr>
            <w:r>
              <w:rPr>
                <w:rFonts w:ascii="Liberation Mono" w:hAnsi="Liberation Mono"/>
                <w:color w:val="1F2933"/>
                <w:sz w:val="15"/>
              </w:rPr>
              <w:t>COMPLETE only when:</w:t>
              <w:br/>
              <w:t xml:space="preserve">  deterministic_gates == PASS</w:t>
              <w:br/>
              <w:t xml:space="preserve">  AND approvals &gt;= 2 of 3</w:t>
              <w:br/>
              <w:t xml:space="preserve">  AND unresolved_blockers == 0</w:t>
              <w:br/>
              <w:t xml:space="preserve">  AND every acceptance criterion has evidence</w:t>
              <w:br/>
              <w:t xml:space="preserve">  AND required human approvals are recorded</w:t>
            </w:r>
          </w:p>
        </w:tc>
      </w:tr>
    </w:tbl>
    <w:p>
      <w:pPr>
        <w:spacing w:before="120" w:after="80"/>
      </w:pPr>
      <w:r>
        <w:rPr>
          <w:rFonts w:ascii="Arial" w:hAnsi="Arial"/>
          <w:b/>
          <w:color w:val="153A5B"/>
          <w:sz w:val="30"/>
        </w:rPr>
        <w:t>23.4 Defect return path</w:t>
      </w:r>
    </w:p>
    <w:p>
      <w:pPr>
        <w:pStyle w:val="ListBullet"/>
        <w:spacing w:after="40"/>
        <w:ind w:left="259" w:hanging="173"/>
      </w:pPr>
      <w:r>
        <w:rPr>
          <w:rFonts w:ascii="Arial" w:hAnsi="Arial"/>
          <w:color w:val="1F2933"/>
          <w:sz w:val="18"/>
        </w:rPr>
        <w:t>Requirement ambiguity returns to Business Analyst or Product Manager.</w:t>
      </w:r>
    </w:p>
    <w:p>
      <w:pPr>
        <w:pStyle w:val="ListBullet"/>
        <w:spacing w:after="40"/>
        <w:ind w:left="259" w:hanging="173"/>
      </w:pPr>
      <w:r>
        <w:rPr>
          <w:rFonts w:ascii="Arial" w:hAnsi="Arial"/>
          <w:color w:val="1F2933"/>
          <w:sz w:val="18"/>
        </w:rPr>
        <w:t>Architecture defect returns to Solution Architect or Security Architect.</w:t>
      </w:r>
    </w:p>
    <w:p>
      <w:pPr>
        <w:pStyle w:val="ListBullet"/>
        <w:spacing w:after="40"/>
        <w:ind w:left="259" w:hanging="173"/>
      </w:pPr>
      <w:r>
        <w:rPr>
          <w:rFonts w:ascii="Arial" w:hAnsi="Arial"/>
          <w:color w:val="1F2933"/>
          <w:sz w:val="18"/>
        </w:rPr>
        <w:t>Implementation defect returns to the Code Writer role.</w:t>
      </w:r>
    </w:p>
    <w:p>
      <w:pPr>
        <w:pStyle w:val="ListBullet"/>
        <w:spacing w:after="40"/>
        <w:ind w:left="259" w:hanging="173"/>
      </w:pPr>
      <w:r>
        <w:rPr>
          <w:rFonts w:ascii="Arial" w:hAnsi="Arial"/>
          <w:color w:val="1F2933"/>
          <w:sz w:val="18"/>
        </w:rPr>
        <w:t>Test defect returns to Test Designer or QA owner.</w:t>
      </w:r>
    </w:p>
    <w:p>
      <w:pPr>
        <w:pStyle w:val="ListBullet"/>
        <w:spacing w:after="40"/>
        <w:ind w:left="259" w:hanging="173"/>
      </w:pPr>
      <w:r>
        <w:rPr>
          <w:rFonts w:ascii="Arial" w:hAnsi="Arial"/>
          <w:color w:val="1F2933"/>
          <w:sz w:val="18"/>
        </w:rPr>
        <w:t>Deployment defect returns to DevOps Engineer.</w:t>
      </w:r>
    </w:p>
    <w:p>
      <w:pPr>
        <w:pStyle w:val="ListBullet"/>
        <w:spacing w:after="40"/>
        <w:ind w:left="259" w:hanging="173"/>
      </w:pPr>
      <w:r>
        <w:rPr>
          <w:rFonts w:ascii="Arial" w:hAnsi="Arial"/>
          <w:color w:val="1F2933"/>
          <w:sz w:val="18"/>
        </w:rPr>
        <w:t>Reviewers do not silently repair the work they are judging.</w:t>
      </w:r>
    </w:p>
    <w:p>
      <w:r>
        <w:br w:type="page"/>
      </w:r>
    </w:p>
    <w:p>
      <w:pPr>
        <w:spacing w:after="80"/>
      </w:pPr>
      <w:r>
        <w:rPr>
          <w:rFonts w:ascii="Arial" w:hAnsi="Arial"/>
          <w:b/>
          <w:color w:val="153A5B"/>
          <w:sz w:val="48"/>
        </w:rPr>
        <w:t>24. Repository and Skill Structure</w:t>
      </w:r>
    </w:p>
    <w:tbl>
      <w:tblPr>
        <w:tblW w:type="auto" w:w="0"/>
        <w:jc w:val="center"/>
        <w:tblLook w:firstColumn="1" w:firstRow="1" w:lastColumn="0" w:lastRow="0" w:noHBand="0" w:noVBand="1" w:val="04A0"/>
        <w:tblBorders>
          <w:top w:val="single" w:sz="4" w:space="0" w:color="CBD2D9"/>
          <w:left w:val="single" w:sz="4" w:space="0" w:color="CBD2D9"/>
          <w:bottom w:val="single" w:sz="4" w:space="0" w:color="CBD2D9"/>
          <w:right w:val="single" w:sz="4" w:space="0" w:color="CBD2D9"/>
          <w:insideH w:val="single" w:sz="4" w:space="0" w:color="CBD2D9"/>
          <w:insideV w:val="single" w:sz="4" w:space="0" w:color="CBD2D9"/>
        </w:tblBorders>
      </w:tblPr>
      <w:tblGrid>
        <w:gridCol w:w="10368"/>
      </w:tblGrid>
      <w:tr>
        <w:tc>
          <w:tcPr>
            <w:tcW w:type="dxa" w:w="10368"/>
            <w:shd w:fill="F4F6F8"/>
            <w:tcMar>
              <w:top w:w="90" w:type="dxa"/>
              <w:start w:w="110" w:type="dxa"/>
              <w:bottom w:w="90" w:type="dxa"/>
              <w:end w:w="110" w:type="dxa"/>
            </w:tcMar>
          </w:tcPr>
          <w:p>
            <w:pPr>
              <w:spacing w:after="0"/>
            </w:pPr>
            <w:r>
              <w:rPr>
                <w:rFonts w:ascii="Liberation Mono" w:hAnsi="Liberation Mono"/>
                <w:color w:val="1F2933"/>
                <w:sz w:val="15"/>
              </w:rPr>
              <w:t>your-business-project/</w:t>
              <w:br/>
              <w:t>├── CLAUDE.md</w:t>
              <w:br/>
              <w:t>├── AGENTS.md</w:t>
              <w:br/>
              <w:t>├── .claude/</w:t>
              <w:br/>
              <w:t>│   ├── agents/                 # 14+ specialist role definitions</w:t>
              <w:br/>
              <w:t>│   └── skills/ai-broker/       # enqueue and broker-control skill</w:t>
              <w:br/>
              <w:t>├── .codex/</w:t>
              <w:br/>
              <w:t>│   └── skills/ai-broker/       # same broker contract for Codex</w:t>
              <w:br/>
              <w:t>├── broker.config.json</w:t>
              <w:br/>
              <w:t>├── work-units/</w:t>
              <w:br/>
              <w:t>│   ├── queued/</w:t>
              <w:br/>
              <w:t>│   ├── approved/</w:t>
              <w:br/>
              <w:t>│   └── completed/</w:t>
              <w:br/>
              <w:t>├── docs/</w:t>
              <w:br/>
              <w:t>│   ├── requirements/</w:t>
              <w:br/>
              <w:t>│   ├── architecture/</w:t>
              <w:br/>
              <w:t>│   ├── decisions/</w:t>
              <w:br/>
              <w:t>│   ├── test-reports/</w:t>
              <w:br/>
              <w:t>│   └── release-notes/</w:t>
              <w:br/>
              <w:t>├── .ai-broker/</w:t>
              <w:br/>
              <w:t>│   ├── state.json</w:t>
              <w:br/>
              <w:t>│   ├── runs/</w:t>
              <w:br/>
              <w:t>│   ├── logs/</w:t>
              <w:br/>
              <w:t>│   └── verdicts/</w:t>
              <w:br/>
              <w:t>└── src/</w:t>
              <w:br/>
              <w:br/>
              <w:t>&lt;repo-parent&gt;/.ai-broker-worktrees/&lt;repo&gt;/&lt;work-unit-id&gt;/</w:t>
            </w:r>
          </w:p>
        </w:tc>
      </w:tr>
    </w:tbl>
    <w:p>
      <w:pPr>
        <w:spacing w:before="120" w:after="80"/>
      </w:pPr>
      <w:r>
        <w:rPr>
          <w:rFonts w:ascii="Arial" w:hAnsi="Arial"/>
          <w:b/>
          <w:color w:val="153A5B"/>
          <w:sz w:val="30"/>
        </w:rPr>
        <w:t>24.1 Invocation boundaries</w:t>
      </w:r>
    </w:p>
    <w:p>
      <w:pPr>
        <w:pStyle w:val="ListBullet"/>
        <w:spacing w:after="40"/>
        <w:ind w:left="259" w:hanging="173"/>
      </w:pPr>
      <w:r>
        <w:rPr>
          <w:rFonts w:ascii="Arial" w:hAnsi="Arial"/>
          <w:color w:val="1F2933"/>
          <w:sz w:val="18"/>
        </w:rPr>
        <w:t>Interactive Claude or Codex may create and enqueue a work unit through the broker skill.</w:t>
      </w:r>
    </w:p>
    <w:p>
      <w:pPr>
        <w:pStyle w:val="ListBullet"/>
        <w:spacing w:after="40"/>
        <w:ind w:left="259" w:hanging="173"/>
      </w:pPr>
      <w:r>
        <w:rPr>
          <w:rFonts w:ascii="Arial" w:hAnsi="Arial"/>
          <w:color w:val="1F2933"/>
          <w:sz w:val="18"/>
        </w:rPr>
        <w:t>A broker-spawned worker is a leaf worker: it cannot recursively call the broker or create uncontrolled subagents.</w:t>
      </w:r>
    </w:p>
    <w:p>
      <w:pPr>
        <w:pStyle w:val="ListBullet"/>
        <w:spacing w:after="40"/>
        <w:ind w:left="259" w:hanging="173"/>
      </w:pPr>
      <w:r>
        <w:rPr>
          <w:rFonts w:ascii="Arial" w:hAnsi="Arial"/>
          <w:color w:val="1F2933"/>
          <w:sz w:val="18"/>
        </w:rPr>
        <w:t>Planning and review sessions run read-only; only the assigned implementer receives worktree write access.</w:t>
      </w:r>
    </w:p>
    <w:p>
      <w:pPr>
        <w:pStyle w:val="ListBullet"/>
        <w:spacing w:after="40"/>
        <w:ind w:left="259" w:hanging="173"/>
      </w:pPr>
      <w:r>
        <w:rPr>
          <w:rFonts w:ascii="Arial" w:hAnsi="Arial"/>
          <w:color w:val="1F2933"/>
          <w:sz w:val="18"/>
        </w:rPr>
        <w:t>No worker may push, merge, deploy, change Git remotes, or use production credentials without explicit policy and human approval.</w:t>
      </w:r>
    </w:p>
    <w:p>
      <w:pPr>
        <w:spacing w:before="120" w:after="80"/>
      </w:pPr>
      <w:r>
        <w:rPr>
          <w:rFonts w:ascii="Arial" w:hAnsi="Arial"/>
          <w:b/>
          <w:color w:val="153A5B"/>
          <w:sz w:val="30"/>
        </w:rPr>
        <w:t>24.2 Universal handoff extension</w:t>
      </w:r>
    </w:p>
    <w:p>
      <w:pPr>
        <w:pStyle w:val="ListBullet"/>
        <w:spacing w:after="40"/>
        <w:ind w:left="259" w:hanging="173"/>
      </w:pPr>
      <w:r>
        <w:rPr>
          <w:rFonts w:ascii="Arial" w:hAnsi="Arial"/>
          <w:color w:val="1F2933"/>
          <w:sz w:val="18"/>
        </w:rPr>
        <w:t>Original fields: task completed, inputs reviewed, decisions, deliverables, affected files, assumptions, risks, open questions, acceptance status, next agent, human approval.</w:t>
      </w:r>
    </w:p>
    <w:p>
      <w:pPr>
        <w:pStyle w:val="ListBullet"/>
        <w:spacing w:after="40"/>
        <w:ind w:left="259" w:hanging="173"/>
      </w:pPr>
      <w:r>
        <w:rPr>
          <w:rFonts w:ascii="Arial" w:hAnsi="Arial"/>
          <w:color w:val="1F2933"/>
          <w:sz w:val="18"/>
        </w:rPr>
        <w:t>Broker fields: work-unit ID, provider/model, role, session/run ID, worktree, commands executed, token usage, gate results, review verdict, retry count, and artifact hashes.</w:t>
      </w:r>
    </w:p>
    <w:p>
      <w:r>
        <w:br w:type="page"/>
      </w:r>
    </w:p>
    <w:p>
      <w:pPr>
        <w:spacing w:after="80"/>
      </w:pPr>
      <w:r>
        <w:rPr>
          <w:rFonts w:ascii="Arial" w:hAnsi="Arial"/>
          <w:b/>
          <w:color w:val="153A5B"/>
          <w:sz w:val="48"/>
        </w:rPr>
        <w:t>25. Recommended Rollout for Claude + Codex</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56"/>
        <w:gridCol w:w="3456"/>
        <w:gridCol w:w="3456"/>
      </w:tblGrid>
      <w:tr>
        <w:trPr>
          <w:tblHeader w:val="true"/>
        </w:trPr>
        <w:tc>
          <w:tcPr>
            <w:tcW w:type="dxa" w:w="1800"/>
            <w:shd w:fill="153A5B"/>
            <w:tcMar>
              <w:top w:w="90" w:type="dxa"/>
              <w:start w:w="100" w:type="dxa"/>
              <w:bottom w:w="90" w:type="dxa"/>
              <w:end w:w="100" w:type="dxa"/>
            </w:tcMar>
            <w:vAlign w:val="center"/>
          </w:tcPr>
          <w:p>
            <w:pPr>
              <w:spacing w:after="0"/>
            </w:pPr>
            <w:r>
              <w:rPr>
                <w:rFonts w:ascii="Arial" w:hAnsi="Arial"/>
                <w:b/>
                <w:color w:val="FFFFFF"/>
                <w:sz w:val="15"/>
              </w:rPr>
              <w:t>Stage</w:t>
            </w:r>
          </w:p>
        </w:tc>
        <w:tc>
          <w:tcPr>
            <w:tcW w:type="dxa" w:w="4968"/>
            <w:shd w:fill="153A5B"/>
            <w:tcMar>
              <w:top w:w="90" w:type="dxa"/>
              <w:start w:w="100" w:type="dxa"/>
              <w:bottom w:w="90" w:type="dxa"/>
              <w:end w:w="100" w:type="dxa"/>
            </w:tcMar>
            <w:vAlign w:val="center"/>
          </w:tcPr>
          <w:p>
            <w:pPr>
              <w:spacing w:after="0"/>
            </w:pPr>
            <w:r>
              <w:rPr>
                <w:rFonts w:ascii="Arial" w:hAnsi="Arial"/>
                <w:b/>
                <w:color w:val="FFFFFF"/>
                <w:sz w:val="15"/>
              </w:rPr>
              <w:t>Implementation</w:t>
            </w:r>
          </w:p>
        </w:tc>
        <w:tc>
          <w:tcPr>
            <w:tcW w:type="dxa" w:w="2952"/>
            <w:shd w:fill="153A5B"/>
            <w:tcMar>
              <w:top w:w="90" w:type="dxa"/>
              <w:start w:w="100" w:type="dxa"/>
              <w:bottom w:w="90" w:type="dxa"/>
              <w:end w:w="100" w:type="dxa"/>
            </w:tcMar>
            <w:vAlign w:val="center"/>
          </w:tcPr>
          <w:p>
            <w:pPr>
              <w:spacing w:after="0"/>
            </w:pPr>
            <w:r>
              <w:rPr>
                <w:rFonts w:ascii="Arial" w:hAnsi="Arial"/>
                <w:b/>
                <w:color w:val="FFFFFF"/>
                <w:sz w:val="15"/>
              </w:rPr>
              <w:t>Exit requirement</w:t>
            </w:r>
          </w:p>
        </w:tc>
      </w:tr>
      <w:tr>
        <w:tc>
          <w:tcPr>
            <w:tcW w:type="dxa" w:w="1800"/>
            <w:shd w:fill="FFFFFF"/>
            <w:tcMar>
              <w:top w:w="90" w:type="dxa"/>
              <w:start w:w="100" w:type="dxa"/>
              <w:bottom w:w="90" w:type="dxa"/>
              <w:end w:w="100" w:type="dxa"/>
            </w:tcMar>
            <w:vAlign w:val="top"/>
          </w:tcPr>
          <w:p>
            <w:pPr>
              <w:spacing w:after="0"/>
            </w:pPr>
            <w:r>
              <w:rPr>
                <w:rFonts w:ascii="Arial" w:hAnsi="Arial"/>
                <w:color w:val="1F2933"/>
                <w:sz w:val="15"/>
              </w:rPr>
              <w:t>1. Two-model foundation</w:t>
            </w:r>
          </w:p>
        </w:tc>
        <w:tc>
          <w:tcPr>
            <w:tcW w:type="dxa" w:w="4968"/>
            <w:shd w:fill="FFFFFF"/>
            <w:tcMar>
              <w:top w:w="90" w:type="dxa"/>
              <w:start w:w="100" w:type="dxa"/>
              <w:bottom w:w="90" w:type="dxa"/>
              <w:end w:w="100" w:type="dxa"/>
            </w:tcMar>
            <w:vAlign w:val="top"/>
          </w:tcPr>
          <w:p>
            <w:pPr>
              <w:spacing w:after="0"/>
            </w:pPr>
            <w:r>
              <w:rPr>
                <w:rFonts w:ascii="Arial" w:hAnsi="Arial"/>
                <w:color w:val="1F2933"/>
                <w:sz w:val="15"/>
              </w:rPr>
              <w:t>Install Claude Code CLI, Codex CLI, the broker, shared skills, and strict permissions</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Both CLIs pass doctor checks; no production access</w:t>
            </w:r>
          </w:p>
        </w:tc>
      </w:tr>
      <w:tr>
        <w:tc>
          <w:tcPr>
            <w:tcW w:type="dxa" w:w="1800"/>
            <w:shd w:fill="F5F7FA"/>
            <w:tcMar>
              <w:top w:w="90" w:type="dxa"/>
              <w:start w:w="100" w:type="dxa"/>
              <w:bottom w:w="90" w:type="dxa"/>
              <w:end w:w="100" w:type="dxa"/>
            </w:tcMar>
            <w:vAlign w:val="top"/>
          </w:tcPr>
          <w:p>
            <w:pPr>
              <w:spacing w:after="0"/>
            </w:pPr>
            <w:r>
              <w:rPr>
                <w:rFonts w:ascii="Arial" w:hAnsi="Arial"/>
                <w:color w:val="1F2933"/>
                <w:sz w:val="15"/>
              </w:rPr>
              <w:t>2. Sequential sandbox</w:t>
            </w:r>
          </w:p>
        </w:tc>
        <w:tc>
          <w:tcPr>
            <w:tcW w:type="dxa" w:w="4968"/>
            <w:shd w:fill="F5F7FA"/>
            <w:tcMar>
              <w:top w:w="90" w:type="dxa"/>
              <w:start w:w="100" w:type="dxa"/>
              <w:bottom w:w="90" w:type="dxa"/>
              <w:end w:w="100" w:type="dxa"/>
            </w:tcMar>
            <w:vAlign w:val="top"/>
          </w:tcPr>
          <w:p>
            <w:pPr>
              <w:spacing w:after="0"/>
            </w:pPr>
            <w:r>
              <w:rPr>
                <w:rFonts w:ascii="Arial" w:hAnsi="Arial"/>
                <w:color w:val="1F2933"/>
                <w:sz w:val="15"/>
              </w:rPr>
              <w:t>Run one low-risk work unit at a time with isolated worktrees and full audit logs</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Role boundaries, handoffs, tests, and reviews work repeatedly</w:t>
            </w:r>
          </w:p>
        </w:tc>
      </w:tr>
      <w:tr>
        <w:tc>
          <w:tcPr>
            <w:tcW w:type="dxa" w:w="1800"/>
            <w:shd w:fill="FFFFFF"/>
            <w:tcMar>
              <w:top w:w="90" w:type="dxa"/>
              <w:start w:w="100" w:type="dxa"/>
              <w:bottom w:w="90" w:type="dxa"/>
              <w:end w:w="100" w:type="dxa"/>
            </w:tcMar>
            <w:vAlign w:val="top"/>
          </w:tcPr>
          <w:p>
            <w:pPr>
              <w:spacing w:after="0"/>
            </w:pPr>
            <w:r>
              <w:rPr>
                <w:rFonts w:ascii="Arial" w:hAnsi="Arial"/>
                <w:color w:val="1F2933"/>
                <w:sz w:val="15"/>
              </w:rPr>
              <w:t>3. Controlled pilot</w:t>
            </w:r>
          </w:p>
        </w:tc>
        <w:tc>
          <w:tcPr>
            <w:tcW w:type="dxa" w:w="4968"/>
            <w:shd w:fill="FFFFFF"/>
            <w:tcMar>
              <w:top w:w="90" w:type="dxa"/>
              <w:start w:w="100" w:type="dxa"/>
              <w:bottom w:w="90" w:type="dxa"/>
              <w:end w:w="100" w:type="dxa"/>
            </w:tcMar>
            <w:vAlign w:val="top"/>
          </w:tcPr>
          <w:p>
            <w:pPr>
              <w:spacing w:after="0"/>
            </w:pPr>
            <w:r>
              <w:rPr>
                <w:rFonts w:ascii="Arial" w:hAnsi="Arial"/>
                <w:color w:val="1F2933"/>
                <w:sz w:val="15"/>
              </w:rPr>
              <w:t>Use one real project; keep human approval before merge and deployment</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Accepted outcomes are consistent and costs are measured</w:t>
            </w:r>
          </w:p>
        </w:tc>
      </w:tr>
      <w:tr>
        <w:tc>
          <w:tcPr>
            <w:tcW w:type="dxa" w:w="1800"/>
            <w:shd w:fill="F5F7FA"/>
            <w:tcMar>
              <w:top w:w="90" w:type="dxa"/>
              <w:start w:w="100" w:type="dxa"/>
              <w:bottom w:w="90" w:type="dxa"/>
              <w:end w:w="100" w:type="dxa"/>
            </w:tcMar>
            <w:vAlign w:val="top"/>
          </w:tcPr>
          <w:p>
            <w:pPr>
              <w:spacing w:after="0"/>
            </w:pPr>
            <w:r>
              <w:rPr>
                <w:rFonts w:ascii="Arial" w:hAnsi="Arial"/>
                <w:color w:val="1F2933"/>
                <w:sz w:val="15"/>
              </w:rPr>
              <w:t>4. Queue scaling</w:t>
            </w:r>
          </w:p>
        </w:tc>
        <w:tc>
          <w:tcPr>
            <w:tcW w:type="dxa" w:w="4968"/>
            <w:shd w:fill="F5F7FA"/>
            <w:tcMar>
              <w:top w:w="90" w:type="dxa"/>
              <w:start w:w="100" w:type="dxa"/>
              <w:bottom w:w="90" w:type="dxa"/>
              <w:end w:w="100" w:type="dxa"/>
            </w:tcMar>
            <w:vAlign w:val="top"/>
          </w:tcPr>
          <w:p>
            <w:pPr>
              <w:spacing w:after="0"/>
            </w:pPr>
            <w:r>
              <w:rPr>
                <w:rFonts w:ascii="Arial" w:hAnsi="Arial"/>
                <w:color w:val="1F2933"/>
                <w:sz w:val="15"/>
              </w:rPr>
              <w:t>Line up multiple dependency-aware work units; still process sequentially by default</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No cross-unit contamination or stale context</w:t>
            </w:r>
          </w:p>
        </w:tc>
      </w:tr>
      <w:tr>
        <w:tc>
          <w:tcPr>
            <w:tcW w:type="dxa" w:w="1800"/>
            <w:shd w:fill="FFFFFF"/>
            <w:tcMar>
              <w:top w:w="90" w:type="dxa"/>
              <w:start w:w="100" w:type="dxa"/>
              <w:bottom w:w="90" w:type="dxa"/>
              <w:end w:w="100" w:type="dxa"/>
            </w:tcMar>
            <w:vAlign w:val="top"/>
          </w:tcPr>
          <w:p>
            <w:pPr>
              <w:spacing w:after="0"/>
            </w:pPr>
            <w:r>
              <w:rPr>
                <w:rFonts w:ascii="Arial" w:hAnsi="Arial"/>
                <w:color w:val="1F2933"/>
                <w:sz w:val="15"/>
              </w:rPr>
              <w:t>5. Safe parallelism</w:t>
            </w:r>
          </w:p>
        </w:tc>
        <w:tc>
          <w:tcPr>
            <w:tcW w:type="dxa" w:w="4968"/>
            <w:shd w:fill="FFFFFF"/>
            <w:tcMar>
              <w:top w:w="90" w:type="dxa"/>
              <w:start w:w="100" w:type="dxa"/>
              <w:bottom w:w="90" w:type="dxa"/>
              <w:end w:w="100" w:type="dxa"/>
            </w:tcMar>
            <w:vAlign w:val="top"/>
          </w:tcPr>
          <w:p>
            <w:pPr>
              <w:spacing w:after="0"/>
            </w:pPr>
            <w:r>
              <w:rPr>
                <w:rFonts w:ascii="Arial" w:hAnsi="Arial"/>
                <w:color w:val="1F2933"/>
                <w:sz w:val="15"/>
              </w:rPr>
              <w:t>Parallelize only units with non-overlapping files and explicit locks</w:t>
            </w:r>
          </w:p>
        </w:tc>
        <w:tc>
          <w:tcPr>
            <w:tcW w:type="dxa" w:w="2952"/>
            <w:shd w:fill="FFFFFF"/>
            <w:tcMar>
              <w:top w:w="90" w:type="dxa"/>
              <w:start w:w="100" w:type="dxa"/>
              <w:bottom w:w="90" w:type="dxa"/>
              <w:end w:w="100" w:type="dxa"/>
            </w:tcMar>
            <w:vAlign w:val="top"/>
          </w:tcPr>
          <w:p>
            <w:pPr>
              <w:spacing w:after="0"/>
            </w:pPr>
            <w:r>
              <w:rPr>
                <w:rFonts w:ascii="Arial" w:hAnsi="Arial"/>
                <w:color w:val="1F2933"/>
                <w:sz w:val="15"/>
              </w:rPr>
              <w:t>Conflict rate and recovery are proven acceptable</w:t>
            </w:r>
          </w:p>
        </w:tc>
      </w:tr>
      <w:tr>
        <w:tc>
          <w:tcPr>
            <w:tcW w:type="dxa" w:w="1800"/>
            <w:shd w:fill="F5F7FA"/>
            <w:tcMar>
              <w:top w:w="90" w:type="dxa"/>
              <w:start w:w="100" w:type="dxa"/>
              <w:bottom w:w="90" w:type="dxa"/>
              <w:end w:w="100" w:type="dxa"/>
            </w:tcMar>
            <w:vAlign w:val="top"/>
          </w:tcPr>
          <w:p>
            <w:pPr>
              <w:spacing w:after="0"/>
            </w:pPr>
            <w:r>
              <w:rPr>
                <w:rFonts w:ascii="Arial" w:hAnsi="Arial"/>
                <w:color w:val="1F2933"/>
                <w:sz w:val="15"/>
              </w:rPr>
              <w:t>6. Additional providers</w:t>
            </w:r>
          </w:p>
        </w:tc>
        <w:tc>
          <w:tcPr>
            <w:tcW w:type="dxa" w:w="4968"/>
            <w:shd w:fill="F5F7FA"/>
            <w:tcMar>
              <w:top w:w="90" w:type="dxa"/>
              <w:start w:w="100" w:type="dxa"/>
              <w:bottom w:w="90" w:type="dxa"/>
              <w:end w:w="100" w:type="dxa"/>
            </w:tcMar>
            <w:vAlign w:val="top"/>
          </w:tcPr>
          <w:p>
            <w:pPr>
              <w:spacing w:after="0"/>
            </w:pPr>
            <w:r>
              <w:rPr>
                <w:rFonts w:ascii="Arial" w:hAnsi="Arial"/>
                <w:color w:val="1F2933"/>
                <w:sz w:val="15"/>
              </w:rPr>
              <w:t>Add local or free models behind the same adapter contract for low-risk work</w:t>
            </w:r>
          </w:p>
        </w:tc>
        <w:tc>
          <w:tcPr>
            <w:tcW w:type="dxa" w:w="2952"/>
            <w:shd w:fill="F5F7FA"/>
            <w:tcMar>
              <w:top w:w="90" w:type="dxa"/>
              <w:start w:w="100" w:type="dxa"/>
              <w:bottom w:w="90" w:type="dxa"/>
              <w:end w:w="100" w:type="dxa"/>
            </w:tcMar>
            <w:vAlign w:val="top"/>
          </w:tcPr>
          <w:p>
            <w:pPr>
              <w:spacing w:after="0"/>
            </w:pPr>
            <w:r>
              <w:rPr>
                <w:rFonts w:ascii="Arial" w:hAnsi="Arial"/>
                <w:color w:val="1F2933"/>
                <w:sz w:val="15"/>
              </w:rPr>
              <w:t>Privacy, capability, and quality profiles are enforced</w:t>
            </w:r>
          </w:p>
        </w:tc>
      </w:tr>
    </w:tbl>
    <w:p>
      <w:pPr>
        <w:spacing w:after="0"/>
      </w:pPr>
    </w:p>
    <w:p>
      <w:pPr>
        <w:spacing w:before="120" w:after="80"/>
      </w:pPr>
      <w:r>
        <w:rPr>
          <w:rFonts w:ascii="Arial" w:hAnsi="Arial"/>
          <w:b/>
          <w:color w:val="153A5B"/>
          <w:sz w:val="30"/>
        </w:rPr>
        <w:t>25.1 Operator commands</w:t>
      </w:r>
    </w:p>
    <w:tbl>
      <w:tblPr>
        <w:tblW w:type="auto" w:w="0"/>
        <w:jc w:val="center"/>
        <w:tblLook w:firstColumn="1" w:firstRow="1" w:lastColumn="0" w:lastRow="0" w:noHBand="0" w:noVBand="1" w:val="04A0"/>
        <w:tblBorders>
          <w:top w:val="single" w:sz="4" w:space="0" w:color="CBD2D9"/>
          <w:left w:val="single" w:sz="4" w:space="0" w:color="CBD2D9"/>
          <w:bottom w:val="single" w:sz="4" w:space="0" w:color="CBD2D9"/>
          <w:right w:val="single" w:sz="4" w:space="0" w:color="CBD2D9"/>
          <w:insideH w:val="single" w:sz="4" w:space="0" w:color="CBD2D9"/>
          <w:insideV w:val="single" w:sz="4" w:space="0" w:color="CBD2D9"/>
        </w:tblBorders>
      </w:tblPr>
      <w:tblGrid>
        <w:gridCol w:w="10368"/>
      </w:tblGrid>
      <w:tr>
        <w:tc>
          <w:tcPr>
            <w:tcW w:type="dxa" w:w="10368"/>
            <w:shd w:fill="F4F6F8"/>
            <w:tcMar>
              <w:top w:w="90" w:type="dxa"/>
              <w:start w:w="110" w:type="dxa"/>
              <w:bottom w:w="90" w:type="dxa"/>
              <w:end w:w="110" w:type="dxa"/>
            </w:tcMar>
          </w:tcPr>
          <w:p>
            <w:pPr>
              <w:spacing w:after="0"/>
            </w:pPr>
            <w:r>
              <w:rPr>
                <w:rFonts w:ascii="Liberation Mono" w:hAnsi="Liberation Mono"/>
                <w:color w:val="1F2933"/>
                <w:sz w:val="15"/>
              </w:rPr>
              <w:t>ai-broker doctor</w:t>
              <w:br/>
              <w:t>ai-broker enqueue work-units/contact-form.json</w:t>
              <w:br/>
              <w:t>ai-broker status</w:t>
              <w:br/>
              <w:t>ai-broker run</w:t>
              <w:br/>
              <w:br/>
              <w:t># Reduce Claude routing when its allowance is low</w:t>
              <w:br/>
              <w:t>ai-broker capacity claude 0.15</w:t>
              <w:br/>
              <w:t>ai-broker capacity codex 1</w:t>
              <w:br/>
              <w:br/>
              <w:t># Restore after reset</w:t>
              <w:br/>
              <w:t>ai-broker capacity claude 1</w:t>
              <w:br/>
              <w:t>ai-broker reset-usage claude</w:t>
              <w:br/>
              <w:t>ai-broker unblock claude</w:t>
            </w:r>
          </w:p>
        </w:tc>
      </w:tr>
    </w:tbl>
    <w:p>
      <w:pPr>
        <w:spacing w:before="120" w:after="80"/>
      </w:pPr>
      <w:r>
        <w:rPr>
          <w:rFonts w:ascii="Arial" w:hAnsi="Arial"/>
          <w:b/>
          <w:color w:val="153A5B"/>
          <w:sz w:val="30"/>
        </w:rPr>
        <w:t>25.2 First complete pilot</w:t>
      </w:r>
    </w:p>
    <w:p>
      <w:pPr>
        <w:pStyle w:val="ListNumber"/>
        <w:spacing w:after="40"/>
        <w:ind w:left="317" w:hanging="259"/>
      </w:pPr>
      <w:r>
        <w:rPr>
          <w:rFonts w:ascii="Arial" w:hAnsi="Arial"/>
          <w:color w:val="1F2933"/>
          <w:sz w:val="17"/>
        </w:rPr>
        <w:t>Choose one low-risk feature with clear acceptance criteria.</w:t>
      </w:r>
    </w:p>
    <w:p>
      <w:pPr>
        <w:pStyle w:val="ListNumber"/>
        <w:spacing w:after="40"/>
        <w:ind w:left="317" w:hanging="259"/>
      </w:pPr>
      <w:r>
        <w:rPr>
          <w:rFonts w:ascii="Arial" w:hAnsi="Arial"/>
          <w:color w:val="1F2933"/>
          <w:sz w:val="17"/>
        </w:rPr>
        <w:t>Have either Claude or Codex produce the plan; require the other to critique it.</w:t>
      </w:r>
    </w:p>
    <w:p>
      <w:pPr>
        <w:pStyle w:val="ListNumber"/>
        <w:spacing w:after="40"/>
        <w:ind w:left="317" w:hanging="259"/>
      </w:pPr>
      <w:r>
        <w:rPr>
          <w:rFonts w:ascii="Arial" w:hAnsi="Arial"/>
          <w:color w:val="1F2933"/>
          <w:sz w:val="17"/>
        </w:rPr>
        <w:t>Approve the work-unit breakdown manually.</w:t>
      </w:r>
    </w:p>
    <w:p>
      <w:pPr>
        <w:pStyle w:val="ListNumber"/>
        <w:spacing w:after="40"/>
        <w:ind w:left="317" w:hanging="259"/>
      </w:pPr>
      <w:r>
        <w:rPr>
          <w:rFonts w:ascii="Arial" w:hAnsi="Arial"/>
          <w:color w:val="1F2933"/>
          <w:sz w:val="17"/>
        </w:rPr>
        <w:t>Let the broker select the implementer and create the worktree.</w:t>
      </w:r>
    </w:p>
    <w:p>
      <w:pPr>
        <w:pStyle w:val="ListNumber"/>
        <w:spacing w:after="40"/>
        <w:ind w:left="317" w:hanging="259"/>
      </w:pPr>
      <w:r>
        <w:rPr>
          <w:rFonts w:ascii="Arial" w:hAnsi="Arial"/>
          <w:color w:val="1F2933"/>
          <w:sz w:val="17"/>
        </w:rPr>
        <w:t>Run the independent review, deterministic gates, and three-member panel.</w:t>
      </w:r>
    </w:p>
    <w:p>
      <w:pPr>
        <w:pStyle w:val="ListNumber"/>
        <w:spacing w:after="40"/>
        <w:ind w:left="317" w:hanging="259"/>
      </w:pPr>
      <w:r>
        <w:rPr>
          <w:rFonts w:ascii="Arial" w:hAnsi="Arial"/>
          <w:color w:val="1F2933"/>
          <w:sz w:val="17"/>
        </w:rPr>
        <w:t>Inspect the branch and audit report before merging.</w:t>
      </w:r>
    </w:p>
    <w:p>
      <w:pPr>
        <w:pStyle w:val="ListNumber"/>
        <w:spacing w:after="40"/>
        <w:ind w:left="317" w:hanging="259"/>
      </w:pPr>
      <w:r>
        <w:rPr>
          <w:rFonts w:ascii="Arial" w:hAnsi="Arial"/>
          <w:color w:val="1F2933"/>
          <w:sz w:val="17"/>
        </w:rPr>
        <w:t>Score role fidelity, evidence, safety, handoff quality, time, and token use.</w:t>
      </w:r>
    </w:p>
    <w:p>
      <w:pPr>
        <w:pStyle w:val="ListNumber"/>
        <w:spacing w:after="40"/>
        <w:ind w:left="317" w:hanging="259"/>
      </w:pPr>
      <w:r>
        <w:rPr>
          <w:rFonts w:ascii="Arial" w:hAnsi="Arial"/>
          <w:color w:val="1F2933"/>
          <w:sz w:val="17"/>
        </w:rPr>
        <w:t>Fix the workflow before adding more agents, providers, or parallelism.</w:t>
      </w:r>
    </w:p>
    <w:tbl>
      <w:tblPr>
        <w:tblW w:type="auto" w:w="0"/>
        <w:jc w:val="center"/>
        <w:tblLayout w:type="fixed"/>
        <w:tblLook w:firstColumn="1" w:firstRow="1" w:lastColumn="0" w:lastRow="0" w:noHBand="0" w:noVBand="1" w:val="04A0"/>
        <w:tblBorders>
          <w:top w:val="single" w:sz="8" w:space="0" w:color="4E9A51"/>
          <w:left w:val="single" w:sz="8" w:space="0" w:color="4E9A51"/>
          <w:bottom w:val="single" w:sz="8" w:space="0" w:color="4E9A51"/>
          <w:right w:val="single" w:sz="8" w:space="0" w:color="4E9A51"/>
          <w:insideH w:val="single" w:sz="8" w:space="0" w:color="4E9A51"/>
          <w:insideV w:val="single" w:sz="8" w:space="0" w:color="4E9A51"/>
        </w:tblBorders>
      </w:tblPr>
      <w:tblGrid>
        <w:gridCol w:w="9720"/>
      </w:tblGrid>
      <w:tr>
        <w:tc>
          <w:tcPr>
            <w:tcW w:type="dxa" w:w="10368"/>
            <w:shd w:fill="EDF7ED"/>
            <w:tcMar>
              <w:top w:w="100" w:type="dxa"/>
              <w:start w:w="130" w:type="dxa"/>
              <w:bottom w:w="100" w:type="dxa"/>
              <w:end w:w="130" w:type="dxa"/>
            </w:tcMar>
          </w:tcPr>
          <w:p>
            <w:pPr>
              <w:spacing w:after="40"/>
            </w:pPr>
            <w:r>
              <w:rPr>
                <w:rFonts w:ascii="Arial" w:hAnsi="Arial"/>
                <w:b/>
                <w:color w:val="4E9A51"/>
                <w:sz w:val="20"/>
              </w:rPr>
              <w:t>Recommended starting rule</w:t>
            </w:r>
          </w:p>
          <w:p>
            <w:pPr>
              <w:spacing w:after="0"/>
            </w:pPr>
            <w:r>
              <w:rPr>
                <w:rFonts w:ascii="Arial" w:hAnsi="Arial"/>
                <w:color w:val="1F2933"/>
                <w:sz w:val="18"/>
              </w:rPr>
              <w:t>Use Claude and Codex as peers, not as permanently assigned departments. Every important stage gets one accountable primary worker, one independent second voice, deterministic evidence, and a broker-enforced completion policy. You remain the final owner.</w:t>
            </w:r>
          </w:p>
        </w:tc>
      </w:tr>
    </w:tbl>
    <w:p>
      <w:pPr>
        <w:spacing w:after="0"/>
      </w:pPr>
    </w:p>
    <w:sectPr w:rsidR="00FC693F" w:rsidRPr="0006063C" w:rsidSect="00034616">
      <w:headerReference w:type="default" r:id="rId9"/>
      <w:footerReference w:type="default" r:id="rId10"/>
      <w:pgSz w:w="12240" w:h="15840"/>
      <w:pgMar w:top="792" w:right="936" w:bottom="792" w:left="936" w:header="317" w:footer="360" w:gutter="0"/>
      <w:cols w:space="720"/>
      <w:docGrid w:linePitch="360"/>
      <w:pgNumType w:start="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0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5868A"/>
        <w:sz w:val="14"/>
      </w:rPr>
      <w:t>BUILDING A MULTI-AGENT BUSINESS IN CLAUDE +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