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E8B93C" w:val="clear"/>
        <w:spacing w:after="40" w:before="200"/>
      </w:pPr>
      <w:r>
        <w:rPr>
          <w:b/>
          <w:bCs/>
          <w:color w:val="1A1A1A"/>
          <w:sz w:val="30"/>
          <w:szCs w:val="30"/>
        </w:rPr>
        <w:t xml:space="preserve">S4 · CONCEPT + DEMO — CLAUDE EDITION</w:t>
      </w:r>
    </w:p>
    <w:p>
      <w:pPr>
        <w:shd w:fill="E8B93C" w:val="clear"/>
        <w:spacing w:after="260" w:before="0"/>
      </w:pPr>
      <w:r>
        <w:rPr>
          <w:color w:val="5A4200"/>
          <w:sz w:val="21"/>
          <w:szCs w:val="21"/>
        </w:rPr>
        <w:t xml:space="preserve">Context Layers &amp; Source-Mining · UST Technical Onboarding Track</w:t>
      </w:r>
    </w:p>
    <w:p>
      <w:pPr>
        <w:spacing w:after="80"/>
      </w:pPr>
      <w:r>
        <w:rPr>
          <w:color w:val="1A1A1A"/>
          <w:sz w:val="21"/>
          <w:szCs w:val="21"/>
        </w:rPr>
        <w:t xml:space="preserve">Led by  </w:t>
      </w:r>
      <w:r>
        <w:rPr>
          <w:b/>
          <w:bCs/>
          <w:color w:val="8A5A0C"/>
          <w:sz w:val="21"/>
          <w:szCs w:val="21"/>
        </w:rPr>
        <w:t xml:space="preserve">CLAUDE / ANTHROPIC-ALIGNED FACILITATION</w:t>
      </w:r>
    </w:p>
    <w:p>
      <w:pPr>
        <w:spacing w:after="150"/>
      </w:pPr>
      <w:r>
        <w:rPr>
          <w:b/>
          <w:bCs/>
          <w:color w:val="1A1A1A"/>
          <w:sz w:val="21"/>
          <w:szCs w:val="21"/>
        </w:rPr>
        <w:t xml:space="preserve">Functional · System · Data context layers · Session 4 source-mining demo · Why docs lie but code doesn't.</w:t>
      </w:r>
    </w:p>
    <w:p>
      <w:pPr>
        <w:spacing w:after="150"/>
      </w:pPr>
      <w:r>
        <w:rPr>
          <w:i w:val="false"/>
          <w:iCs w:val="false"/>
          <w:color w:val="1A1A1A"/>
          <w:sz w:val="21"/>
          <w:szCs w:val="21"/>
        </w:rPr>
        <w:t xml:space="preserve">Duration: </w:t>
      </w:r>
      <w:r>
        <w:rPr>
          <w:b/>
          <w:bCs/>
          <w:color w:val="1A1A1A"/>
          <w:sz w:val="21"/>
          <w:szCs w:val="21"/>
        </w:rPr>
        <w:t xml:space="preserve">2 hours</w:t>
      </w:r>
      <w:r>
        <w:rPr>
          <w:i w:val="false"/>
          <w:iCs w:val="false"/>
          <w:color w:val="1A1A1A"/>
          <w:sz w:val="21"/>
          <w:szCs w:val="21"/>
        </w:rPr>
        <w:t xml:space="preserve"> · Format: Concept blocks + one live demo · Tools: </w:t>
      </w:r>
      <w:r>
        <w:rPr>
          <w:b/>
          <w:bCs/>
          <w:color w:val="1A1A1A"/>
          <w:sz w:val="21"/>
          <w:szCs w:val="21"/>
        </w:rPr>
        <w:t xml:space="preserve">Claude Code CLI</w:t>
      </w:r>
      <w:r>
        <w:rPr>
          <w:i w:val="false"/>
          <w:iCs w:val="false"/>
          <w:color w:val="1A1A1A"/>
          <w:sz w:val="21"/>
          <w:szCs w:val="21"/>
        </w:rPr>
        <w:t xml:space="preserve"> (primary), </w:t>
      </w:r>
      <w:r>
        <w:rPr>
          <w:b/>
          <w:bCs/>
          <w:color w:val="1A1A1A"/>
          <w:sz w:val="21"/>
          <w:szCs w:val="21"/>
        </w:rPr>
        <w:t xml:space="preserve">Claude Desktop</w:t>
      </w:r>
      <w:r>
        <w:rPr>
          <w:i w:val="false"/>
          <w:iCs w:val="false"/>
          <w:color w:val="1A1A1A"/>
          <w:sz w:val="21"/>
          <w:szCs w:val="21"/>
        </w:rPr>
        <w:t xml:space="preserve"> (conceptual work) · Precedes any client-facing agent or discovery work.</w:t>
      </w:r>
    </w:p>
    <w:p>
      <w:pPr>
        <w:pStyle w:val="Heading1"/>
        <w:pBdr>
          <w:bottom w:val="single" w:color="E8B93C" w:sz="14" w:space="4"/>
        </w:pBdr>
        <w:spacing w:after="170" w:before="400"/>
      </w:pPr>
      <w:r>
        <w:rPr>
          <w:b/>
          <w:bCs/>
          <w:color w:val="1A1A1A"/>
          <w:sz w:val="30"/>
          <w:szCs w:val="30"/>
        </w:rPr>
        <w:t xml:space="preserve">1. Session Purpose</w:t>
      </w:r>
    </w:p>
    <w:p>
      <w:pPr>
        <w:spacing w:after="150"/>
      </w:pPr>
      <w:r>
        <w:rPr>
          <w:i w:val="false"/>
          <w:iCs w:val="false"/>
          <w:color w:val="1A1A1A"/>
          <w:sz w:val="21"/>
          <w:szCs w:val="21"/>
        </w:rPr>
        <w:t xml:space="preserve">Every technique in this program — Discovery Canvases, Agent-Ready Specs, Cost Models, Guardrails — assumes you already understand the client's system correctly. This session is what comes </w:t>
      </w:r>
      <w:r>
        <w:rPr>
          <w:b/>
          <w:bCs/>
          <w:color w:val="1A1A1A"/>
          <w:sz w:val="21"/>
          <w:szCs w:val="21"/>
        </w:rPr>
        <w:t xml:space="preserve">before</w:t>
      </w:r>
      <w:r>
        <w:rPr>
          <w:i w:val="false"/>
          <w:iCs w:val="false"/>
          <w:color w:val="1A1A1A"/>
          <w:sz w:val="21"/>
          <w:szCs w:val="21"/>
        </w:rPr>
        <w:t xml:space="preserve"> all of that: how to build an accurate mental model of an unfamiliar codebase, fast, and how to know which sources to trust when they disagree.</w:t>
      </w:r>
    </w:p>
    <w:p>
      <w:pPr>
        <w:spacing w:after="150"/>
      </w:pPr>
      <w:r>
        <w:rPr>
          <w:i w:val="false"/>
          <w:iCs w:val="false"/>
          <w:color w:val="1A1A1A"/>
          <w:sz w:val="21"/>
          <w:szCs w:val="21"/>
        </w:rPr>
        <w:t xml:space="preserve">The uncomfortable premise: </w:t>
      </w:r>
      <w:r>
        <w:rPr>
          <w:b/>
          <w:bCs/>
          <w:color w:val="1A1A1A"/>
          <w:sz w:val="21"/>
          <w:szCs w:val="21"/>
        </w:rPr>
        <w:t xml:space="preserve">documentation is not a reliable source of truth, and this is not a discipline problem you can train away.</w:t>
      </w:r>
      <w:r>
        <w:rPr>
          <w:i w:val="false"/>
          <w:iCs w:val="false"/>
          <w:color w:val="1A1A1A"/>
          <w:sz w:val="21"/>
          <w:szCs w:val="21"/>
        </w:rPr>
        <w:t xml:space="preserve"> Docs are optional to update. Code is not — it has to run. This session teaches a repeatable method for extracting ground truth directly from the system itself, and a demo where you'll watch that method catch three real discrepancies in a live codebase.</w:t>
      </w:r>
    </w:p>
    <w:p>
      <w:pPr>
        <w:spacing w:after="150"/>
      </w:pPr>
      <w:r>
        <w:rPr>
          <w:i w:val="false"/>
          <w:iCs w:val="false"/>
          <w:color w:val="1A1A1A"/>
          <w:sz w:val="21"/>
          <w:szCs w:val="21"/>
        </w:rPr>
        <w:t xml:space="preserve">By the end of this session, participants will be able to:</w:t>
      </w:r>
    </w:p>
    <w:p>
      <w:pPr>
        <w:pStyle w:val="ListParagraph"/>
        <w:numPr>
          <w:ilvl w:val="0"/>
          <w:numId w:val="2"/>
        </w:numPr>
        <w:spacing w:after="90"/>
      </w:pPr>
      <w:r>
        <w:rPr>
          <w:i w:val="false"/>
          <w:iCs w:val="false"/>
          <w:color w:val="1A1A1A"/>
          <w:sz w:val="21"/>
          <w:szCs w:val="21"/>
        </w:rPr>
        <w:t xml:space="preserve">Explain </w:t>
      </w:r>
      <w:r>
        <w:rPr>
          <w:b/>
          <w:bCs/>
          <w:color w:val="1A1A1A"/>
          <w:sz w:val="21"/>
          <w:szCs w:val="21"/>
        </w:rPr>
        <w:t xml:space="preserve">why</w:t>
      </w:r>
      <w:r>
        <w:rPr>
          <w:i w:val="false"/>
          <w:iCs w:val="false"/>
          <w:color w:val="1A1A1A"/>
          <w:sz w:val="21"/>
          <w:szCs w:val="21"/>
        </w:rPr>
        <w:t xml:space="preserve"> documentation drift is structurally inevitable, not a symptom of a lazy team.</w:t>
      </w:r>
    </w:p>
    <w:p>
      <w:pPr>
        <w:pStyle w:val="ListParagraph"/>
        <w:numPr>
          <w:ilvl w:val="0"/>
          <w:numId w:val="2"/>
        </w:numPr>
        <w:spacing w:after="90"/>
      </w:pPr>
      <w:r>
        <w:rPr>
          <w:i w:val="false"/>
          <w:iCs w:val="false"/>
          <w:color w:val="1A1A1A"/>
          <w:sz w:val="21"/>
          <w:szCs w:val="21"/>
        </w:rPr>
        <w:t xml:space="preserve">Apply the </w:t>
      </w:r>
      <w:r>
        <w:rPr>
          <w:b/>
          <w:bCs/>
          <w:color w:val="1A1A1A"/>
          <w:sz w:val="21"/>
          <w:szCs w:val="21"/>
        </w:rPr>
        <w:t xml:space="preserve">Trust Hierarchy</w:t>
      </w:r>
      <w:r>
        <w:rPr>
          <w:i w:val="false"/>
          <w:iCs w:val="false"/>
          <w:color w:val="1A1A1A"/>
          <w:sz w:val="21"/>
          <w:szCs w:val="21"/>
        </w:rPr>
        <w:t xml:space="preserve"> to resolve conflicting information sources on a client engagement.</w:t>
      </w:r>
    </w:p>
    <w:p>
      <w:pPr>
        <w:pStyle w:val="ListParagraph"/>
        <w:numPr>
          <w:ilvl w:val="0"/>
          <w:numId w:val="2"/>
        </w:numPr>
        <w:spacing w:after="90"/>
      </w:pPr>
      <w:r>
        <w:rPr>
          <w:i w:val="false"/>
          <w:iCs w:val="false"/>
          <w:color w:val="1A1A1A"/>
          <w:sz w:val="21"/>
          <w:szCs w:val="21"/>
        </w:rPr>
        <w:t xml:space="preserve">Mine </w:t>
      </w:r>
      <w:r>
        <w:rPr>
          <w:b/>
          <w:bCs/>
          <w:color w:val="1A1A1A"/>
          <w:sz w:val="21"/>
          <w:szCs w:val="21"/>
        </w:rPr>
        <w:t xml:space="preserve">Functional, System, and Data context</w:t>
      </w:r>
      <w:r>
        <w:rPr>
          <w:i w:val="false"/>
          <w:iCs w:val="false"/>
          <w:color w:val="1A1A1A"/>
          <w:sz w:val="21"/>
          <w:szCs w:val="21"/>
        </w:rPr>
        <w:t xml:space="preserve"> from an unfamiliar codebase using real, named frameworks — not intuition.</w:t>
      </w:r>
    </w:p>
    <w:p>
      <w:pPr>
        <w:pStyle w:val="ListParagraph"/>
        <w:numPr>
          <w:ilvl w:val="0"/>
          <w:numId w:val="2"/>
        </w:numPr>
        <w:spacing w:after="90"/>
      </w:pPr>
      <w:r>
        <w:rPr>
          <w:i w:val="false"/>
          <w:iCs w:val="false"/>
          <w:color w:val="1A1A1A"/>
          <w:sz w:val="21"/>
          <w:szCs w:val="21"/>
        </w:rPr>
        <w:t xml:space="preserve">Run the </w:t>
      </w:r>
      <w:r>
        <w:rPr>
          <w:b/>
          <w:bCs/>
          <w:color w:val="1A1A1A"/>
          <w:sz w:val="21"/>
          <w:szCs w:val="21"/>
        </w:rPr>
        <w:t xml:space="preserve">source-mining method</w:t>
      </w:r>
      <w:r>
        <w:rPr>
          <w:i w:val="false"/>
          <w:iCs w:val="false"/>
          <w:color w:val="1A1A1A"/>
          <w:sz w:val="21"/>
          <w:szCs w:val="21"/>
        </w:rPr>
        <w:t xml:space="preserve"> end-to-end against a real repository, using Claude Code CLI.</w:t>
      </w:r>
    </w:p>
    <w:p>
      <w:pPr>
        <w:pStyle w:val="ListParagraph"/>
        <w:numPr>
          <w:ilvl w:val="0"/>
          <w:numId w:val="2"/>
        </w:numPr>
        <w:spacing w:after="90"/>
      </w:pPr>
      <w:r>
        <w:rPr>
          <w:i w:val="false"/>
          <w:iCs w:val="false"/>
          <w:color w:val="1A1A1A"/>
          <w:sz w:val="21"/>
          <w:szCs w:val="21"/>
        </w:rPr>
        <w:t xml:space="preserve">Produce a </w:t>
      </w:r>
      <w:r>
        <w:rPr>
          <w:b/>
          <w:bCs/>
          <w:color w:val="1A1A1A"/>
          <w:sz w:val="21"/>
          <w:szCs w:val="21"/>
        </w:rPr>
        <w:t xml:space="preserve">Context Discrepancy Report</w:t>
      </w:r>
      <w:r>
        <w:rPr>
          <w:i w:val="false"/>
          <w:iCs w:val="false"/>
          <w:color w:val="1A1A1A"/>
          <w:sz w:val="21"/>
          <w:szCs w:val="21"/>
        </w:rPr>
        <w:t xml:space="preserve"> — the artifact that stops a wrong assumption from reaching a client deliverable.</w:t>
      </w:r>
    </w:p>
    <w:p>
      <w:pPr>
        <w:pStyle w:val="Heading1"/>
        <w:pBdr>
          <w:bottom w:val="single" w:color="E8B93C" w:sz="14" w:space="4"/>
        </w:pBdr>
        <w:spacing w:after="170" w:before="400"/>
      </w:pPr>
      <w:r>
        <w:rPr>
          <w:b/>
          <w:bCs/>
          <w:color w:val="1A1A1A"/>
          <w:sz w:val="30"/>
          <w:szCs w:val="30"/>
        </w:rPr>
        <w:t xml:space="preserve">2. Why Docs Lie But Code Doesn't</w:t>
      </w:r>
    </w:p>
    <w:p>
      <w:pPr>
        <w:spacing w:after="150"/>
      </w:pPr>
      <w:r>
        <w:rPr>
          <w:i w:val="false"/>
          <w:iCs w:val="false"/>
          <w:color w:val="1A1A1A"/>
          <w:sz w:val="21"/>
          <w:szCs w:val="21"/>
        </w:rPr>
        <w:t xml:space="preserve">This isn't a cynical claim about any particular team's documentation habits. It's structural. A README is a </w:t>
      </w:r>
      <w:r>
        <w:rPr>
          <w:b/>
          <w:bCs/>
          <w:color w:val="1A1A1A"/>
          <w:sz w:val="21"/>
          <w:szCs w:val="21"/>
        </w:rPr>
        <w:t xml:space="preserve">snapshot</w:t>
      </w:r>
      <w:r>
        <w:rPr>
          <w:i w:val="false"/>
          <w:iCs w:val="false"/>
          <w:color w:val="1A1A1A"/>
          <w:sz w:val="21"/>
          <w:szCs w:val="21"/>
        </w:rPr>
        <w:t xml:space="preserve"> someone wrote once. The code is the </w:t>
      </w:r>
      <w:r>
        <w:rPr>
          <w:b/>
          <w:bCs/>
          <w:color w:val="1A1A1A"/>
          <w:sz w:val="21"/>
          <w:szCs w:val="21"/>
        </w:rPr>
        <w:t xml:space="preserve">live state</w:t>
      </w:r>
      <w:r>
        <w:rPr>
          <w:i w:val="false"/>
          <w:iCs w:val="false"/>
          <w:color w:val="1A1A1A"/>
          <w:sz w:val="21"/>
          <w:szCs w:val="21"/>
        </w:rPr>
        <w:t xml:space="preserve"> of the system — it has to be, because it's what actually executes. Nothing forces the snapshot to track the live state; several things force the live state to be internally consistent (it has to compile, pass tests, and run in production).</w:t>
      </w:r>
    </w:p>
    <w:p>
      <w:pPr>
        <w:spacing w:after="150"/>
      </w:pPr>
      <w:r>
        <w:rPr>
          <w:i w:val="false"/>
          <w:iCs w:val="false"/>
          <w:color w:val="1A1A1A"/>
          <w:sz w:val="21"/>
          <w:szCs w:val="21"/>
        </w:rPr>
        <w:t xml:space="preserve">The practical consequence for anyone doing client work: </w:t>
      </w:r>
      <w:r>
        <w:rPr>
          <w:b/>
          <w:bCs/>
          <w:color w:val="1A1A1A"/>
          <w:sz w:val="21"/>
          <w:szCs w:val="21"/>
        </w:rPr>
        <w:t xml:space="preserve">the confidence with which a claim is stated has no relationship to how true it is.</w:t>
      </w:r>
      <w:r>
        <w:rPr>
          <w:i w:val="false"/>
          <w:iCs w:val="false"/>
          <w:color w:val="1A1A1A"/>
          <w:sz w:val="21"/>
          <w:szCs w:val="21"/>
        </w:rPr>
        <w:t xml:space="preserve"> A README can say something false with exactly the same font size as something true. The only way to tell the difference is to check the claim against a source that has some mechanism forcing it to stay honest.</w:t>
      </w:r>
    </w:p>
    <w:p>
      <w:pPr>
        <w:pStyle w:val="Heading2"/>
        <w:spacing w:after="120" w:before="260"/>
      </w:pPr>
      <w:r>
        <w:rPr>
          <w:b/>
          <w:bCs/>
          <w:color w:val="8A5A0C"/>
          <w:sz w:val="24"/>
          <w:szCs w:val="24"/>
        </w:rPr>
        <w:t xml:space="preserve">The Trust Hierarchy</w:t>
      </w:r>
    </w:p>
    <w:p>
      <w:pPr>
        <w:spacing w:after="150"/>
      </w:pPr>
      <w:r>
        <w:rPr>
          <w:i w:val="false"/>
          <w:iCs w:val="false"/>
          <w:color w:val="1A1A1A"/>
          <w:sz w:val="21"/>
          <w:szCs w:val="21"/>
        </w:rPr>
        <w:t xml:space="preserve">A ranked way to resolve conflicting sources — not a moral judgment on any of them, just a reflection of what mechanism (if any) keeps each one honest.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200"/>
      </w:tblGrid>
      <w:tr>
        <w:trPr>
          <w:tblHeader/>
        </w:trPr>
        <w:tc>
          <w:tcPr>
            <w:tcW w:type="dxa" w:w="1600"/>
            <w:shd w:fill="E8B93C" w:val="clear"/>
            <w:tcMar>
              <w:top w:type="dxa" w:w="90"/>
              <w:left w:type="dxa" w:w="110"/>
              <w:bottom w:type="dxa" w:w="90"/>
              <w:right w:type="dxa" w:w="110"/>
            </w:tcMar>
            <w:vAlign w:val="center"/>
          </w:tcPr>
          <w:p>
            <w:r>
              <w:rPr>
                <w:i w:val="false"/>
                <w:iCs w:val="false"/>
                <w:color w:val="1A1A1A"/>
                <w:sz w:val="19"/>
                <w:szCs w:val="19"/>
              </w:rPr>
              <w:t xml:space="preserve">Rank</w:t>
            </w:r>
          </w:p>
        </w:tc>
        <w:tc>
          <w:tcPr>
            <w:tcW w:type="dxa" w:w="3400"/>
            <w:shd w:fill="E8B93C" w:val="clear"/>
            <w:tcMar>
              <w:top w:type="dxa" w:w="90"/>
              <w:left w:type="dxa" w:w="110"/>
              <w:bottom w:type="dxa" w:w="90"/>
              <w:right w:type="dxa" w:w="110"/>
            </w:tcMar>
            <w:vAlign w:val="center"/>
          </w:tcPr>
          <w:p>
            <w:r>
              <w:rPr>
                <w:i w:val="false"/>
                <w:iCs w:val="false"/>
                <w:color w:val="1A1A1A"/>
                <w:sz w:val="19"/>
                <w:szCs w:val="19"/>
              </w:rPr>
              <w:t xml:space="preserve">Source</w:t>
            </w:r>
          </w:p>
        </w:tc>
        <w:tc>
          <w:tcPr>
            <w:tcW w:type="dxa" w:w="4200"/>
            <w:shd w:fill="E8B93C" w:val="clear"/>
            <w:tcMar>
              <w:top w:type="dxa" w:w="90"/>
              <w:left w:type="dxa" w:w="110"/>
              <w:bottom w:type="dxa" w:w="90"/>
              <w:right w:type="dxa" w:w="110"/>
            </w:tcMar>
            <w:vAlign w:val="center"/>
          </w:tcPr>
          <w:p>
            <w:r>
              <w:rPr>
                <w:i w:val="false"/>
                <w:iCs w:val="false"/>
                <w:color w:val="1A1A1A"/>
                <w:sz w:val="19"/>
                <w:szCs w:val="19"/>
              </w:rPr>
              <w:t xml:space="preserve">Why it's ranked here</w:t>
            </w:r>
          </w:p>
        </w:tc>
      </w:tr>
      <w:tr>
        <w:tc>
          <w:tcPr>
            <w:tcW w:type="dxa" w:w="1600"/>
            <w:shd w:fill="FFFFFF" w:val="clear"/>
            <w:tcMar>
              <w:top w:type="dxa" w:w="90"/>
              <w:left w:type="dxa" w:w="110"/>
              <w:bottom w:type="dxa" w:w="90"/>
              <w:right w:type="dxa" w:w="110"/>
            </w:tcMar>
            <w:vAlign w:val="center"/>
          </w:tcPr>
          <w:p>
            <w:r>
              <w:rPr>
                <w:i w:val="false"/>
                <w:iCs w:val="false"/>
                <w:color w:val="1A1A1A"/>
                <w:sz w:val="19"/>
                <w:szCs w:val="19"/>
              </w:rPr>
              <w:t xml:space="preserve">1 (highest)</w:t>
            </w:r>
          </w:p>
        </w:tc>
        <w:tc>
          <w:tcPr>
            <w:tcW w:type="dxa" w:w="3400"/>
            <w:shd w:fill="FFFFFF" w:val="clear"/>
            <w:tcMar>
              <w:top w:type="dxa" w:w="90"/>
              <w:left w:type="dxa" w:w="110"/>
              <w:bottom w:type="dxa" w:w="90"/>
              <w:right w:type="dxa" w:w="110"/>
            </w:tcMar>
            <w:vAlign w:val="center"/>
          </w:tcPr>
          <w:p>
            <w:r>
              <w:rPr>
                <w:i w:val="false"/>
                <w:iCs w:val="false"/>
                <w:color w:val="1A1A1A"/>
                <w:sz w:val="19"/>
                <w:szCs w:val="19"/>
              </w:rPr>
              <w:t xml:space="preserve">Automated tests passing right now</w:t>
            </w:r>
          </w:p>
        </w:tc>
        <w:tc>
          <w:tcPr>
            <w:tcW w:type="dxa" w:w="4200"/>
            <w:shd w:fill="FFFFFF" w:val="clear"/>
            <w:tcMar>
              <w:top w:type="dxa" w:w="90"/>
              <w:left w:type="dxa" w:w="110"/>
              <w:bottom w:type="dxa" w:w="90"/>
              <w:right w:type="dxa" w:w="110"/>
            </w:tcMar>
            <w:vAlign w:val="center"/>
          </w:tcPr>
          <w:p>
            <w:r>
              <w:rPr>
                <w:i w:val="false"/>
                <w:iCs w:val="false"/>
                <w:color w:val="1A1A1A"/>
                <w:sz w:val="19"/>
                <w:szCs w:val="19"/>
              </w:rPr>
              <w:t xml:space="preserve">Encodes literal pass/fail behavior. If green, the behavior it describes is true at this exact commit — there's no interpretation gap.</w:t>
            </w:r>
          </w:p>
        </w:tc>
      </w:tr>
      <w:tr>
        <w:tc>
          <w:tcPr>
            <w:tcW w:type="dxa" w:w="1600"/>
            <w:shd w:fill="FBF3DC" w:val="clear"/>
            <w:tcMar>
              <w:top w:type="dxa" w:w="90"/>
              <w:left w:type="dxa" w:w="110"/>
              <w:bottom w:type="dxa" w:w="90"/>
              <w:right w:type="dxa" w:w="110"/>
            </w:tcMar>
            <w:vAlign w:val="center"/>
          </w:tcPr>
          <w:p>
            <w:r>
              <w:rPr>
                <w:i w:val="false"/>
                <w:iCs w:val="false"/>
                <w:color w:val="1A1A1A"/>
                <w:sz w:val="19"/>
                <w:szCs w:val="19"/>
              </w:rPr>
              <w:t xml:space="preserve">2</w:t>
            </w:r>
          </w:p>
        </w:tc>
        <w:tc>
          <w:tcPr>
            <w:tcW w:type="dxa" w:w="3400"/>
            <w:shd w:fill="FBF3DC" w:val="clear"/>
            <w:tcMar>
              <w:top w:type="dxa" w:w="90"/>
              <w:left w:type="dxa" w:w="110"/>
              <w:bottom w:type="dxa" w:w="90"/>
              <w:right w:type="dxa" w:w="110"/>
            </w:tcMar>
            <w:vAlign w:val="center"/>
          </w:tcPr>
          <w:p>
            <w:r>
              <w:rPr>
                <w:i w:val="false"/>
                <w:iCs w:val="false"/>
                <w:color w:val="1A1A1A"/>
                <w:sz w:val="19"/>
                <w:szCs w:val="19"/>
              </w:rPr>
              <w:t xml:space="preserve">The running source code itself</w:t>
            </w:r>
          </w:p>
        </w:tc>
        <w:tc>
          <w:tcPr>
            <w:tcW w:type="dxa" w:w="4200"/>
            <w:shd w:fill="FBF3DC" w:val="clear"/>
            <w:tcMar>
              <w:top w:type="dxa" w:w="90"/>
              <w:left w:type="dxa" w:w="110"/>
              <w:bottom w:type="dxa" w:w="90"/>
              <w:right w:type="dxa" w:w="110"/>
            </w:tcMar>
            <w:vAlign w:val="center"/>
          </w:tcPr>
          <w:p>
            <w:r>
              <w:rPr>
                <w:i w:val="false"/>
                <w:iCs w:val="false"/>
                <w:color w:val="1A1A1A"/>
                <w:sz w:val="19"/>
                <w:szCs w:val="19"/>
              </w:rPr>
              <w:t xml:space="preserve">Executed exactly as written. It cannot silently disagree with itself the way two documents can disagree with each other.</w:t>
            </w:r>
          </w:p>
        </w:tc>
      </w:tr>
      <w:tr>
        <w:tc>
          <w:tcPr>
            <w:tcW w:type="dxa" w:w="1600"/>
            <w:shd w:fill="FFFFFF" w:val="clear"/>
            <w:tcMar>
              <w:top w:type="dxa" w:w="90"/>
              <w:left w:type="dxa" w:w="110"/>
              <w:bottom w:type="dxa" w:w="90"/>
              <w:right w:type="dxa" w:w="110"/>
            </w:tcMar>
            <w:vAlign w:val="center"/>
          </w:tcPr>
          <w:p>
            <w:r>
              <w:rPr>
                <w:i w:val="false"/>
                <w:iCs w:val="false"/>
                <w:color w:val="1A1A1A"/>
                <w:sz w:val="19"/>
                <w:szCs w:val="19"/>
              </w:rPr>
              <w:t xml:space="preserve">3</w:t>
            </w:r>
          </w:p>
        </w:tc>
        <w:tc>
          <w:tcPr>
            <w:tcW w:type="dxa" w:w="3400"/>
            <w:shd w:fill="FFFFFF" w:val="clear"/>
            <w:tcMar>
              <w:top w:type="dxa" w:w="90"/>
              <w:left w:type="dxa" w:w="110"/>
              <w:bottom w:type="dxa" w:w="90"/>
              <w:right w:type="dxa" w:w="110"/>
            </w:tcMar>
            <w:vAlign w:val="center"/>
          </w:tcPr>
          <w:p>
            <w:r>
              <w:rPr>
                <w:i w:val="false"/>
                <w:iCs w:val="false"/>
                <w:color w:val="1A1A1A"/>
                <w:sz w:val="19"/>
                <w:szCs w:val="19"/>
              </w:rPr>
              <w:t xml:space="preserve">Machine-enforced config, schemas, types, migrations</w:t>
            </w:r>
          </w:p>
        </w:tc>
        <w:tc>
          <w:tcPr>
            <w:tcW w:type="dxa" w:w="4200"/>
            <w:shd w:fill="FFFFFF" w:val="clear"/>
            <w:tcMar>
              <w:top w:type="dxa" w:w="90"/>
              <w:left w:type="dxa" w:w="110"/>
              <w:bottom w:type="dxa" w:w="90"/>
              <w:right w:type="dxa" w:w="110"/>
            </w:tcMar>
            <w:vAlign w:val="center"/>
          </w:tcPr>
          <w:p>
            <w:r>
              <w:rPr>
                <w:i w:val="false"/>
                <w:iCs w:val="false"/>
                <w:color w:val="1A1A1A"/>
                <w:sz w:val="19"/>
                <w:szCs w:val="19"/>
              </w:rPr>
              <w:t xml:space="preserve">Validated by the system at startup or runtime. A wrong value tends to break something quickly and visibly, so wrongness doesn't survive long.</w:t>
            </w:r>
          </w:p>
        </w:tc>
      </w:tr>
      <w:tr>
        <w:tc>
          <w:tcPr>
            <w:tcW w:type="dxa" w:w="1600"/>
            <w:shd w:fill="FBF3DC" w:val="clear"/>
            <w:tcMar>
              <w:top w:type="dxa" w:w="90"/>
              <w:left w:type="dxa" w:w="110"/>
              <w:bottom w:type="dxa" w:w="90"/>
              <w:right w:type="dxa" w:w="110"/>
            </w:tcMar>
            <w:vAlign w:val="center"/>
          </w:tcPr>
          <w:p>
            <w:r>
              <w:rPr>
                <w:i w:val="false"/>
                <w:iCs w:val="false"/>
                <w:color w:val="1A1A1A"/>
                <w:sz w:val="19"/>
                <w:szCs w:val="19"/>
              </w:rPr>
              <w:t xml:space="preserve">4</w:t>
            </w:r>
          </w:p>
        </w:tc>
        <w:tc>
          <w:tcPr>
            <w:tcW w:type="dxa" w:w="3400"/>
            <w:shd w:fill="FBF3DC" w:val="clear"/>
            <w:tcMar>
              <w:top w:type="dxa" w:w="90"/>
              <w:left w:type="dxa" w:w="110"/>
              <w:bottom w:type="dxa" w:w="90"/>
              <w:right w:type="dxa" w:w="110"/>
            </w:tcMar>
            <w:vAlign w:val="center"/>
          </w:tcPr>
          <w:p>
            <w:r>
              <w:rPr>
                <w:i w:val="false"/>
                <w:iCs w:val="false"/>
                <w:color w:val="1A1A1A"/>
                <w:sz w:val="19"/>
                <w:szCs w:val="19"/>
              </w:rPr>
              <w:t xml:space="preserve">Commit history &amp; PR discussion</w:t>
            </w:r>
          </w:p>
        </w:tc>
        <w:tc>
          <w:tcPr>
            <w:tcW w:type="dxa" w:w="4200"/>
            <w:shd w:fill="FBF3DC" w:val="clear"/>
            <w:tcMar>
              <w:top w:type="dxa" w:w="90"/>
              <w:left w:type="dxa" w:w="110"/>
              <w:bottom w:type="dxa" w:w="90"/>
              <w:right w:type="dxa" w:w="110"/>
            </w:tcMar>
            <w:vAlign w:val="center"/>
          </w:tcPr>
          <w:p>
            <w:r>
              <w:rPr>
                <w:i w:val="false"/>
                <w:iCs w:val="false"/>
                <w:color w:val="1A1A1A"/>
                <w:sz w:val="19"/>
                <w:szCs w:val="19"/>
              </w:rPr>
              <w:t xml:space="preserve">Shows why and roughly when a change happened, even if downstream docs were never updated. Timestamps don't lie about ordering.</w:t>
            </w:r>
          </w:p>
        </w:tc>
      </w:tr>
      <w:tr>
        <w:tc>
          <w:tcPr>
            <w:tcW w:type="dxa" w:w="1600"/>
            <w:shd w:fill="FFFFFF" w:val="clear"/>
            <w:tcMar>
              <w:top w:type="dxa" w:w="90"/>
              <w:left w:type="dxa" w:w="110"/>
              <w:bottom w:type="dxa" w:w="90"/>
              <w:right w:type="dxa" w:w="110"/>
            </w:tcMar>
            <w:vAlign w:val="center"/>
          </w:tcPr>
          <w:p>
            <w:r>
              <w:rPr>
                <w:i w:val="false"/>
                <w:iCs w:val="false"/>
                <w:color w:val="1A1A1A"/>
                <w:sz w:val="19"/>
                <w:szCs w:val="19"/>
              </w:rPr>
              <w:t xml:space="preserve">5</w:t>
            </w:r>
          </w:p>
        </w:tc>
        <w:tc>
          <w:tcPr>
            <w:tcW w:type="dxa" w:w="3400"/>
            <w:shd w:fill="FFFFFF" w:val="clear"/>
            <w:tcMar>
              <w:top w:type="dxa" w:w="90"/>
              <w:left w:type="dxa" w:w="110"/>
              <w:bottom w:type="dxa" w:w="90"/>
              <w:right w:type="dxa" w:w="110"/>
            </w:tcMar>
            <w:vAlign w:val="center"/>
          </w:tcPr>
          <w:p>
            <w:r>
              <w:rPr>
                <w:i w:val="false"/>
                <w:iCs w:val="false"/>
                <w:color w:val="1A1A1A"/>
                <w:sz w:val="19"/>
                <w:szCs w:val="19"/>
              </w:rPr>
              <w:t xml:space="preserve">Code comments</w:t>
            </w:r>
          </w:p>
        </w:tc>
        <w:tc>
          <w:tcPr>
            <w:tcW w:type="dxa" w:w="4200"/>
            <w:shd w:fill="FFFFFF" w:val="clear"/>
            <w:tcMar>
              <w:top w:type="dxa" w:w="90"/>
              <w:left w:type="dxa" w:w="110"/>
              <w:bottom w:type="dxa" w:w="90"/>
              <w:right w:type="dxa" w:w="110"/>
            </w:tcMar>
            <w:vAlign w:val="center"/>
          </w:tcPr>
          <w:p>
            <w:r>
              <w:rPr>
                <w:i w:val="false"/>
                <w:iCs w:val="false"/>
                <w:color w:val="1A1A1A"/>
                <w:sz w:val="19"/>
                <w:szCs w:val="19"/>
              </w:rPr>
              <w:t xml:space="preserve">Closer to the code than docs, but enforced by nothing — can drift the moment logic changes without anyone touching the comment.</w:t>
            </w:r>
          </w:p>
        </w:tc>
      </w:tr>
      <w:tr>
        <w:tc>
          <w:tcPr>
            <w:tcW w:type="dxa" w:w="1600"/>
            <w:shd w:fill="FBF3DC" w:val="clear"/>
            <w:tcMar>
              <w:top w:type="dxa" w:w="90"/>
              <w:left w:type="dxa" w:w="110"/>
              <w:bottom w:type="dxa" w:w="90"/>
              <w:right w:type="dxa" w:w="110"/>
            </w:tcMar>
            <w:vAlign w:val="center"/>
          </w:tcPr>
          <w:p>
            <w:r>
              <w:rPr>
                <w:i w:val="false"/>
                <w:iCs w:val="false"/>
                <w:color w:val="1A1A1A"/>
                <w:sz w:val="19"/>
                <w:szCs w:val="19"/>
              </w:rPr>
              <w:t xml:space="preserve">6</w:t>
            </w:r>
          </w:p>
        </w:tc>
        <w:tc>
          <w:tcPr>
            <w:tcW w:type="dxa" w:w="3400"/>
            <w:shd w:fill="FBF3DC" w:val="clear"/>
            <w:tcMar>
              <w:top w:type="dxa" w:w="90"/>
              <w:left w:type="dxa" w:w="110"/>
              <w:bottom w:type="dxa" w:w="90"/>
              <w:right w:type="dxa" w:w="110"/>
            </w:tcMar>
            <w:vAlign w:val="center"/>
          </w:tcPr>
          <w:p>
            <w:r>
              <w:rPr>
                <w:i w:val="false"/>
                <w:iCs w:val="false"/>
                <w:color w:val="1A1A1A"/>
                <w:sz w:val="19"/>
                <w:szCs w:val="19"/>
              </w:rPr>
              <w:t xml:space="preserve">README / wiki / architecture docs</w:t>
            </w:r>
          </w:p>
        </w:tc>
        <w:tc>
          <w:tcPr>
            <w:tcW w:type="dxa" w:w="4200"/>
            <w:shd w:fill="FBF3DC" w:val="clear"/>
            <w:tcMar>
              <w:top w:type="dxa" w:w="90"/>
              <w:left w:type="dxa" w:w="110"/>
              <w:bottom w:type="dxa" w:w="90"/>
              <w:right w:type="dxa" w:w="110"/>
            </w:tcMar>
            <w:vAlign w:val="center"/>
          </w:tcPr>
          <w:p>
            <w:r>
              <w:rPr>
                <w:i w:val="false"/>
                <w:iCs w:val="false"/>
                <w:color w:val="1A1A1A"/>
                <w:sz w:val="19"/>
                <w:szCs w:val="19"/>
              </w:rPr>
              <w:t xml:space="preserve">Written once, read by many, updated by few. No mechanism forces it to stay true.</w:t>
            </w:r>
          </w:p>
        </w:tc>
      </w:tr>
      <w:tr>
        <w:tc>
          <w:tcPr>
            <w:tcW w:type="dxa" w:w="1600"/>
            <w:shd w:fill="FFFFFF" w:val="clear"/>
            <w:tcMar>
              <w:top w:type="dxa" w:w="90"/>
              <w:left w:type="dxa" w:w="110"/>
              <w:bottom w:type="dxa" w:w="90"/>
              <w:right w:type="dxa" w:w="110"/>
            </w:tcMar>
            <w:vAlign w:val="center"/>
          </w:tcPr>
          <w:p>
            <w:r>
              <w:rPr>
                <w:i w:val="false"/>
                <w:iCs w:val="false"/>
                <w:color w:val="1A1A1A"/>
                <w:sz w:val="19"/>
                <w:szCs w:val="19"/>
              </w:rPr>
              <w:t xml:space="preserve">7 (lowest)</w:t>
            </w:r>
          </w:p>
        </w:tc>
        <w:tc>
          <w:tcPr>
            <w:tcW w:type="dxa" w:w="3400"/>
            <w:shd w:fill="FFFFFF" w:val="clear"/>
            <w:tcMar>
              <w:top w:type="dxa" w:w="90"/>
              <w:left w:type="dxa" w:w="110"/>
              <w:bottom w:type="dxa" w:w="90"/>
              <w:right w:type="dxa" w:w="110"/>
            </w:tcMar>
            <w:vAlign w:val="center"/>
          </w:tcPr>
          <w:p>
            <w:r>
              <w:rPr>
                <w:i w:val="false"/>
                <w:iCs w:val="false"/>
                <w:color w:val="1A1A1A"/>
                <w:sz w:val="19"/>
                <w:szCs w:val="19"/>
              </w:rPr>
              <w:t xml:space="preserve">Tribal knowledge — Slack threads, "ask so-and-so"</w:t>
            </w:r>
          </w:p>
        </w:tc>
        <w:tc>
          <w:tcPr>
            <w:tcW w:type="dxa" w:w="4200"/>
            <w:shd w:fill="FFFFFF" w:val="clear"/>
            <w:tcMar>
              <w:top w:type="dxa" w:w="90"/>
              <w:left w:type="dxa" w:w="110"/>
              <w:bottom w:type="dxa" w:w="90"/>
              <w:right w:type="dxa" w:w="110"/>
            </w:tcMar>
            <w:vAlign w:val="center"/>
          </w:tcPr>
          <w:p>
            <w:r>
              <w:rPr>
                <w:i w:val="false"/>
                <w:iCs w:val="false"/>
                <w:color w:val="1A1A1A"/>
                <w:sz w:val="19"/>
                <w:szCs w:val="19"/>
              </w:rPr>
              <w:t xml:space="preserve">Highest variance, least reproducible. Often someone's memory of a version of the system from months ago.</w:t>
            </w:r>
          </w:p>
        </w:tc>
      </w:tr>
    </w:tbl>
    <w:p>
      <w:pPr>
        <w:spacing w:after="200"/>
      </w:pPr>
      <w:r>
        <w:rPr>
          <w:i w:val="false"/>
          <w:iCs w:val="false"/>
          <w:color w:val="1A1A1A"/>
          <w:sz w:val="21"/>
          <w:szCs w:val="21"/>
        </w:rPr>
        <w:t xml:space="preserve">Rule of thumb: </w:t>
      </w:r>
      <w:r>
        <w:rPr>
          <w:b/>
          <w:bCs/>
          <w:color w:val="1A1A1A"/>
          <w:sz w:val="21"/>
          <w:szCs w:val="21"/>
        </w:rPr>
        <w:t xml:space="preserve">when two sources conflict, trust the one higher on this list — and verify any Rank 5–7 claim against a Rank 1–3 source before repeating it to a client.</w:t>
      </w:r>
    </w:p>
    <w:p>
      <w:pPr>
        <w:pStyle w:val="Heading1"/>
        <w:pBdr>
          <w:bottom w:val="single" w:color="E8B93C" w:sz="14" w:space="4"/>
        </w:pBdr>
        <w:spacing w:after="170" w:before="400"/>
      </w:pPr>
      <w:r>
        <w:rPr>
          <w:b/>
          <w:bCs/>
          <w:color w:val="1A1A1A"/>
          <w:sz w:val="30"/>
          <w:szCs w:val="30"/>
        </w:rPr>
        <w:t xml:space="preserve">3. The Three Context Layers</w:t>
      </w:r>
    </w:p>
    <w:p>
      <w:pPr>
        <w:spacing w:after="150"/>
      </w:pPr>
      <w:r>
        <w:rPr>
          <w:i w:val="false"/>
          <w:iCs w:val="false"/>
          <w:color w:val="1A1A1A"/>
          <w:sz w:val="21"/>
          <w:szCs w:val="21"/>
        </w:rPr>
        <w:t xml:space="preserve">Any unfamiliar system can be understood across three layers. Each has its own real, named framework for extracting it — and its own source-mining technique for getting it from code instead of from someone's description of the code.</w:t>
      </w:r>
    </w:p>
    <w:p>
      <w:pPr>
        <w:pStyle w:val="Heading2"/>
        <w:spacing w:after="120" w:before="260"/>
      </w:pPr>
      <w:r>
        <w:rPr>
          <w:b/>
          <w:bCs/>
          <w:color w:val="8A5A0C"/>
          <w:sz w:val="24"/>
          <w:szCs w:val="24"/>
        </w:rPr>
        <w:t xml:space="preserve">3.1 — Functional Context: what the system is FOR</w:t>
      </w:r>
    </w:p>
    <w:p>
      <w:pPr>
        <w:spacing w:after="90" w:before="180"/>
      </w:pPr>
      <w:r>
        <w:rPr>
          <w:b/>
          <w:bCs/>
          <w:color w:val="2E5C8A"/>
          <w:sz w:val="21"/>
          <w:szCs w:val="21"/>
        </w:rPr>
        <w:t xml:space="preserve">Framework: Domain-Driven Design — Bounded Contexts &amp; Ubiquitous Language</w:t>
      </w:r>
    </w:p>
    <w:p>
      <w:pPr>
        <w:spacing w:after="150"/>
      </w:pPr>
      <w:r>
        <w:rPr>
          <w:i w:val="false"/>
          <w:iCs w:val="false"/>
          <w:color w:val="1A1A1A"/>
          <w:sz w:val="21"/>
          <w:szCs w:val="21"/>
        </w:rPr>
        <w:t xml:space="preserve">A </w:t>
      </w:r>
      <w:r>
        <w:rPr>
          <w:b/>
          <w:bCs/>
          <w:color w:val="1A1A1A"/>
          <w:sz w:val="21"/>
          <w:szCs w:val="21"/>
        </w:rPr>
        <w:t xml:space="preserve">bounded context</w:t>
      </w:r>
      <w:r>
        <w:rPr>
          <w:i w:val="false"/>
          <w:iCs w:val="false"/>
          <w:color w:val="1A1A1A"/>
          <w:sz w:val="21"/>
          <w:szCs w:val="21"/>
        </w:rPr>
        <w:t xml:space="preserve"> is a boundary within which a domain model and its vocabulary are internally consistent. The same word — "Order," "Customer," "Claim" — can mean something different in the Fulfillment context than in the Billing context, and DDD's position is that this is fine, as long as the boundary is explicit rather than silently assumed.</w:t>
      </w:r>
    </w:p>
    <w:p>
      <w:pPr>
        <w:spacing w:after="150"/>
      </w:pPr>
      <w:r>
        <w:rPr>
          <w:b/>
          <w:bCs/>
          <w:color w:val="1A1A1A"/>
          <w:sz w:val="21"/>
          <w:szCs w:val="21"/>
        </w:rPr>
        <w:t xml:space="preserve">Ubiquitous Language</w:t>
      </w:r>
      <w:r>
        <w:rPr>
          <w:i w:val="false"/>
          <w:iCs w:val="false"/>
          <w:color w:val="1A1A1A"/>
          <w:sz w:val="21"/>
          <w:szCs w:val="21"/>
        </w:rPr>
        <w:t xml:space="preserve"> is the vocabulary that should be shared between domain experts and code, consistently, within one bounded context. The practical mining insight: the language actually embedded in class names, function names, and module names </w:t>
      </w:r>
      <w:r>
        <w:rPr>
          <w:b/>
          <w:bCs/>
          <w:color w:val="1A1A1A"/>
          <w:sz w:val="21"/>
          <w:szCs w:val="21"/>
        </w:rPr>
        <w:t xml:space="preserve">is</w:t>
      </w:r>
      <w:r>
        <w:rPr>
          <w:i w:val="false"/>
          <w:iCs w:val="false"/>
          <w:color w:val="1A1A1A"/>
          <w:sz w:val="21"/>
          <w:szCs w:val="21"/>
        </w:rPr>
        <w:t xml:space="preserve"> the ubiquitous language in practice — whether or not it matches what the wiki calls things.</w:t>
      </w:r>
    </w:p>
    <w:p>
      <w:pPr>
        <w:spacing w:after="90" w:before="180"/>
      </w:pPr>
      <w:r>
        <w:rPr>
          <w:b/>
          <w:bCs/>
          <w:color w:val="2E5C8A"/>
          <w:sz w:val="21"/>
          <w:szCs w:val="21"/>
        </w:rPr>
        <w:t xml:space="preserve">Source-mining technique</w:t>
      </w:r>
    </w:p>
    <w:p>
      <w:pPr>
        <w:pStyle w:val="ListParagraph"/>
        <w:numPr>
          <w:ilvl w:val="0"/>
          <w:numId w:val="2"/>
        </w:numPr>
        <w:spacing w:after="90"/>
      </w:pPr>
      <w:r>
        <w:rPr>
          <w:i w:val="false"/>
          <w:iCs w:val="false"/>
          <w:color w:val="1A1A1A"/>
          <w:sz w:val="21"/>
          <w:szCs w:val="21"/>
        </w:rPr>
        <w:t xml:space="preserve">Extract the most frequently used domain nouns across the codebase — class names, top-level function names, database table names.</w:t>
      </w:r>
    </w:p>
    <w:p>
      <w:pPr>
        <w:pStyle w:val="ListParagraph"/>
        <w:numPr>
          <w:ilvl w:val="0"/>
          <w:numId w:val="2"/>
        </w:numPr>
        <w:spacing w:after="90"/>
      </w:pPr>
      <w:r>
        <w:rPr>
          <w:i w:val="false"/>
          <w:iCs w:val="false"/>
          <w:color w:val="1A1A1A"/>
          <w:sz w:val="21"/>
          <w:szCs w:val="21"/>
        </w:rPr>
        <w:t xml:space="preserve">Cluster modules by which nouns they share. Where the vocabulary changes, or a translation/mapping layer appears between two modules, that seam is very likely a bounded context boundary.</w:t>
      </w:r>
    </w:p>
    <w:p>
      <w:pPr>
        <w:pStyle w:val="ListParagraph"/>
        <w:numPr>
          <w:ilvl w:val="0"/>
          <w:numId w:val="2"/>
        </w:numPr>
        <w:spacing w:after="90"/>
      </w:pPr>
      <w:r>
        <w:rPr>
          <w:i w:val="false"/>
          <w:iCs w:val="false"/>
          <w:color w:val="1A1A1A"/>
          <w:sz w:val="21"/>
          <w:szCs w:val="21"/>
        </w:rPr>
        <w:t xml:space="preserve">Complementary technique: </w:t>
      </w:r>
      <w:r>
        <w:rPr>
          <w:b/>
          <w:bCs/>
          <w:color w:val="1A1A1A"/>
          <w:sz w:val="21"/>
          <w:szCs w:val="21"/>
        </w:rPr>
        <w:t xml:space="preserve">Event Storming</w:t>
      </w:r>
      <w:r>
        <w:rPr>
          <w:i w:val="false"/>
          <w:iCs w:val="false"/>
          <w:color w:val="1A1A1A"/>
          <w:sz w:val="21"/>
          <w:szCs w:val="21"/>
        </w:rPr>
        <w:t xml:space="preserve"> (Alberto Brandolini) — a collaborative, sticky-note workshop with domain experts mapping domain events, commands, and aggregates. Use it when the code alone doesn't reveal intent, only structure.</w:t>
      </w:r>
    </w:p>
    <w:p>
      <w:pPr>
        <w:pStyle w:val="Heading2"/>
        <w:spacing w:after="120" w:before="260"/>
      </w:pPr>
      <w:r>
        <w:rPr>
          <w:b/>
          <w:bCs/>
          <w:color w:val="8A5A0C"/>
          <w:sz w:val="24"/>
          <w:szCs w:val="24"/>
        </w:rPr>
        <w:t xml:space="preserve">3.2 — System Context: how the system is BUILT</w:t>
      </w:r>
    </w:p>
    <w:p>
      <w:pPr>
        <w:spacing w:after="90" w:before="180"/>
      </w:pPr>
      <w:r>
        <w:rPr>
          <w:b/>
          <w:bCs/>
          <w:color w:val="2E5C8A"/>
          <w:sz w:val="21"/>
          <w:szCs w:val="21"/>
        </w:rPr>
        <w:t xml:space="preserve">Framework: The C4 Model (Simon Brown)</w:t>
      </w:r>
    </w:p>
    <w:p>
      <w:pPr>
        <w:spacing w:after="150"/>
      </w:pPr>
      <w:r>
        <w:rPr>
          <w:i w:val="false"/>
          <w:iCs w:val="false"/>
          <w:color w:val="1A1A1A"/>
          <w:sz w:val="21"/>
          <w:szCs w:val="21"/>
        </w:rPr>
        <w:t xml:space="preserve">Four levels of zoom, each with a direct source-mining approximation: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800"/>
      </w:tblGrid>
      <w:tr>
        <w:trPr>
          <w:tblHeader/>
        </w:trPr>
        <w:tc>
          <w:tcPr>
            <w:tcW w:type="dxa" w:w="1800"/>
            <w:shd w:fill="E8B93C" w:val="clear"/>
            <w:tcMar>
              <w:top w:type="dxa" w:w="90"/>
              <w:left w:type="dxa" w:w="110"/>
              <w:bottom w:type="dxa" w:w="90"/>
              <w:right w:type="dxa" w:w="110"/>
            </w:tcMar>
            <w:vAlign w:val="center"/>
          </w:tcPr>
          <w:p>
            <w:r>
              <w:rPr>
                <w:i w:val="false"/>
                <w:iCs w:val="false"/>
                <w:color w:val="1A1A1A"/>
                <w:sz w:val="19"/>
                <w:szCs w:val="19"/>
              </w:rPr>
              <w:t xml:space="preserve">Level</w:t>
            </w:r>
          </w:p>
        </w:tc>
        <w:tc>
          <w:tcPr>
            <w:tcW w:type="dxa" w:w="3600"/>
            <w:shd w:fill="E8B93C" w:val="clear"/>
            <w:tcMar>
              <w:top w:type="dxa" w:w="90"/>
              <w:left w:type="dxa" w:w="110"/>
              <w:bottom w:type="dxa" w:w="90"/>
              <w:right w:type="dxa" w:w="110"/>
            </w:tcMar>
            <w:vAlign w:val="center"/>
          </w:tcPr>
          <w:p>
            <w:r>
              <w:rPr>
                <w:i w:val="false"/>
                <w:iCs w:val="false"/>
                <w:color w:val="1A1A1A"/>
                <w:sz w:val="19"/>
                <w:szCs w:val="19"/>
              </w:rPr>
              <w:t xml:space="preserve">What it shows</w:t>
            </w:r>
          </w:p>
        </w:tc>
        <w:tc>
          <w:tcPr>
            <w:tcW w:type="dxa" w:w="3800"/>
            <w:shd w:fill="E8B93C" w:val="clear"/>
            <w:tcMar>
              <w:top w:type="dxa" w:w="90"/>
              <w:left w:type="dxa" w:w="110"/>
              <w:bottom w:type="dxa" w:w="90"/>
              <w:right w:type="dxa" w:w="110"/>
            </w:tcMar>
            <w:vAlign w:val="center"/>
          </w:tcPr>
          <w:p>
            <w:r>
              <w:rPr>
                <w:i w:val="false"/>
                <w:iCs w:val="false"/>
                <w:color w:val="1A1A1A"/>
                <w:sz w:val="19"/>
                <w:szCs w:val="19"/>
              </w:rPr>
              <w:t xml:space="preserve">Mine it from</w:t>
            </w:r>
          </w:p>
        </w:tc>
      </w:tr>
      <w:tr>
        <w:tc>
          <w:tcPr>
            <w:tcW w:type="dxa" w:w="1800"/>
            <w:shd w:fill="FFFFFF" w:val="clear"/>
            <w:tcMar>
              <w:top w:type="dxa" w:w="90"/>
              <w:left w:type="dxa" w:w="110"/>
              <w:bottom w:type="dxa" w:w="90"/>
              <w:right w:type="dxa" w:w="110"/>
            </w:tcMar>
            <w:vAlign w:val="center"/>
          </w:tcPr>
          <w:p>
            <w:r>
              <w:rPr>
                <w:i w:val="false"/>
                <w:iCs w:val="false"/>
                <w:color w:val="1A1A1A"/>
                <w:sz w:val="19"/>
                <w:szCs w:val="19"/>
              </w:rPr>
              <w:t xml:space="preserve">1 — System Context</w:t>
            </w:r>
          </w:p>
        </w:tc>
        <w:tc>
          <w:tcPr>
            <w:tcW w:type="dxa" w:w="3600"/>
            <w:shd w:fill="FFFFFF" w:val="clear"/>
            <w:tcMar>
              <w:top w:type="dxa" w:w="90"/>
              <w:left w:type="dxa" w:w="110"/>
              <w:bottom w:type="dxa" w:w="90"/>
              <w:right w:type="dxa" w:w="110"/>
            </w:tcMar>
            <w:vAlign w:val="center"/>
          </w:tcPr>
          <w:p>
            <w:r>
              <w:rPr>
                <w:i w:val="false"/>
                <w:iCs w:val="false"/>
                <w:color w:val="1A1A1A"/>
                <w:sz w:val="19"/>
                <w:szCs w:val="19"/>
              </w:rPr>
              <w:t xml:space="preserve">The system as one box: its users, and the other systems it talks to.</w:t>
            </w:r>
          </w:p>
        </w:tc>
        <w:tc>
          <w:tcPr>
            <w:tcW w:type="dxa" w:w="3800"/>
            <w:shd w:fill="FFFFFF" w:val="clear"/>
            <w:tcMar>
              <w:top w:type="dxa" w:w="90"/>
              <w:left w:type="dxa" w:w="110"/>
              <w:bottom w:type="dxa" w:w="90"/>
              <w:right w:type="dxa" w:w="110"/>
            </w:tcMar>
            <w:vAlign w:val="center"/>
          </w:tcPr>
          <w:p>
            <w:r>
              <w:rPr>
                <w:i w:val="false"/>
                <w:iCs w:val="false"/>
                <w:color w:val="1A1A1A"/>
                <w:sz w:val="19"/>
                <w:szCs w:val="19"/>
              </w:rPr>
              <w:t xml:space="preserve">Outbound network calls / env vars for downstream URLs; inbound routes and auth scopes; message-queue topics published or consumed.</w:t>
            </w:r>
          </w:p>
        </w:tc>
      </w:tr>
      <w:tr>
        <w:tc>
          <w:tcPr>
            <w:tcW w:type="dxa" w:w="1800"/>
            <w:shd w:fill="FBF3DC" w:val="clear"/>
            <w:tcMar>
              <w:top w:type="dxa" w:w="90"/>
              <w:left w:type="dxa" w:w="110"/>
              <w:bottom w:type="dxa" w:w="90"/>
              <w:right w:type="dxa" w:w="110"/>
            </w:tcMar>
            <w:vAlign w:val="center"/>
          </w:tcPr>
          <w:p>
            <w:r>
              <w:rPr>
                <w:i w:val="false"/>
                <w:iCs w:val="false"/>
                <w:color w:val="1A1A1A"/>
                <w:sz w:val="19"/>
                <w:szCs w:val="19"/>
              </w:rPr>
              <w:t xml:space="preserve">2 — Container</w:t>
            </w:r>
          </w:p>
        </w:tc>
        <w:tc>
          <w:tcPr>
            <w:tcW w:type="dxa" w:w="3600"/>
            <w:shd w:fill="FBF3DC" w:val="clear"/>
            <w:tcMar>
              <w:top w:type="dxa" w:w="90"/>
              <w:left w:type="dxa" w:w="110"/>
              <w:bottom w:type="dxa" w:w="90"/>
              <w:right w:type="dxa" w:w="110"/>
            </w:tcMar>
            <w:vAlign w:val="center"/>
          </w:tcPr>
          <w:p>
            <w:r>
              <w:rPr>
                <w:i w:val="false"/>
                <w:iCs w:val="false"/>
                <w:color w:val="1A1A1A"/>
                <w:sz w:val="19"/>
                <w:szCs w:val="19"/>
              </w:rPr>
              <w:t xml:space="preserve">The deployable/runnable units inside the system (services, databases, queues) and how they talk to each other.</w:t>
            </w:r>
          </w:p>
        </w:tc>
        <w:tc>
          <w:tcPr>
            <w:tcW w:type="dxa" w:w="3800"/>
            <w:shd w:fill="FBF3DC" w:val="clear"/>
            <w:tcMar>
              <w:top w:type="dxa" w:w="90"/>
              <w:left w:type="dxa" w:w="110"/>
              <w:bottom w:type="dxa" w:w="90"/>
              <w:right w:type="dxa" w:w="110"/>
            </w:tcMar>
            <w:vAlign w:val="center"/>
          </w:tcPr>
          <w:p>
            <w:r>
              <w:rPr>
                <w:i w:val="false"/>
                <w:iCs w:val="false"/>
                <w:color w:val="1A1A1A"/>
                <w:sz w:val="19"/>
                <w:szCs w:val="19"/>
              </w:rPr>
              <w:t xml:space="preserve">docker-compose.yml, Kubernetes manifests, Terraform; actual service-client instantiations in code.</w:t>
            </w:r>
          </w:p>
        </w:tc>
      </w:tr>
      <w:tr>
        <w:tc>
          <w:tcPr>
            <w:tcW w:type="dxa" w:w="1800"/>
            <w:shd w:fill="FFFFFF" w:val="clear"/>
            <w:tcMar>
              <w:top w:type="dxa" w:w="90"/>
              <w:left w:type="dxa" w:w="110"/>
              <w:bottom w:type="dxa" w:w="90"/>
              <w:right w:type="dxa" w:w="110"/>
            </w:tcMar>
            <w:vAlign w:val="center"/>
          </w:tcPr>
          <w:p>
            <w:r>
              <w:rPr>
                <w:i w:val="false"/>
                <w:iCs w:val="false"/>
                <w:color w:val="1A1A1A"/>
                <w:sz w:val="19"/>
                <w:szCs w:val="19"/>
              </w:rPr>
              <w:t xml:space="preserve">3 — Component</w:t>
            </w:r>
          </w:p>
        </w:tc>
        <w:tc>
          <w:tcPr>
            <w:tcW w:type="dxa" w:w="3600"/>
            <w:shd w:fill="FFFFFF" w:val="clear"/>
            <w:tcMar>
              <w:top w:type="dxa" w:w="90"/>
              <w:left w:type="dxa" w:w="110"/>
              <w:bottom w:type="dxa" w:w="90"/>
              <w:right w:type="dxa" w:w="110"/>
            </w:tcMar>
            <w:vAlign w:val="center"/>
          </w:tcPr>
          <w:p>
            <w:r>
              <w:rPr>
                <w:i w:val="false"/>
                <w:iCs w:val="false"/>
                <w:color w:val="1A1A1A"/>
                <w:sz w:val="19"/>
                <w:szCs w:val="19"/>
              </w:rPr>
              <w:t xml:space="preserve">The major structural building blocks inside one container and their responsibilities.</w:t>
            </w:r>
          </w:p>
        </w:tc>
        <w:tc>
          <w:tcPr>
            <w:tcW w:type="dxa" w:w="3800"/>
            <w:shd w:fill="FFFFFF" w:val="clear"/>
            <w:tcMar>
              <w:top w:type="dxa" w:w="90"/>
              <w:left w:type="dxa" w:w="110"/>
              <w:bottom w:type="dxa" w:w="90"/>
              <w:right w:type="dxa" w:w="110"/>
            </w:tcMar>
            <w:vAlign w:val="center"/>
          </w:tcPr>
          <w:p>
            <w:r>
              <w:rPr>
                <w:i w:val="false"/>
                <w:iCs w:val="false"/>
                <w:color w:val="1A1A1A"/>
                <w:sz w:val="19"/>
                <w:szCs w:val="19"/>
              </w:rPr>
              <w:t xml:space="preserve">Top-level package/module structure; dependency-injection wiring; the actual import graph.</w:t>
            </w:r>
          </w:p>
        </w:tc>
      </w:tr>
      <w:tr>
        <w:tc>
          <w:tcPr>
            <w:tcW w:type="dxa" w:w="1800"/>
            <w:shd w:fill="FBF3DC" w:val="clear"/>
            <w:tcMar>
              <w:top w:type="dxa" w:w="90"/>
              <w:left w:type="dxa" w:w="110"/>
              <w:bottom w:type="dxa" w:w="90"/>
              <w:right w:type="dxa" w:w="110"/>
            </w:tcMar>
            <w:vAlign w:val="center"/>
          </w:tcPr>
          <w:p>
            <w:r>
              <w:rPr>
                <w:i w:val="false"/>
                <w:iCs w:val="false"/>
                <w:color w:val="1A1A1A"/>
                <w:sz w:val="19"/>
                <w:szCs w:val="19"/>
              </w:rPr>
              <w:t xml:space="preserve">4 — Code</w:t>
            </w:r>
          </w:p>
        </w:tc>
        <w:tc>
          <w:tcPr>
            <w:tcW w:type="dxa" w:w="3600"/>
            <w:shd w:fill="FBF3DC" w:val="clear"/>
            <w:tcMar>
              <w:top w:type="dxa" w:w="90"/>
              <w:left w:type="dxa" w:w="110"/>
              <w:bottom w:type="dxa" w:w="90"/>
              <w:right w:type="dxa" w:w="110"/>
            </w:tcMar>
            <w:vAlign w:val="center"/>
          </w:tcPr>
          <w:p>
            <w:r>
              <w:rPr>
                <w:i w:val="false"/>
                <w:iCs w:val="false"/>
                <w:color w:val="1A1A1A"/>
                <w:sz w:val="19"/>
                <w:szCs w:val="19"/>
              </w:rPr>
              <w:t xml:space="preserve">Classes and functions — the level most teams shouldn't hand-maintain a diagram for.</w:t>
            </w:r>
          </w:p>
        </w:tc>
        <w:tc>
          <w:tcPr>
            <w:tcW w:type="dxa" w:w="3800"/>
            <w:shd w:fill="FBF3DC" w:val="clear"/>
            <w:tcMar>
              <w:top w:type="dxa" w:w="90"/>
              <w:left w:type="dxa" w:w="110"/>
              <w:bottom w:type="dxa" w:w="90"/>
              <w:right w:type="dxa" w:w="110"/>
            </w:tcMar>
            <w:vAlign w:val="center"/>
          </w:tcPr>
          <w:p>
            <w:r>
              <w:rPr>
                <w:i w:val="false"/>
                <w:iCs w:val="false"/>
                <w:color w:val="1A1A1A"/>
                <w:sz w:val="19"/>
                <w:szCs w:val="19"/>
              </w:rPr>
              <w:t xml:space="preserve">The source code itself. C4's own guidance: this level rarely earns a hand-drawn diagram, because the code already is the diagram — the strongest possible restatement of this session's thesis, from inside the framework itself.</w:t>
            </w:r>
          </w:p>
        </w:tc>
      </w:tr>
    </w:tbl>
    <w:p>
      <w:pPr>
        <w:pStyle w:val="Heading2"/>
        <w:spacing w:after="120" w:before="260"/>
      </w:pPr>
      <w:r>
        <w:rPr>
          <w:b/>
          <w:bCs/>
          <w:color w:val="8A5A0C"/>
          <w:sz w:val="24"/>
          <w:szCs w:val="24"/>
        </w:rPr>
        <w:t xml:space="preserve">3.3 — Data Context: what the system KNOWS</w:t>
      </w:r>
    </w:p>
    <w:p>
      <w:pPr>
        <w:spacing w:after="90" w:before="180"/>
      </w:pPr>
      <w:r>
        <w:rPr>
          <w:b/>
          <w:bCs/>
          <w:color w:val="2E5C8A"/>
          <w:sz w:val="21"/>
          <w:szCs w:val="21"/>
        </w:rPr>
        <w:t xml:space="preserve">Framework: ODCS — Open Data Contract Standard (v3)</w:t>
      </w:r>
    </w:p>
    <w:p>
      <w:pPr>
        <w:spacing w:after="150"/>
      </w:pPr>
      <w:r>
        <w:rPr>
          <w:i w:val="false"/>
          <w:iCs w:val="false"/>
          <w:color w:val="1A1A1A"/>
          <w:sz w:val="21"/>
          <w:szCs w:val="21"/>
        </w:rPr>
        <w:t xml:space="preserve">A real, versioned, YAML-based standard for describing a data product's schema, quality rules, SLAs, and ownership in one machine-readable artifact that lives in the same repo and pipeline as the data itself.</w:t>
      </w:r>
    </w:p>
    <w:p>
      <w:pPr>
        <w:pStyle w:val="ListParagraph"/>
        <w:numPr>
          <w:ilvl w:val="0"/>
          <w:numId w:val="2"/>
        </w:numPr>
        <w:spacing w:after="90"/>
      </w:pPr>
      <w:r>
        <w:rPr>
          <w:b/>
          <w:bCs/>
          <w:color w:val="1A1A1A"/>
          <w:sz w:val="21"/>
          <w:szCs w:val="21"/>
        </w:rPr>
        <w:t xml:space="preserve">Fundamentals</w:t>
      </w:r>
      <w:r>
        <w:rPr>
          <w:i w:val="false"/>
          <w:iCs w:val="false"/>
          <w:color w:val="1A1A1A"/>
          <w:sz w:val="21"/>
          <w:szCs w:val="21"/>
        </w:rPr>
        <w:t xml:space="preserve"> — name, owner, domain, description.</w:t>
      </w:r>
    </w:p>
    <w:p>
      <w:pPr>
        <w:pStyle w:val="ListParagraph"/>
        <w:numPr>
          <w:ilvl w:val="0"/>
          <w:numId w:val="2"/>
        </w:numPr>
        <w:spacing w:after="90"/>
      </w:pPr>
      <w:r>
        <w:rPr>
          <w:b/>
          <w:bCs/>
          <w:color w:val="1A1A1A"/>
          <w:sz w:val="21"/>
          <w:szCs w:val="21"/>
        </w:rPr>
        <w:t xml:space="preserve">Schema</w:t>
      </w:r>
      <w:r>
        <w:rPr>
          <w:i w:val="false"/>
          <w:iCs w:val="false"/>
          <w:color w:val="1A1A1A"/>
          <w:sz w:val="21"/>
          <w:szCs w:val="21"/>
        </w:rPr>
        <w:t xml:space="preserve"> — fields, types, and business definitions per field, not just column names.</w:t>
      </w:r>
    </w:p>
    <w:p>
      <w:pPr>
        <w:pStyle w:val="ListParagraph"/>
        <w:numPr>
          <w:ilvl w:val="0"/>
          <w:numId w:val="2"/>
        </w:numPr>
        <w:spacing w:after="90"/>
      </w:pPr>
      <w:r>
        <w:rPr>
          <w:b/>
          <w:bCs/>
          <w:color w:val="1A1A1A"/>
          <w:sz w:val="21"/>
          <w:szCs w:val="21"/>
        </w:rPr>
        <w:t xml:space="preserve">Quality rules</w:t>
      </w:r>
      <w:r>
        <w:rPr>
          <w:i w:val="false"/>
          <w:iCs w:val="false"/>
          <w:color w:val="1A1A1A"/>
          <w:sz w:val="21"/>
          <w:szCs w:val="21"/>
        </w:rPr>
        <w:t xml:space="preserve"> — constraints, freshness SLAs, null/uniqueness expectations.</w:t>
      </w:r>
    </w:p>
    <w:p>
      <w:pPr>
        <w:pStyle w:val="ListParagraph"/>
        <w:numPr>
          <w:ilvl w:val="0"/>
          <w:numId w:val="2"/>
        </w:numPr>
        <w:spacing w:after="90"/>
      </w:pPr>
      <w:r>
        <w:rPr>
          <w:b/>
          <w:bCs/>
          <w:color w:val="1A1A1A"/>
          <w:sz w:val="21"/>
          <w:szCs w:val="21"/>
        </w:rPr>
        <w:t xml:space="preserve">Support &amp; ownership metadata</w:t>
      </w:r>
      <w:r>
        <w:rPr>
          <w:i w:val="false"/>
          <w:iCs w:val="false"/>
          <w:color w:val="1A1A1A"/>
          <w:sz w:val="21"/>
          <w:szCs w:val="21"/>
        </w:rPr>
        <w:t xml:space="preserve"> — who to contact, where it's discussed, what its lifecycle stage is.</w:t>
      </w:r>
    </w:p>
    <w:p>
      <w:pPr>
        <w:spacing w:after="150"/>
      </w:pPr>
      <w:r>
        <w:rPr>
          <w:i w:val="false"/>
          <w:iCs w:val="false"/>
          <w:color w:val="1A1A1A"/>
          <w:sz w:val="21"/>
          <w:szCs w:val="21"/>
        </w:rPr>
        <w:t xml:space="preserve">Why this fixes the "docs lie" problem </w:t>
      </w:r>
      <w:r>
        <w:rPr>
          <w:b/>
          <w:bCs/>
          <w:color w:val="1A1A1A"/>
          <w:sz w:val="21"/>
          <w:szCs w:val="21"/>
        </w:rPr>
        <w:t xml:space="preserve">structurally</w:t>
      </w:r>
      <w:r>
        <w:rPr>
          <w:i w:val="false"/>
          <w:iCs w:val="false"/>
          <w:color w:val="1A1A1A"/>
          <w:sz w:val="21"/>
          <w:szCs w:val="21"/>
        </w:rPr>
        <w:t xml:space="preserve">, not just procedurally: an ODCS contract is validated by CI — a malformed contract or a schema drift breaks the build. Like tests, it has a built-in mechanism forcing it to stay true. A wiki-hosted "Data Dictionary.xlsx" has no such mechanism.</w:t>
      </w:r>
    </w:p>
    <w:p>
      <w:pPr>
        <w:spacing w:after="90" w:before="180"/>
      </w:pPr>
      <w:r>
        <w:rPr>
          <w:b/>
          <w:bCs/>
          <w:color w:val="2E5C8A"/>
          <w:sz w:val="21"/>
          <w:szCs w:val="21"/>
        </w:rPr>
        <w:t xml:space="preserve">Source-mining technique when no contract exists yet (the common case)</w:t>
      </w:r>
    </w:p>
    <w:p>
      <w:pPr>
        <w:pStyle w:val="ListParagraph"/>
        <w:numPr>
          <w:ilvl w:val="0"/>
          <w:numId w:val="2"/>
        </w:numPr>
        <w:spacing w:after="90"/>
      </w:pPr>
      <w:r>
        <w:rPr>
          <w:i w:val="false"/>
          <w:iCs w:val="false"/>
          <w:color w:val="1A1A1A"/>
          <w:sz w:val="21"/>
          <w:szCs w:val="21"/>
        </w:rPr>
        <w:t xml:space="preserve">Introspect the actual database schema directly — information_schema queries, ORM model definitions.</w:t>
      </w:r>
    </w:p>
    <w:p>
      <w:pPr>
        <w:pStyle w:val="ListParagraph"/>
        <w:numPr>
          <w:ilvl w:val="0"/>
          <w:numId w:val="2"/>
        </w:numPr>
        <w:spacing w:after="90"/>
      </w:pPr>
      <w:r>
        <w:rPr>
          <w:i w:val="false"/>
          <w:iCs w:val="false"/>
          <w:color w:val="1A1A1A"/>
          <w:sz w:val="21"/>
          <w:szCs w:val="21"/>
        </w:rPr>
        <w:t xml:space="preserve">Read migration file history in order — it's a truthful, timestamped record of how the schema actually evolved, unlike a data dictionary that was last touched two reorgs ago.</w:t>
      </w:r>
    </w:p>
    <w:p>
      <w:pPr>
        <w:pStyle w:val="ListParagraph"/>
        <w:numPr>
          <w:ilvl w:val="0"/>
          <w:numId w:val="2"/>
        </w:numPr>
        <w:spacing w:after="90"/>
      </w:pPr>
      <w:r>
        <w:rPr>
          <w:i w:val="false"/>
          <w:iCs w:val="false"/>
          <w:color w:val="1A1A1A"/>
          <w:sz w:val="21"/>
          <w:szCs w:val="21"/>
        </w:rPr>
        <w:t xml:space="preserve">Trace lineage from source tables through transformation code to any downstream consumer, rather than trusting a lineage diagram someone drew by hand once.</w:t>
      </w:r>
    </w:p>
    <w:p>
      <w:pPr>
        <w:pStyle w:val="Heading1"/>
        <w:pBdr>
          <w:bottom w:val="single" w:color="E8B93C" w:sz="14" w:space="4"/>
        </w:pBdr>
        <w:spacing w:after="170" w:before="400"/>
      </w:pPr>
      <w:r>
        <w:rPr>
          <w:b/>
          <w:bCs/>
          <w:color w:val="1A1A1A"/>
          <w:sz w:val="30"/>
          <w:szCs w:val="30"/>
        </w:rPr>
        <w:t xml:space="preserve">4. The Source-Mining Method</w:t>
      </w:r>
    </w:p>
    <w:p>
      <w:pPr>
        <w:spacing w:after="150"/>
      </w:pPr>
      <w:r>
        <w:rPr>
          <w:i w:val="false"/>
          <w:iCs w:val="false"/>
          <w:color w:val="1A1A1A"/>
          <w:sz w:val="21"/>
          <w:szCs w:val="21"/>
        </w:rPr>
        <w:t xml:space="preserve">A repeatable, six-step method for using Claude Code to build accurate context on a new codebase — this is what today's demo runs end-to-end.</w:t>
      </w:r>
    </w:p>
    <w:p>
      <w:pPr>
        <w:pStyle w:val="ListParagraph"/>
        <w:numPr>
          <w:ilvl w:val="0"/>
          <w:numId w:val="3"/>
        </w:numPr>
        <w:spacing w:after="110"/>
      </w:pPr>
      <w:r>
        <w:rPr>
          <w:b/>
          <w:bCs/>
          <w:color w:val="1A1A1A"/>
          <w:sz w:val="21"/>
          <w:szCs w:val="21"/>
        </w:rPr>
        <w:t xml:space="preserve">Read the docs first — for orientation, not truth.</w:t>
      </w:r>
      <w:r>
        <w:rPr>
          <w:i w:val="false"/>
          <w:iCs w:val="false"/>
          <w:color w:val="1A1A1A"/>
          <w:sz w:val="21"/>
          <w:szCs w:val="21"/>
        </w:rPr>
        <w:t xml:space="preserve"> They tell you what to go verify, not what to believe.</w:t>
      </w:r>
    </w:p>
    <w:p>
      <w:pPr>
        <w:pStyle w:val="ListParagraph"/>
        <w:numPr>
          <w:ilvl w:val="0"/>
          <w:numId w:val="3"/>
        </w:numPr>
        <w:spacing w:after="110"/>
      </w:pPr>
      <w:r>
        <w:rPr>
          <w:b/>
          <w:bCs/>
          <w:color w:val="1A1A1A"/>
          <w:sz w:val="21"/>
          <w:szCs w:val="21"/>
        </w:rPr>
        <w:t xml:space="preserve">Mine the tests.</w:t>
      </w:r>
      <w:r>
        <w:rPr>
          <w:i w:val="false"/>
          <w:iCs w:val="false"/>
          <w:color w:val="1A1A1A"/>
          <w:sz w:val="21"/>
          <w:szCs w:val="21"/>
        </w:rPr>
        <w:t xml:space="preserve"> Tests are Rank 1 on the Trust Hierarchy. If a claim can be checked against a passing test, that's your strongest available evidence.</w:t>
      </w:r>
    </w:p>
    <w:p>
      <w:pPr>
        <w:pStyle w:val="ListParagraph"/>
        <w:numPr>
          <w:ilvl w:val="0"/>
          <w:numId w:val="3"/>
        </w:numPr>
        <w:spacing w:after="110"/>
      </w:pPr>
      <w:r>
        <w:rPr>
          <w:b/>
          <w:bCs/>
          <w:color w:val="1A1A1A"/>
          <w:sz w:val="21"/>
          <w:szCs w:val="21"/>
        </w:rPr>
        <w:t xml:space="preserve">Mine the actual config, schema, and environment files.</w:t>
      </w:r>
      <w:r>
        <w:rPr>
          <w:i w:val="false"/>
          <w:iCs w:val="false"/>
          <w:color w:val="1A1A1A"/>
          <w:sz w:val="21"/>
          <w:szCs w:val="21"/>
        </w:rPr>
        <w:t xml:space="preserve"> Rank 3 — machine-enforced, hard to get away with being wrong.</w:t>
      </w:r>
    </w:p>
    <w:p>
      <w:pPr>
        <w:pStyle w:val="ListParagraph"/>
        <w:numPr>
          <w:ilvl w:val="0"/>
          <w:numId w:val="3"/>
        </w:numPr>
        <w:spacing w:after="110"/>
      </w:pPr>
      <w:r>
        <w:rPr>
          <w:b/>
          <w:bCs/>
          <w:color w:val="1A1A1A"/>
          <w:sz w:val="21"/>
          <w:szCs w:val="21"/>
        </w:rPr>
        <w:t xml:space="preserve">Mine commit and change history</w:t>
      </w:r>
      <w:r>
        <w:rPr>
          <w:i w:val="false"/>
          <w:iCs w:val="false"/>
          <w:color w:val="1A1A1A"/>
          <w:sz w:val="21"/>
          <w:szCs w:val="21"/>
        </w:rPr>
        <w:t xml:space="preserve"> for anything recent the docs likely never caught up to.</w:t>
      </w:r>
    </w:p>
    <w:p>
      <w:pPr>
        <w:pStyle w:val="ListParagraph"/>
        <w:numPr>
          <w:ilvl w:val="0"/>
          <w:numId w:val="3"/>
        </w:numPr>
        <w:spacing w:after="110"/>
      </w:pPr>
      <w:r>
        <w:rPr>
          <w:b/>
          <w:bCs/>
          <w:color w:val="1A1A1A"/>
          <w:sz w:val="21"/>
          <w:szCs w:val="21"/>
        </w:rPr>
        <w:t xml:space="preserve">Diff the docs' claims against what Steps 2–4 actually show.</w:t>
      </w:r>
      <w:r>
        <w:rPr>
          <w:i w:val="false"/>
          <w:iCs w:val="false"/>
          <w:color w:val="1A1A1A"/>
          <w:sz w:val="21"/>
          <w:szCs w:val="21"/>
        </w:rPr>
        <w:t xml:space="preserve"> Every mismatch becomes one line in a Context Discrepancy Report.</w:t>
      </w:r>
    </w:p>
    <w:p>
      <w:pPr>
        <w:pStyle w:val="ListParagraph"/>
        <w:numPr>
          <w:ilvl w:val="0"/>
          <w:numId w:val="3"/>
        </w:numPr>
        <w:spacing w:after="110"/>
      </w:pPr>
      <w:r>
        <w:rPr>
          <w:b/>
          <w:bCs/>
          <w:color w:val="1A1A1A"/>
          <w:sz w:val="21"/>
          <w:szCs w:val="21"/>
        </w:rPr>
        <w:t xml:space="preserve">Produce the three-layer context brief — Functional, System, Data — from verified findings only.</w:t>
      </w:r>
      <w:r>
        <w:rPr>
          <w:i w:val="false"/>
          <w:iCs w:val="false"/>
          <w:color w:val="1A1A1A"/>
          <w:sz w:val="21"/>
          <w:szCs w:val="21"/>
        </w:rPr>
        <w:t xml:space="preserve"> Anything you couldn't verify gets flagged as unverified, not silently assumed true.</w:t>
      </w:r>
    </w:p>
    <w:p>
      <w:pPr>
        <w:pStyle w:val="Heading1"/>
        <w:pBdr>
          <w:bottom w:val="single" w:color="E8B93C" w:sz="14" w:space="4"/>
        </w:pBdr>
        <w:spacing w:after="170" w:before="400"/>
      </w:pPr>
      <w:r>
        <w:rPr>
          <w:b/>
          <w:bCs/>
          <w:color w:val="1A1A1A"/>
          <w:sz w:val="30"/>
          <w:szCs w:val="30"/>
        </w:rPr>
        <w:t xml:space="preserve">5. DEMO — Session 4: Source-Mining, Live</w:t>
      </w:r>
    </w:p>
    <w:p>
      <w:pPr>
        <w:spacing w:after="150"/>
      </w:pPr>
      <w:r>
        <w:rPr>
          <w:b/>
          <w:bCs/>
          <w:color w:val="1A1A1A"/>
          <w:sz w:val="21"/>
          <w:szCs w:val="21"/>
        </w:rPr>
        <w:t xml:space="preserve">The repo:</w:t>
      </w:r>
      <w:r>
        <w:rPr>
          <w:i w:val="false"/>
          <w:iCs w:val="false"/>
          <w:color w:val="1A1A1A"/>
          <w:sz w:val="21"/>
          <w:szCs w:val="21"/>
        </w:rPr>
        <w:t xml:space="preserve"> </w:t>
      </w:r>
      <w:r>
        <w:rPr>
          <w:b/>
          <w:bCs/>
          <w:color w:val="1A1A1A"/>
          <w:sz w:val="21"/>
          <w:szCs w:val="21"/>
        </w:rPr>
        <w:t xml:space="preserve">notification-service</w:t>
      </w:r>
      <w:r>
        <w:rPr>
          <w:i w:val="false"/>
          <w:iCs w:val="false"/>
          <w:color w:val="1A1A1A"/>
          <w:sz w:val="21"/>
          <w:szCs w:val="21"/>
        </w:rPr>
        <w:t xml:space="preserve"> — a small, real Python service with a README, source code, config, tests, and a changelog. It ships alongside this document as </w:t>
      </w:r>
      <w:r>
        <w:rPr>
          <w:b/>
          <w:bCs/>
          <w:color w:val="1A1A1A"/>
          <w:sz w:val="21"/>
          <w:szCs w:val="21"/>
        </w:rPr>
        <w:t xml:space="preserve">session4_demo.zip</w:t>
      </w:r>
      <w:r>
        <w:rPr>
          <w:i w:val="false"/>
          <w:iCs w:val="false"/>
          <w:color w:val="1A1A1A"/>
          <w:sz w:val="21"/>
          <w:szCs w:val="21"/>
        </w:rPr>
        <w:t xml:space="preserve">. Every discrepancy below has been verified by actually running the test suite — this is not a scripted illustration.</w:t>
      </w:r>
    </w:p>
    <w:p>
      <w:pPr>
        <w:spacing w:after="90" w:before="180"/>
      </w:pPr>
      <w:r>
        <w:rPr>
          <w:b/>
          <w:bCs/>
          <w:color w:val="2E5C8A"/>
          <w:sz w:val="21"/>
          <w:szCs w:val="21"/>
        </w:rPr>
        <w:t xml:space="preserve">Setup</w:t>
      </w:r>
    </w:p>
    <w:p>
      <w:pPr>
        <w:pStyle w:val="ListParagraph"/>
        <w:numPr>
          <w:ilvl w:val="0"/>
          <w:numId w:val="2"/>
        </w:numPr>
        <w:spacing w:after="90"/>
      </w:pPr>
      <w:r>
        <w:rPr>
          <w:i w:val="false"/>
          <w:iCs w:val="false"/>
          <w:color w:val="1A1A1A"/>
          <w:sz w:val="21"/>
          <w:szCs w:val="21"/>
        </w:rPr>
        <w:t xml:space="preserve">Unzip </w:t>
      </w:r>
      <w:r>
        <w:rPr>
          <w:b/>
          <w:bCs/>
          <w:color w:val="1A1A1A"/>
          <w:sz w:val="21"/>
          <w:szCs w:val="21"/>
        </w:rPr>
        <w:t xml:space="preserve">session4_demo.zip</w:t>
      </w:r>
      <w:r>
        <w:rPr>
          <w:i w:val="false"/>
          <w:iCs w:val="false"/>
          <w:color w:val="1A1A1A"/>
          <w:sz w:val="21"/>
          <w:szCs w:val="21"/>
        </w:rPr>
        <w:t xml:space="preserve"> into a working folder.</w:t>
      </w:r>
    </w:p>
    <w:p>
      <w:pPr>
        <w:pStyle w:val="ListParagraph"/>
        <w:numPr>
          <w:ilvl w:val="0"/>
          <w:numId w:val="2"/>
        </w:numPr>
        <w:spacing w:after="90"/>
      </w:pPr>
      <w:r>
        <w:rPr>
          <w:i w:val="false"/>
          <w:iCs w:val="false"/>
          <w:color w:val="1A1A1A"/>
          <w:sz w:val="21"/>
          <w:szCs w:val="21"/>
        </w:rPr>
        <w:t xml:space="preserve">Open a terminal in that folder and start Claude Code (</w:t>
      </w:r>
      <w:r>
        <w:rPr>
          <w:b/>
          <w:bCs/>
          <w:color w:val="1A1A1A"/>
          <w:sz w:val="21"/>
          <w:szCs w:val="21"/>
        </w:rPr>
        <w:t xml:space="preserve">claude</w:t>
      </w:r>
      <w:r>
        <w:rPr>
          <w:i w:val="false"/>
          <w:iCs w:val="false"/>
          <w:color w:val="1A1A1A"/>
          <w:sz w:val="21"/>
          <w:szCs w:val="21"/>
        </w:rPr>
        <w:t xml:space="preserve">).</w:t>
      </w:r>
    </w:p>
    <w:p>
      <w:pPr>
        <w:spacing w:after="90" w:before="180"/>
      </w:pPr>
      <w:r>
        <w:rPr>
          <w:b/>
          <w:bCs/>
          <w:color w:val="2E5C8A"/>
          <w:sz w:val="21"/>
          <w:szCs w:val="21"/>
        </w:rPr>
        <w:t xml:space="preserve">Step 1 — Read the docs first, for orientation (2 min)</w:t>
      </w:r>
    </w:p>
    <w:p>
      <w:pPr>
        <w:pBdr>
          <w:left w:val="single" w:color="2E5C8A" w:sz="24" w:space="8"/>
        </w:pBdr>
        <w:shd w:fill="F4F0E6" w:val="clear"/>
        <w:spacing w:after="160" w:before="100"/>
        <w:ind w:left="200"/>
      </w:pPr>
      <w:r>
        <w:rPr>
          <w:b/>
          <w:bCs/>
          <w:color w:val="2E5C8A"/>
          <w:sz w:val="19"/>
          <w:szCs w:val="19"/>
        </w:rPr>
        <w:t xml:space="preserve">TYPE THIS —  </w:t>
      </w:r>
      <w:r>
        <w:rPr>
          <w:i/>
          <w:iCs/>
          <w:color w:val="1A1A1A"/>
          <w:sz w:val="20"/>
          <w:szCs w:val="20"/>
        </w:rPr>
        <w:t xml:space="preserve">“Read README.md. Summarize what it claims about supported channels, retry behavior, and rate limiting — in one line each.”</w:t>
      </w:r>
    </w:p>
    <w:p>
      <w:pPr>
        <w:spacing w:after="150"/>
      </w:pPr>
      <w:r>
        <w:rPr>
          <w:b/>
          <w:bCs/>
          <w:color w:val="1A1A1A"/>
          <w:sz w:val="21"/>
          <w:szCs w:val="21"/>
        </w:rPr>
        <w:t xml:space="preserve">Expect:</w:t>
      </w:r>
      <w:r>
        <w:rPr>
          <w:i w:val="false"/>
          <w:iCs w:val="false"/>
          <w:color w:val="1A1A1A"/>
          <w:sz w:val="21"/>
          <w:szCs w:val="21"/>
        </w:rPr>
        <w:t xml:space="preserve"> three clean, confident claims — Email/SMS only; 3 retries with exponential backoff; 100 req/s. Nothing here is hedged. That's the trap.</w:t>
      </w:r>
    </w:p>
    <w:p>
      <w:pPr>
        <w:spacing w:after="90" w:before="180"/>
      </w:pPr>
      <w:r>
        <w:rPr>
          <w:b/>
          <w:bCs/>
          <w:color w:val="2E5C8A"/>
          <w:sz w:val="21"/>
          <w:szCs w:val="21"/>
        </w:rPr>
        <w:t xml:space="preserve">Step 2 — Mine the tests (5 min)</w:t>
      </w:r>
    </w:p>
    <w:p>
      <w:pPr>
        <w:pBdr>
          <w:left w:val="single" w:color="2E5C8A" w:sz="24" w:space="8"/>
        </w:pBdr>
        <w:shd w:fill="F4F0E6" w:val="clear"/>
        <w:spacing w:after="160" w:before="100"/>
        <w:ind w:left="200"/>
      </w:pPr>
      <w:r>
        <w:rPr>
          <w:b/>
          <w:bCs/>
          <w:color w:val="2E5C8A"/>
          <w:sz w:val="19"/>
          <w:szCs w:val="19"/>
        </w:rPr>
        <w:t xml:space="preserve">TYPE THIS —  </w:t>
      </w:r>
      <w:r>
        <w:rPr>
          <w:i/>
          <w:iCs/>
          <w:color w:val="1A1A1A"/>
          <w:sz w:val="20"/>
          <w:szCs w:val="20"/>
        </w:rPr>
        <w:t xml:space="preserve">“Now read tests/test_notification_service.py and run the test suite. For each of the three claims from README.md, tell me whether a test confirms it, contradicts it, or says nothing about it.”</w:t>
      </w:r>
    </w:p>
    <w:p>
      <w:pPr>
        <w:spacing w:after="150"/>
      </w:pPr>
      <w:r>
        <w:rPr>
          <w:b/>
          <w:bCs/>
          <w:color w:val="1A1A1A"/>
          <w:sz w:val="21"/>
          <w:szCs w:val="21"/>
        </w:rPr>
        <w:t xml:space="preserve">Verified finding:</w:t>
      </w:r>
      <w:r>
        <w:rPr>
          <w:i w:val="false"/>
          <w:iCs w:val="false"/>
          <w:color w:val="1A1A1A"/>
          <w:sz w:val="21"/>
          <w:szCs w:val="21"/>
        </w:rPr>
        <w:t xml:space="preserve"> all 5 tests pass, and they directly contradict two of the three README claims: </w:t>
      </w:r>
      <w:r>
        <w:rPr>
          <w:b/>
          <w:bCs/>
          <w:color w:val="1A1A1A"/>
          <w:sz w:val="21"/>
          <w:szCs w:val="21"/>
        </w:rPr>
        <w:t xml:space="preserve">test_push_channel_is_supported</w:t>
      </w:r>
      <w:r>
        <w:rPr>
          <w:i w:val="false"/>
          <w:iCs w:val="false"/>
          <w:color w:val="1A1A1A"/>
          <w:sz w:val="21"/>
          <w:szCs w:val="21"/>
        </w:rPr>
        <w:t xml:space="preserve"> proves a third channel exists; </w:t>
      </w:r>
      <w:r>
        <w:rPr>
          <w:b/>
          <w:bCs/>
          <w:color w:val="1A1A1A"/>
          <w:sz w:val="21"/>
          <w:szCs w:val="21"/>
        </w:rPr>
        <w:t xml:space="preserve">test_retry_count_is_two_not_three</w:t>
      </w:r>
      <w:r>
        <w:rPr>
          <w:i w:val="false"/>
          <w:iCs w:val="false"/>
          <w:color w:val="1A1A1A"/>
          <w:sz w:val="21"/>
          <w:szCs w:val="21"/>
        </w:rPr>
        <w:t xml:space="preserve"> and </w:t>
      </w:r>
      <w:r>
        <w:rPr>
          <w:b/>
          <w:bCs/>
          <w:color w:val="1A1A1A"/>
          <w:sz w:val="21"/>
          <w:szCs w:val="21"/>
        </w:rPr>
        <w:t xml:space="preserve">test_retry_uses_fixed_delay_not_backoff</w:t>
      </w:r>
      <w:r>
        <w:rPr>
          <w:i w:val="false"/>
          <w:iCs w:val="false"/>
          <w:color w:val="1A1A1A"/>
          <w:sz w:val="21"/>
          <w:szCs w:val="21"/>
        </w:rPr>
        <w:t xml:space="preserve"> prove the real retry policy is 2 attempts with a </w:t>
      </w:r>
      <w:r>
        <w:rPr>
          <w:b/>
          <w:bCs/>
          <w:color w:val="1A1A1A"/>
          <w:sz w:val="21"/>
          <w:szCs w:val="21"/>
        </w:rPr>
        <w:t xml:space="preserve">fixed</w:t>
      </w:r>
      <w:r>
        <w:rPr>
          <w:i w:val="false"/>
          <w:iCs w:val="false"/>
          <w:color w:val="1A1A1A"/>
          <w:sz w:val="21"/>
          <w:szCs w:val="21"/>
        </w:rPr>
        <w:t xml:space="preserve"> 2-second delay, not 3 with exponential backoff.</w:t>
      </w:r>
    </w:p>
    <w:p>
      <w:pPr>
        <w:spacing w:after="90" w:before="180"/>
      </w:pPr>
      <w:r>
        <w:rPr>
          <w:b/>
          <w:bCs/>
          <w:color w:val="2E5C8A"/>
          <w:sz w:val="21"/>
          <w:szCs w:val="21"/>
        </w:rPr>
        <w:t xml:space="preserve">Step 3 — Mine config and source directly (5 min)</w:t>
      </w:r>
    </w:p>
    <w:p>
      <w:pPr>
        <w:pBdr>
          <w:left w:val="single" w:color="2E5C8A" w:sz="24" w:space="8"/>
        </w:pBdr>
        <w:shd w:fill="F4F0E6" w:val="clear"/>
        <w:spacing w:after="160" w:before="100"/>
        <w:ind w:left="200"/>
      </w:pPr>
      <w:r>
        <w:rPr>
          <w:b/>
          <w:bCs/>
          <w:color w:val="2E5C8A"/>
          <w:sz w:val="19"/>
          <w:szCs w:val="19"/>
        </w:rPr>
        <w:t xml:space="preserve">TYPE THIS —  </w:t>
      </w:r>
      <w:r>
        <w:rPr>
          <w:i/>
          <w:iCs/>
          <w:color w:val="1A1A1A"/>
          <w:sz w:val="20"/>
          <w:szCs w:val="20"/>
        </w:rPr>
        <w:t xml:space="preserve">“Read config/rate_limit_config.yaml and src/rate_limiter.py. What rate limit is actually enforced, and how confident can you be in that number?”</w:t>
      </w:r>
    </w:p>
    <w:p>
      <w:pPr>
        <w:spacing w:after="150"/>
      </w:pPr>
      <w:r>
        <w:rPr>
          <w:b/>
          <w:bCs/>
          <w:color w:val="1A1A1A"/>
          <w:sz w:val="21"/>
          <w:szCs w:val="21"/>
        </w:rPr>
        <w:t xml:space="preserve">Verified finding:</w:t>
      </w:r>
      <w:r>
        <w:rPr>
          <w:i w:val="false"/>
          <w:iCs w:val="false"/>
          <w:color w:val="1A1A1A"/>
          <w:sz w:val="21"/>
          <w:szCs w:val="21"/>
        </w:rPr>
        <w:t xml:space="preserve"> </w:t>
      </w:r>
      <w:r>
        <w:rPr>
          <w:b/>
          <w:bCs/>
          <w:color w:val="1A1A1A"/>
          <w:sz w:val="21"/>
          <w:szCs w:val="21"/>
        </w:rPr>
        <w:t xml:space="preserve">requests_per_second: 50</w:t>
      </w:r>
      <w:r>
        <w:rPr>
          <w:i w:val="false"/>
          <w:iCs w:val="false"/>
          <w:color w:val="1A1A1A"/>
          <w:sz w:val="21"/>
          <w:szCs w:val="21"/>
        </w:rPr>
        <w:t xml:space="preserve"> in the config, loaded directly by </w:t>
      </w:r>
      <w:r>
        <w:rPr>
          <w:b/>
          <w:bCs/>
          <w:color w:val="1A1A1A"/>
          <w:sz w:val="21"/>
          <w:szCs w:val="21"/>
        </w:rPr>
        <w:t xml:space="preserve">RateLimiter</w:t>
      </w:r>
      <w:r>
        <w:rPr>
          <w:i w:val="false"/>
          <w:iCs w:val="false"/>
          <w:color w:val="1A1A1A"/>
          <w:sz w:val="21"/>
          <w:szCs w:val="21"/>
        </w:rPr>
        <w:t xml:space="preserve"> with no other code path — confirmed by running </w:t>
      </w:r>
      <w:r>
        <w:rPr>
          <w:b/>
          <w:bCs/>
          <w:color w:val="1A1A1A"/>
          <w:sz w:val="21"/>
          <w:szCs w:val="21"/>
        </w:rPr>
        <w:t xml:space="preserve">src/notification_service.py</w:t>
      </w:r>
      <w:r>
        <w:rPr>
          <w:i w:val="false"/>
          <w:iCs w:val="false"/>
          <w:color w:val="1A1A1A"/>
          <w:sz w:val="21"/>
          <w:szCs w:val="21"/>
        </w:rPr>
        <w:t xml:space="preserve"> directly and reading its printed output: 50 req/s, not the 100 in README.md.</w:t>
      </w:r>
    </w:p>
    <w:p>
      <w:pPr>
        <w:spacing w:after="90" w:before="180"/>
      </w:pPr>
      <w:r>
        <w:rPr>
          <w:b/>
          <w:bCs/>
          <w:color w:val="2E5C8A"/>
          <w:sz w:val="21"/>
          <w:szCs w:val="21"/>
        </w:rPr>
        <w:t xml:space="preserve">Step 4 — Mine the change history (3 min)</w:t>
      </w:r>
    </w:p>
    <w:p>
      <w:pPr>
        <w:pBdr>
          <w:left w:val="single" w:color="2E5C8A" w:sz="24" w:space="8"/>
        </w:pBdr>
        <w:shd w:fill="F4F0E6" w:val="clear"/>
        <w:spacing w:after="160" w:before="100"/>
        <w:ind w:left="200"/>
      </w:pPr>
      <w:r>
        <w:rPr>
          <w:b/>
          <w:bCs/>
          <w:color w:val="2E5C8A"/>
          <w:sz w:val="19"/>
          <w:szCs w:val="19"/>
        </w:rPr>
        <w:t xml:space="preserve">TYPE THIS —  </w:t>
      </w:r>
      <w:r>
        <w:rPr>
          <w:i/>
          <w:iCs/>
          <w:color w:val="1A1A1A"/>
          <w:sz w:val="20"/>
          <w:szCs w:val="20"/>
        </w:rPr>
        <w:t xml:space="preserve">“Read CHANGELOG.md. For each of the three discrepancies we've found, when did the code change and why — and was README.md updated at the same time?”</w:t>
      </w:r>
    </w:p>
    <w:p>
      <w:pPr>
        <w:spacing w:after="150"/>
      </w:pPr>
      <w:r>
        <w:rPr>
          <w:b/>
          <w:bCs/>
          <w:color w:val="1A1A1A"/>
          <w:sz w:val="21"/>
          <w:szCs w:val="21"/>
        </w:rPr>
        <w:t xml:space="preserve">Expect:</w:t>
      </w:r>
      <w:r>
        <w:rPr>
          <w:i w:val="false"/>
          <w:iCs w:val="false"/>
          <w:color w:val="1A1A1A"/>
          <w:sz w:val="21"/>
          <w:szCs w:val="21"/>
        </w:rPr>
        <w:t xml:space="preserve"> three dated entries (channel added 2026-06-02, rate limit lowered 2026-05-14 after a provider quota incident, retry policy changed 2026-04-30 after backoff caused retry storms) — each explicitly noting README.md was not updated. This is the moment the room usually stops being surprised and starts being uncomfortable: these weren't neglect, they were reasonable engineering calls that simply never propagated to the doc.</w:t>
      </w:r>
    </w:p>
    <w:p>
      <w:pPr>
        <w:spacing w:after="90" w:before="180"/>
      </w:pPr>
      <w:r>
        <w:rPr>
          <w:b/>
          <w:bCs/>
          <w:color w:val="2E5C8A"/>
          <w:sz w:val="21"/>
          <w:szCs w:val="21"/>
        </w:rPr>
        <w:t xml:space="preserve">Step 5 — Produce the Context Discrepancy Report (5 min)</w:t>
      </w:r>
    </w:p>
    <w:p>
      <w:pPr>
        <w:pBdr>
          <w:left w:val="single" w:color="2E5C8A" w:sz="24" w:space="8"/>
        </w:pBdr>
        <w:shd w:fill="F4F0E6" w:val="clear"/>
        <w:spacing w:after="160" w:before="100"/>
        <w:ind w:left="200"/>
      </w:pPr>
      <w:r>
        <w:rPr>
          <w:b/>
          <w:bCs/>
          <w:color w:val="2E5C8A"/>
          <w:sz w:val="19"/>
          <w:szCs w:val="19"/>
        </w:rPr>
        <w:t xml:space="preserve">TYPE THIS —  </w:t>
      </w:r>
      <w:r>
        <w:rPr>
          <w:i/>
          <w:iCs/>
          <w:color w:val="1A1A1A"/>
          <w:sz w:val="20"/>
          <w:szCs w:val="20"/>
        </w:rPr>
        <w:t xml:space="preserve">“Produce a Context Discrepancy Report: one row per claim, with the README's claim, the verified reality, the evidence source, and the date it diverged.”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2600"/>
        <w:gridCol w:w="1400"/>
      </w:tblGrid>
      <w:tr>
        <w:trPr>
          <w:tblHeader/>
        </w:trPr>
        <w:tc>
          <w:tcPr>
            <w:tcW w:type="dxa" w:w="1600"/>
            <w:shd w:fill="E8B93C" w:val="clear"/>
            <w:tcMar>
              <w:top w:type="dxa" w:w="90"/>
              <w:left w:type="dxa" w:w="110"/>
              <w:bottom w:type="dxa" w:w="90"/>
              <w:right w:type="dxa" w:w="110"/>
            </w:tcMar>
            <w:vAlign w:val="center"/>
          </w:tcPr>
          <w:p>
            <w:r>
              <w:rPr>
                <w:i w:val="false"/>
                <w:iCs w:val="false"/>
                <w:color w:val="1A1A1A"/>
                <w:sz w:val="19"/>
                <w:szCs w:val="19"/>
              </w:rPr>
              <w:t xml:space="preserve">Claim</w:t>
            </w:r>
          </w:p>
        </w:tc>
        <w:tc>
          <w:tcPr>
            <w:tcW w:type="dxa" w:w="2200"/>
            <w:shd w:fill="E8B93C" w:val="clear"/>
            <w:tcMar>
              <w:top w:type="dxa" w:w="90"/>
              <w:left w:type="dxa" w:w="110"/>
              <w:bottom w:type="dxa" w:w="90"/>
              <w:right w:type="dxa" w:w="110"/>
            </w:tcMar>
            <w:vAlign w:val="center"/>
          </w:tcPr>
          <w:p>
            <w:r>
              <w:rPr>
                <w:i w:val="false"/>
                <w:iCs w:val="false"/>
                <w:color w:val="1A1A1A"/>
                <w:sz w:val="19"/>
                <w:szCs w:val="19"/>
              </w:rPr>
              <w:t xml:space="preserve">README Says</w:t>
            </w:r>
          </w:p>
        </w:tc>
        <w:tc>
          <w:tcPr>
            <w:tcW w:type="dxa" w:w="2200"/>
            <w:shd w:fill="E8B93C" w:val="clear"/>
            <w:tcMar>
              <w:top w:type="dxa" w:w="90"/>
              <w:left w:type="dxa" w:w="110"/>
              <w:bottom w:type="dxa" w:w="90"/>
              <w:right w:type="dxa" w:w="110"/>
            </w:tcMar>
            <w:vAlign w:val="center"/>
          </w:tcPr>
          <w:p>
            <w:r>
              <w:rPr>
                <w:i w:val="false"/>
                <w:iCs w:val="false"/>
                <w:color w:val="1A1A1A"/>
                <w:sz w:val="19"/>
                <w:szCs w:val="19"/>
              </w:rPr>
              <w:t xml:space="preserve">Verified Reality</w:t>
            </w:r>
          </w:p>
        </w:tc>
        <w:tc>
          <w:tcPr>
            <w:tcW w:type="dxa" w:w="2600"/>
            <w:shd w:fill="E8B93C" w:val="clear"/>
            <w:tcMar>
              <w:top w:type="dxa" w:w="90"/>
              <w:left w:type="dxa" w:w="110"/>
              <w:bottom w:type="dxa" w:w="90"/>
              <w:right w:type="dxa" w:w="110"/>
            </w:tcMar>
            <w:vAlign w:val="center"/>
          </w:tcPr>
          <w:p>
            <w:r>
              <w:rPr>
                <w:i w:val="false"/>
                <w:iCs w:val="false"/>
                <w:color w:val="1A1A1A"/>
                <w:sz w:val="19"/>
                <w:szCs w:val="19"/>
              </w:rPr>
              <w:t xml:space="preserve">Evidence</w:t>
            </w:r>
          </w:p>
        </w:tc>
        <w:tc>
          <w:tcPr>
            <w:tcW w:type="dxa" w:w="1400"/>
            <w:shd w:fill="E8B93C" w:val="clear"/>
            <w:tcMar>
              <w:top w:type="dxa" w:w="90"/>
              <w:left w:type="dxa" w:w="110"/>
              <w:bottom w:type="dxa" w:w="90"/>
              <w:right w:type="dxa" w:w="110"/>
            </w:tcMar>
            <w:vAlign w:val="center"/>
          </w:tcPr>
          <w:p>
            <w:r>
              <w:rPr>
                <w:i w:val="false"/>
                <w:iCs w:val="false"/>
                <w:color w:val="1A1A1A"/>
                <w:sz w:val="19"/>
                <w:szCs w:val="19"/>
              </w:rPr>
              <w:t xml:space="preserve">Diverged</w:t>
            </w:r>
          </w:p>
        </w:tc>
      </w:tr>
      <w:tr>
        <w:tc>
          <w:tcPr>
            <w:tcW w:type="dxa" w:w="1600"/>
            <w:shd w:fill="FFFFFF" w:val="clear"/>
            <w:tcMar>
              <w:top w:type="dxa" w:w="90"/>
              <w:left w:type="dxa" w:w="110"/>
              <w:bottom w:type="dxa" w:w="90"/>
              <w:right w:type="dxa" w:w="110"/>
            </w:tcMar>
            <w:vAlign w:val="center"/>
          </w:tcPr>
          <w:p>
            <w:r>
              <w:rPr>
                <w:i w:val="false"/>
                <w:iCs w:val="false"/>
                <w:color w:val="1A1A1A"/>
                <w:sz w:val="19"/>
                <w:szCs w:val="19"/>
              </w:rPr>
              <w:t xml:space="preserve">Channels</w:t>
            </w:r>
          </w:p>
        </w:tc>
        <w:tc>
          <w:tcPr>
            <w:tcW w:type="dxa" w:w="2200"/>
            <w:shd w:fill="FFFFFF" w:val="clear"/>
            <w:tcMar>
              <w:top w:type="dxa" w:w="90"/>
              <w:left w:type="dxa" w:w="110"/>
              <w:bottom w:type="dxa" w:w="90"/>
              <w:right w:type="dxa" w:w="110"/>
            </w:tcMar>
            <w:vAlign w:val="center"/>
          </w:tcPr>
          <w:p>
            <w:r>
              <w:rPr>
                <w:i w:val="false"/>
                <w:iCs w:val="false"/>
                <w:color w:val="1A1A1A"/>
                <w:sz w:val="19"/>
                <w:szCs w:val="19"/>
              </w:rPr>
              <w:t xml:space="preserve">Email, SMS</w:t>
            </w:r>
          </w:p>
        </w:tc>
        <w:tc>
          <w:tcPr>
            <w:tcW w:type="dxa" w:w="2200"/>
            <w:shd w:fill="FFFFFF" w:val="clear"/>
            <w:tcMar>
              <w:top w:type="dxa" w:w="90"/>
              <w:left w:type="dxa" w:w="110"/>
              <w:bottom w:type="dxa" w:w="90"/>
              <w:right w:type="dxa" w:w="110"/>
            </w:tcMar>
            <w:vAlign w:val="center"/>
          </w:tcPr>
          <w:p>
            <w:r>
              <w:rPr>
                <w:i w:val="false"/>
                <w:iCs w:val="false"/>
                <w:color w:val="1A1A1A"/>
                <w:sz w:val="19"/>
                <w:szCs w:val="19"/>
              </w:rPr>
              <w:t xml:space="preserve">Email, SMS, Push</w:t>
            </w:r>
          </w:p>
        </w:tc>
        <w:tc>
          <w:tcPr>
            <w:tcW w:type="dxa" w:w="2600"/>
            <w:shd w:fill="FFFFFF" w:val="clear"/>
            <w:tcMar>
              <w:top w:type="dxa" w:w="90"/>
              <w:left w:type="dxa" w:w="110"/>
              <w:bottom w:type="dxa" w:w="90"/>
              <w:right w:type="dxa" w:w="110"/>
            </w:tcMar>
            <w:vAlign w:val="center"/>
          </w:tcPr>
          <w:p>
            <w:r>
              <w:rPr>
                <w:i w:val="false"/>
                <w:iCs w:val="false"/>
                <w:color w:val="1A1A1A"/>
                <w:sz w:val="19"/>
                <w:szCs w:val="19"/>
              </w:rPr>
              <w:t xml:space="preserve">test_push_channel_is_supported</w:t>
            </w:r>
          </w:p>
        </w:tc>
        <w:tc>
          <w:tcPr>
            <w:tcW w:type="dxa" w:w="1400"/>
            <w:shd w:fill="FFFFFF" w:val="clear"/>
            <w:tcMar>
              <w:top w:type="dxa" w:w="90"/>
              <w:left w:type="dxa" w:w="110"/>
              <w:bottom w:type="dxa" w:w="90"/>
              <w:right w:type="dxa" w:w="110"/>
            </w:tcMar>
            <w:vAlign w:val="center"/>
          </w:tcPr>
          <w:p>
            <w:r>
              <w:rPr>
                <w:i w:val="false"/>
                <w:iCs w:val="false"/>
                <w:color w:val="1A1A1A"/>
                <w:sz w:val="19"/>
                <w:szCs w:val="19"/>
              </w:rPr>
              <w:t xml:space="preserve">2026-06-02</w:t>
            </w:r>
          </w:p>
        </w:tc>
      </w:tr>
      <w:tr>
        <w:tc>
          <w:tcPr>
            <w:tcW w:type="dxa" w:w="1600"/>
            <w:shd w:fill="FBF3DC" w:val="clear"/>
            <w:tcMar>
              <w:top w:type="dxa" w:w="90"/>
              <w:left w:type="dxa" w:w="110"/>
              <w:bottom w:type="dxa" w:w="90"/>
              <w:right w:type="dxa" w:w="110"/>
            </w:tcMar>
            <w:vAlign w:val="center"/>
          </w:tcPr>
          <w:p>
            <w:r>
              <w:rPr>
                <w:i w:val="false"/>
                <w:iCs w:val="false"/>
                <w:color w:val="1A1A1A"/>
                <w:sz w:val="19"/>
                <w:szCs w:val="19"/>
              </w:rPr>
              <w:t xml:space="preserve">Retry policy</w:t>
            </w:r>
          </w:p>
        </w:tc>
        <w:tc>
          <w:tcPr>
            <w:tcW w:type="dxa" w:w="2200"/>
            <w:shd w:fill="FBF3DC" w:val="clear"/>
            <w:tcMar>
              <w:top w:type="dxa" w:w="90"/>
              <w:left w:type="dxa" w:w="110"/>
              <w:bottom w:type="dxa" w:w="90"/>
              <w:right w:type="dxa" w:w="110"/>
            </w:tcMar>
            <w:vAlign w:val="center"/>
          </w:tcPr>
          <w:p>
            <w:r>
              <w:rPr>
                <w:i w:val="false"/>
                <w:iCs w:val="false"/>
                <w:color w:val="1A1A1A"/>
                <w:sz w:val="19"/>
                <w:szCs w:val="19"/>
              </w:rPr>
              <w:t xml:space="preserve">3x, exponential backoff</w:t>
            </w:r>
          </w:p>
        </w:tc>
        <w:tc>
          <w:tcPr>
            <w:tcW w:type="dxa" w:w="2200"/>
            <w:shd w:fill="FBF3DC" w:val="clear"/>
            <w:tcMar>
              <w:top w:type="dxa" w:w="90"/>
              <w:left w:type="dxa" w:w="110"/>
              <w:bottom w:type="dxa" w:w="90"/>
              <w:right w:type="dxa" w:w="110"/>
            </w:tcMar>
            <w:vAlign w:val="center"/>
          </w:tcPr>
          <w:p>
            <w:r>
              <w:rPr>
                <w:i w:val="false"/>
                <w:iCs w:val="false"/>
                <w:color w:val="1A1A1A"/>
                <w:sz w:val="19"/>
                <w:szCs w:val="19"/>
              </w:rPr>
              <w:t xml:space="preserve">2x, fixed 2s delay</w:t>
            </w:r>
          </w:p>
        </w:tc>
        <w:tc>
          <w:tcPr>
            <w:tcW w:type="dxa" w:w="2600"/>
            <w:shd w:fill="FBF3DC" w:val="clear"/>
            <w:tcMar>
              <w:top w:type="dxa" w:w="90"/>
              <w:left w:type="dxa" w:w="110"/>
              <w:bottom w:type="dxa" w:w="90"/>
              <w:right w:type="dxa" w:w="110"/>
            </w:tcMar>
            <w:vAlign w:val="center"/>
          </w:tcPr>
          <w:p>
            <w:r>
              <w:rPr>
                <w:i w:val="false"/>
                <w:iCs w:val="false"/>
                <w:color w:val="1A1A1A"/>
                <w:sz w:val="19"/>
                <w:szCs w:val="19"/>
              </w:rPr>
              <w:t xml:space="preserve">test_retry_uses_fixed_delay_not_backoff</w:t>
            </w:r>
          </w:p>
        </w:tc>
        <w:tc>
          <w:tcPr>
            <w:tcW w:type="dxa" w:w="1400"/>
            <w:shd w:fill="FBF3DC" w:val="clear"/>
            <w:tcMar>
              <w:top w:type="dxa" w:w="90"/>
              <w:left w:type="dxa" w:w="110"/>
              <w:bottom w:type="dxa" w:w="90"/>
              <w:right w:type="dxa" w:w="110"/>
            </w:tcMar>
            <w:vAlign w:val="center"/>
          </w:tcPr>
          <w:p>
            <w:r>
              <w:rPr>
                <w:i w:val="false"/>
                <w:iCs w:val="false"/>
                <w:color w:val="1A1A1A"/>
                <w:sz w:val="19"/>
                <w:szCs w:val="19"/>
              </w:rPr>
              <w:t xml:space="preserve">2026-04-30</w:t>
            </w:r>
          </w:p>
        </w:tc>
      </w:tr>
      <w:tr>
        <w:tc>
          <w:tcPr>
            <w:tcW w:type="dxa" w:w="1600"/>
            <w:shd w:fill="FFFFFF" w:val="clear"/>
            <w:tcMar>
              <w:top w:type="dxa" w:w="90"/>
              <w:left w:type="dxa" w:w="110"/>
              <w:bottom w:type="dxa" w:w="90"/>
              <w:right w:type="dxa" w:w="110"/>
            </w:tcMar>
            <w:vAlign w:val="center"/>
          </w:tcPr>
          <w:p>
            <w:r>
              <w:rPr>
                <w:i w:val="false"/>
                <w:iCs w:val="false"/>
                <w:color w:val="1A1A1A"/>
                <w:sz w:val="19"/>
                <w:szCs w:val="19"/>
              </w:rPr>
              <w:t xml:space="preserve">Rate limit</w:t>
            </w:r>
          </w:p>
        </w:tc>
        <w:tc>
          <w:tcPr>
            <w:tcW w:type="dxa" w:w="2200"/>
            <w:shd w:fill="FFFFFF" w:val="clear"/>
            <w:tcMar>
              <w:top w:type="dxa" w:w="90"/>
              <w:left w:type="dxa" w:w="110"/>
              <w:bottom w:type="dxa" w:w="90"/>
              <w:right w:type="dxa" w:w="110"/>
            </w:tcMar>
            <w:vAlign w:val="center"/>
          </w:tcPr>
          <w:p>
            <w:r>
              <w:rPr>
                <w:i w:val="false"/>
                <w:iCs w:val="false"/>
                <w:color w:val="1A1A1A"/>
                <w:sz w:val="19"/>
                <w:szCs w:val="19"/>
              </w:rPr>
              <w:t xml:space="preserve">100 req/s</w:t>
            </w:r>
          </w:p>
        </w:tc>
        <w:tc>
          <w:tcPr>
            <w:tcW w:type="dxa" w:w="2200"/>
            <w:shd w:fill="FFFFFF" w:val="clear"/>
            <w:tcMar>
              <w:top w:type="dxa" w:w="90"/>
              <w:left w:type="dxa" w:w="110"/>
              <w:bottom w:type="dxa" w:w="90"/>
              <w:right w:type="dxa" w:w="110"/>
            </w:tcMar>
            <w:vAlign w:val="center"/>
          </w:tcPr>
          <w:p>
            <w:r>
              <w:rPr>
                <w:i w:val="false"/>
                <w:iCs w:val="false"/>
                <w:color w:val="1A1A1A"/>
                <w:sz w:val="19"/>
                <w:szCs w:val="19"/>
              </w:rPr>
              <w:t xml:space="preserve">50 req/s</w:t>
            </w:r>
          </w:p>
        </w:tc>
        <w:tc>
          <w:tcPr>
            <w:tcW w:type="dxa" w:w="2600"/>
            <w:shd w:fill="FFFFFF" w:val="clear"/>
            <w:tcMar>
              <w:top w:type="dxa" w:w="90"/>
              <w:left w:type="dxa" w:w="110"/>
              <w:bottom w:type="dxa" w:w="90"/>
              <w:right w:type="dxa" w:w="110"/>
            </w:tcMar>
            <w:vAlign w:val="center"/>
          </w:tcPr>
          <w:p>
            <w:r>
              <w:rPr>
                <w:i w:val="false"/>
                <w:iCs w:val="false"/>
                <w:color w:val="1A1A1A"/>
                <w:sz w:val="19"/>
                <w:szCs w:val="19"/>
              </w:rPr>
              <w:t xml:space="preserve">rate_limit_config.yaml</w:t>
            </w:r>
          </w:p>
        </w:tc>
        <w:tc>
          <w:tcPr>
            <w:tcW w:type="dxa" w:w="1400"/>
            <w:shd w:fill="FFFFFF" w:val="clear"/>
            <w:tcMar>
              <w:top w:type="dxa" w:w="90"/>
              <w:left w:type="dxa" w:w="110"/>
              <w:bottom w:type="dxa" w:w="90"/>
              <w:right w:type="dxa" w:w="110"/>
            </w:tcMar>
            <w:vAlign w:val="center"/>
          </w:tcPr>
          <w:p>
            <w:r>
              <w:rPr>
                <w:i w:val="false"/>
                <w:iCs w:val="false"/>
                <w:color w:val="1A1A1A"/>
                <w:sz w:val="19"/>
                <w:szCs w:val="19"/>
              </w:rPr>
              <w:t xml:space="preserve">2026-05-14</w:t>
            </w:r>
          </w:p>
        </w:tc>
      </w:tr>
    </w:tbl>
    <w:p>
      <w:pPr>
        <w:spacing w:after="90" w:before="180"/>
      </w:pPr>
      <w:r>
        <w:rPr>
          <w:b/>
          <w:bCs/>
          <w:color w:val="2E5C8A"/>
          <w:sz w:val="21"/>
          <w:szCs w:val="21"/>
        </w:rPr>
        <w:t xml:space="preserve">Step 6 — Produce the three-layer context brief (5 min)</w:t>
      </w:r>
    </w:p>
    <w:p>
      <w:pPr>
        <w:pBdr>
          <w:left w:val="single" w:color="2E5C8A" w:sz="24" w:space="8"/>
        </w:pBdr>
        <w:shd w:fill="F4F0E6" w:val="clear"/>
        <w:spacing w:after="160" w:before="100"/>
        <w:ind w:left="200"/>
      </w:pPr>
      <w:r>
        <w:rPr>
          <w:b/>
          <w:bCs/>
          <w:color w:val="2E5C8A"/>
          <w:sz w:val="19"/>
          <w:szCs w:val="19"/>
        </w:rPr>
        <w:t xml:space="preserve">TYPE THIS —  </w:t>
      </w:r>
      <w:r>
        <w:rPr>
          <w:i/>
          <w:iCs/>
          <w:color w:val="1A1A1A"/>
          <w:sz w:val="20"/>
          <w:szCs w:val="20"/>
        </w:rPr>
        <w:t xml:space="preserve">“Using only what we've verified — not README.md — write a short Functional, System, and Data context summary for this service, and flag anything you still can't verify from source alone.”</w:t>
      </w:r>
    </w:p>
    <w:p>
      <w:pPr>
        <w:spacing w:after="150"/>
      </w:pPr>
      <w:r>
        <w:rPr>
          <w:b/>
          <w:bCs/>
          <w:color w:val="1A1A1A"/>
          <w:sz w:val="21"/>
          <w:szCs w:val="21"/>
        </w:rPr>
        <w:t xml:space="preserve">Expect:</w:t>
      </w:r>
      <w:r>
        <w:rPr>
          <w:i w:val="false"/>
          <w:iCs w:val="false"/>
          <w:color w:val="1A1A1A"/>
          <w:sz w:val="21"/>
          <w:szCs w:val="21"/>
        </w:rPr>
        <w:t xml:space="preserve"> a brief that correctly states 3 channels and the real retry/rate-limit numbers, and explicitly flags things source-mining alone can't answer — e.g. why push was added, or who owns the service today — as open questions for a human, not guesses.</w:t>
      </w:r>
    </w:p>
    <w:p>
      <w:pPr>
        <w:pStyle w:val="Heading1"/>
        <w:pBdr>
          <w:bottom w:val="single" w:color="E8B93C" w:sz="14" w:space="4"/>
        </w:pBdr>
        <w:spacing w:after="170" w:before="400"/>
      </w:pPr>
      <w:r>
        <w:rPr>
          <w:b/>
          <w:bCs/>
          <w:color w:val="1A1A1A"/>
          <w:sz w:val="30"/>
          <w:szCs w:val="30"/>
        </w:rPr>
        <w:t xml:space="preserve">6. Production-Readiness Checklist</w:t>
      </w:r>
    </w:p>
    <w:p>
      <w:pPr>
        <w:spacing w:after="150"/>
      </w:pPr>
      <w:r>
        <w:rPr>
          <w:i w:val="false"/>
          <w:iCs w:val="false"/>
          <w:color w:val="1A1A1A"/>
          <w:sz w:val="21"/>
          <w:szCs w:val="21"/>
        </w:rPr>
        <w:t xml:space="preserve">After this session, a participant should be able to say yes to all of the following on a real, unfamiliar client codebase:</w:t>
      </w:r>
    </w:p>
    <w:p>
      <w:pPr>
        <w:pStyle w:val="ListParagraph"/>
        <w:numPr>
          <w:ilvl w:val="0"/>
          <w:numId w:val="4"/>
        </w:numPr>
        <w:spacing w:after="100"/>
      </w:pPr>
      <w:r>
        <w:rPr>
          <w:i w:val="false"/>
          <w:iCs w:val="false"/>
          <w:color w:val="1A1A1A"/>
          <w:sz w:val="21"/>
          <w:szCs w:val="21"/>
        </w:rPr>
        <w:t xml:space="preserve">I can mine Functional, System, and Data context from an unfamiliar service within a defined time-box (target: 2 hours for a mid-size service).</w:t>
      </w:r>
    </w:p>
    <w:p>
      <w:pPr>
        <w:pStyle w:val="ListParagraph"/>
        <w:numPr>
          <w:ilvl w:val="0"/>
          <w:numId w:val="4"/>
        </w:numPr>
        <w:spacing w:after="100"/>
      </w:pPr>
      <w:r>
        <w:rPr>
          <w:i w:val="false"/>
          <w:iCs w:val="false"/>
          <w:color w:val="1A1A1A"/>
          <w:sz w:val="21"/>
          <w:szCs w:val="21"/>
        </w:rPr>
        <w:t xml:space="preserve">I can produce a Context Discrepancy Report flagging doc-vs-code mismatches before relying on either one in a client conversation.</w:t>
      </w:r>
    </w:p>
    <w:p>
      <w:pPr>
        <w:pStyle w:val="ListParagraph"/>
        <w:numPr>
          <w:ilvl w:val="0"/>
          <w:numId w:val="4"/>
        </w:numPr>
        <w:spacing w:after="100"/>
      </w:pPr>
      <w:r>
        <w:rPr>
          <w:i w:val="false"/>
          <w:iCs w:val="false"/>
          <w:color w:val="1A1A1A"/>
          <w:sz w:val="21"/>
          <w:szCs w:val="21"/>
        </w:rPr>
        <w:t xml:space="preserve">I can apply the Trust Hierarchy to resolve two conflicting sources without needing to ask someone else which one is right.</w:t>
      </w:r>
    </w:p>
    <w:p>
      <w:pPr>
        <w:pStyle w:val="ListParagraph"/>
        <w:numPr>
          <w:ilvl w:val="0"/>
          <w:numId w:val="4"/>
        </w:numPr>
        <w:spacing w:after="100"/>
      </w:pPr>
      <w:r>
        <w:rPr>
          <w:i w:val="false"/>
          <w:iCs w:val="false"/>
          <w:color w:val="1A1A1A"/>
          <w:sz w:val="21"/>
          <w:szCs w:val="21"/>
        </w:rPr>
        <w:t xml:space="preserve">I can describe a service's System Context using C4's Level 1–2 vocabulary, sourced from real config and code, not a diagram someone drew once.</w:t>
      </w:r>
    </w:p>
    <w:p>
      <w:pPr>
        <w:pStyle w:val="ListParagraph"/>
        <w:numPr>
          <w:ilvl w:val="0"/>
          <w:numId w:val="4"/>
        </w:numPr>
        <w:spacing w:after="100"/>
      </w:pPr>
      <w:r>
        <w:rPr>
          <w:i w:val="false"/>
          <w:iCs w:val="false"/>
          <w:color w:val="1A1A1A"/>
          <w:sz w:val="21"/>
          <w:szCs w:val="21"/>
        </w:rPr>
        <w:t xml:space="preserve">I can identify bounded contexts and the actual ubiquitous language in use from code structure alone.</w:t>
      </w:r>
    </w:p>
    <w:p>
      <w:pPr>
        <w:pStyle w:val="ListParagraph"/>
        <w:numPr>
          <w:ilvl w:val="0"/>
          <w:numId w:val="4"/>
        </w:numPr>
        <w:spacing w:after="100"/>
      </w:pPr>
      <w:r>
        <w:rPr>
          <w:i w:val="false"/>
          <w:iCs w:val="false"/>
          <w:color w:val="1A1A1A"/>
          <w:sz w:val="21"/>
          <w:szCs w:val="21"/>
        </w:rPr>
        <w:t xml:space="preserve">I can state which parts of a data model are verified from schema/contract versus assumed from a doc — and say so explicitly, out loud, in front of a client.</w:t>
      </w:r>
    </w:p>
    <w:p>
      <w:pPr>
        <w:pStyle w:val="ListParagraph"/>
        <w:numPr>
          <w:ilvl w:val="0"/>
          <w:numId w:val="4"/>
        </w:numPr>
        <w:spacing w:after="100"/>
      </w:pPr>
      <w:r>
        <w:rPr>
          <w:i w:val="false"/>
          <w:iCs w:val="false"/>
          <w:color w:val="1A1A1A"/>
          <w:sz w:val="21"/>
          <w:szCs w:val="21"/>
        </w:rPr>
        <w:t xml:space="preserve">I know when to stop mining and escalate — "I can't verify this from source, I need a human" — rather than guess and present it with false confidence.</w:t>
      </w:r>
    </w:p>
    <w:p>
      <w:pPr>
        <w:pStyle w:val="Heading1"/>
        <w:pBdr>
          <w:bottom w:val="single" w:color="E8B93C" w:sz="14" w:space="4"/>
        </w:pBdr>
        <w:spacing w:after="170" w:before="400"/>
      </w:pPr>
      <w:r>
        <w:rPr>
          <w:b/>
          <w:bCs/>
          <w:color w:val="1A1A1A"/>
          <w:sz w:val="30"/>
          <w:szCs w:val="30"/>
        </w:rPr>
        <w:t xml:space="preserve">7. Session Agenda (120 minutes)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400"/>
      </w:tblGrid>
      <w:tr>
        <w:trPr>
          <w:tblHeader/>
        </w:trPr>
        <w:tc>
          <w:tcPr>
            <w:tcW w:type="dxa" w:w="2200"/>
            <w:shd w:fill="E8B93C" w:val="clear"/>
            <w:tcMar>
              <w:top w:type="dxa" w:w="90"/>
              <w:left w:type="dxa" w:w="110"/>
              <w:bottom w:type="dxa" w:w="90"/>
              <w:right w:type="dxa" w:w="110"/>
            </w:tcMar>
            <w:vAlign w:val="center"/>
          </w:tcPr>
          <w:p>
            <w:r>
              <w:rPr>
                <w:i w:val="false"/>
                <w:iCs w:val="false"/>
                <w:color w:val="1A1A1A"/>
                <w:sz w:val="19"/>
                <w:szCs w:val="19"/>
              </w:rPr>
              <w:t xml:space="preserve">Time</w:t>
            </w:r>
          </w:p>
        </w:tc>
        <w:tc>
          <w:tcPr>
            <w:tcW w:type="dxa" w:w="1600"/>
            <w:shd w:fill="E8B93C" w:val="clear"/>
            <w:tcMar>
              <w:top w:type="dxa" w:w="90"/>
              <w:left w:type="dxa" w:w="110"/>
              <w:bottom w:type="dxa" w:w="90"/>
              <w:right w:type="dxa" w:w="110"/>
            </w:tcMar>
            <w:vAlign w:val="center"/>
          </w:tcPr>
          <w:p>
            <w:r>
              <w:rPr>
                <w:i w:val="false"/>
                <w:iCs w:val="false"/>
                <w:color w:val="1A1A1A"/>
                <w:sz w:val="19"/>
                <w:szCs w:val="19"/>
              </w:rPr>
              <w:t xml:space="preserve">Duration</w:t>
            </w:r>
          </w:p>
        </w:tc>
        <w:tc>
          <w:tcPr>
            <w:tcW w:type="dxa" w:w="5400"/>
            <w:shd w:fill="E8B93C" w:val="clear"/>
            <w:tcMar>
              <w:top w:type="dxa" w:w="90"/>
              <w:left w:type="dxa" w:w="110"/>
              <w:bottom w:type="dxa" w:w="90"/>
              <w:right w:type="dxa" w:w="110"/>
            </w:tcMar>
            <w:vAlign w:val="center"/>
          </w:tcPr>
          <w:p>
            <w:r>
              <w:rPr>
                <w:i w:val="false"/>
                <w:iCs w:val="false"/>
                <w:color w:val="1A1A1A"/>
                <w:sz w:val="19"/>
                <w:szCs w:val="19"/>
              </w:rPr>
              <w:t xml:space="preserve">Block</w:t>
            </w:r>
          </w:p>
        </w:tc>
      </w:tr>
      <w:tr>
        <w:tc>
          <w:tcPr>
            <w:tcW w:type="dxa" w:w="2200"/>
            <w:shd w:fill="FFFFFF" w:val="clear"/>
            <w:tcMar>
              <w:top w:type="dxa" w:w="90"/>
              <w:left w:type="dxa" w:w="110"/>
              <w:bottom w:type="dxa" w:w="90"/>
              <w:right w:type="dxa" w:w="110"/>
            </w:tcMar>
            <w:vAlign w:val="center"/>
          </w:tcPr>
          <w:p>
            <w:r>
              <w:rPr>
                <w:i w:val="false"/>
                <w:iCs w:val="false"/>
                <w:color w:val="1A1A1A"/>
                <w:sz w:val="19"/>
                <w:szCs w:val="19"/>
              </w:rPr>
              <w:t xml:space="preserve">0:00–0:05</w:t>
            </w:r>
          </w:p>
        </w:tc>
        <w:tc>
          <w:tcPr>
            <w:tcW w:type="dxa" w:w="1600"/>
            <w:shd w:fill="FFFFFF" w:val="clear"/>
            <w:tcMar>
              <w:top w:type="dxa" w:w="90"/>
              <w:left w:type="dxa" w:w="110"/>
              <w:bottom w:type="dxa" w:w="90"/>
              <w:right w:type="dxa" w:w="110"/>
            </w:tcMar>
            <w:vAlign w:val="center"/>
          </w:tcPr>
          <w:p>
            <w:r>
              <w:rPr>
                <w:i w:val="false"/>
                <w:iCs w:val="false"/>
                <w:color w:val="1A1A1A"/>
                <w:sz w:val="19"/>
                <w:szCs w:val="19"/>
              </w:rPr>
              <w:t xml:space="preserve">5 min</w:t>
            </w:r>
          </w:p>
        </w:tc>
        <w:tc>
          <w:tcPr>
            <w:tcW w:type="dxa" w:w="5400"/>
            <w:shd w:fill="FFFFFF" w:val="clear"/>
            <w:tcMar>
              <w:top w:type="dxa" w:w="90"/>
              <w:left w:type="dxa" w:w="110"/>
              <w:bottom w:type="dxa" w:w="90"/>
              <w:right w:type="dxa" w:w="110"/>
            </w:tcMar>
            <w:vAlign w:val="center"/>
          </w:tcPr>
          <w:p>
            <w:r>
              <w:rPr>
                <w:i w:val="false"/>
                <w:iCs w:val="false"/>
                <w:color w:val="1A1A1A"/>
                <w:sz w:val="19"/>
                <w:szCs w:val="19"/>
              </w:rPr>
              <w:t xml:space="preserve">Welcome &amp; Session Frame</w:t>
            </w:r>
          </w:p>
        </w:tc>
      </w:tr>
      <w:tr>
        <w:tc>
          <w:tcPr>
            <w:tcW w:type="dxa" w:w="2200"/>
            <w:shd w:fill="FBF3DC" w:val="clear"/>
            <w:tcMar>
              <w:top w:type="dxa" w:w="90"/>
              <w:left w:type="dxa" w:w="110"/>
              <w:bottom w:type="dxa" w:w="90"/>
              <w:right w:type="dxa" w:w="110"/>
            </w:tcMar>
            <w:vAlign w:val="center"/>
          </w:tcPr>
          <w:p>
            <w:r>
              <w:rPr>
                <w:i w:val="false"/>
                <w:iCs w:val="false"/>
                <w:color w:val="1A1A1A"/>
                <w:sz w:val="19"/>
                <w:szCs w:val="19"/>
              </w:rPr>
              <w:t xml:space="preserve">0:05–0:15</w:t>
            </w:r>
          </w:p>
        </w:tc>
        <w:tc>
          <w:tcPr>
            <w:tcW w:type="dxa" w:w="1600"/>
            <w:shd w:fill="FBF3DC" w:val="clear"/>
            <w:tcMar>
              <w:top w:type="dxa" w:w="90"/>
              <w:left w:type="dxa" w:w="110"/>
              <w:bottom w:type="dxa" w:w="90"/>
              <w:right w:type="dxa" w:w="110"/>
            </w:tcMar>
            <w:vAlign w:val="center"/>
          </w:tcPr>
          <w:p>
            <w:r>
              <w:rPr>
                <w:i w:val="false"/>
                <w:iCs w:val="false"/>
                <w:color w:val="1A1A1A"/>
                <w:sz w:val="19"/>
                <w:szCs w:val="19"/>
              </w:rPr>
              <w:t xml:space="preserve">10 min</w:t>
            </w:r>
          </w:p>
        </w:tc>
        <w:tc>
          <w:tcPr>
            <w:tcW w:type="dxa" w:w="5400"/>
            <w:shd w:fill="FBF3DC" w:val="clear"/>
            <w:tcMar>
              <w:top w:type="dxa" w:w="90"/>
              <w:left w:type="dxa" w:w="110"/>
              <w:bottom w:type="dxa" w:w="90"/>
              <w:right w:type="dxa" w:w="110"/>
            </w:tcMar>
            <w:vAlign w:val="center"/>
          </w:tcPr>
          <w:p>
            <w:r>
              <w:rPr>
                <w:i w:val="false"/>
                <w:iCs w:val="false"/>
                <w:color w:val="1A1A1A"/>
                <w:sz w:val="19"/>
                <w:szCs w:val="19"/>
              </w:rPr>
              <w:t xml:space="preserve">Why Docs Lie But Code Doesn't + the Trust Hierarchy</w:t>
            </w:r>
          </w:p>
        </w:tc>
      </w:tr>
      <w:tr>
        <w:tc>
          <w:tcPr>
            <w:tcW w:type="dxa" w:w="2200"/>
            <w:shd w:fill="FFFFFF" w:val="clear"/>
            <w:tcMar>
              <w:top w:type="dxa" w:w="90"/>
              <w:left w:type="dxa" w:w="110"/>
              <w:bottom w:type="dxa" w:w="90"/>
              <w:right w:type="dxa" w:w="110"/>
            </w:tcMar>
            <w:vAlign w:val="center"/>
          </w:tcPr>
          <w:p>
            <w:r>
              <w:rPr>
                <w:i w:val="false"/>
                <w:iCs w:val="false"/>
                <w:color w:val="1A1A1A"/>
                <w:sz w:val="19"/>
                <w:szCs w:val="19"/>
              </w:rPr>
              <w:t xml:space="preserve">0:15–0:35</w:t>
            </w:r>
          </w:p>
        </w:tc>
        <w:tc>
          <w:tcPr>
            <w:tcW w:type="dxa" w:w="1600"/>
            <w:shd w:fill="FFFFFF" w:val="clear"/>
            <w:tcMar>
              <w:top w:type="dxa" w:w="90"/>
              <w:left w:type="dxa" w:w="110"/>
              <w:bottom w:type="dxa" w:w="90"/>
              <w:right w:type="dxa" w:w="110"/>
            </w:tcMar>
            <w:vAlign w:val="center"/>
          </w:tcPr>
          <w:p>
            <w:r>
              <w:rPr>
                <w:i w:val="false"/>
                <w:iCs w:val="false"/>
                <w:color w:val="1A1A1A"/>
                <w:sz w:val="19"/>
                <w:szCs w:val="19"/>
              </w:rPr>
              <w:t xml:space="preserve">20 min</w:t>
            </w:r>
          </w:p>
        </w:tc>
        <w:tc>
          <w:tcPr>
            <w:tcW w:type="dxa" w:w="5400"/>
            <w:shd w:fill="FFFFFF" w:val="clear"/>
            <w:tcMar>
              <w:top w:type="dxa" w:w="90"/>
              <w:left w:type="dxa" w:w="110"/>
              <w:bottom w:type="dxa" w:w="90"/>
              <w:right w:type="dxa" w:w="110"/>
            </w:tcMar>
            <w:vAlign w:val="center"/>
          </w:tcPr>
          <w:p>
            <w:r>
              <w:rPr>
                <w:i w:val="false"/>
                <w:iCs w:val="false"/>
                <w:color w:val="1A1A1A"/>
                <w:sz w:val="19"/>
                <w:szCs w:val="19"/>
              </w:rPr>
              <w:t xml:space="preserve">Functional Context — DDD Bounded Contexts &amp; Ubiquitous Language</w:t>
            </w:r>
          </w:p>
        </w:tc>
      </w:tr>
      <w:tr>
        <w:tc>
          <w:tcPr>
            <w:tcW w:type="dxa" w:w="2200"/>
            <w:shd w:fill="FBF3DC" w:val="clear"/>
            <w:tcMar>
              <w:top w:type="dxa" w:w="90"/>
              <w:left w:type="dxa" w:w="110"/>
              <w:bottom w:type="dxa" w:w="90"/>
              <w:right w:type="dxa" w:w="110"/>
            </w:tcMar>
            <w:vAlign w:val="center"/>
          </w:tcPr>
          <w:p>
            <w:r>
              <w:rPr>
                <w:i w:val="false"/>
                <w:iCs w:val="false"/>
                <w:color w:val="1A1A1A"/>
                <w:sz w:val="19"/>
                <w:szCs w:val="19"/>
              </w:rPr>
              <w:t xml:space="preserve">0:35–0:55</w:t>
            </w:r>
          </w:p>
        </w:tc>
        <w:tc>
          <w:tcPr>
            <w:tcW w:type="dxa" w:w="1600"/>
            <w:shd w:fill="FBF3DC" w:val="clear"/>
            <w:tcMar>
              <w:top w:type="dxa" w:w="90"/>
              <w:left w:type="dxa" w:w="110"/>
              <w:bottom w:type="dxa" w:w="90"/>
              <w:right w:type="dxa" w:w="110"/>
            </w:tcMar>
            <w:vAlign w:val="center"/>
          </w:tcPr>
          <w:p>
            <w:r>
              <w:rPr>
                <w:i w:val="false"/>
                <w:iCs w:val="false"/>
                <w:color w:val="1A1A1A"/>
                <w:sz w:val="19"/>
                <w:szCs w:val="19"/>
              </w:rPr>
              <w:t xml:space="preserve">20 min</w:t>
            </w:r>
          </w:p>
        </w:tc>
        <w:tc>
          <w:tcPr>
            <w:tcW w:type="dxa" w:w="5400"/>
            <w:shd w:fill="FBF3DC" w:val="clear"/>
            <w:tcMar>
              <w:top w:type="dxa" w:w="90"/>
              <w:left w:type="dxa" w:w="110"/>
              <w:bottom w:type="dxa" w:w="90"/>
              <w:right w:type="dxa" w:w="110"/>
            </w:tcMar>
            <w:vAlign w:val="center"/>
          </w:tcPr>
          <w:p>
            <w:r>
              <w:rPr>
                <w:i w:val="false"/>
                <w:iCs w:val="false"/>
                <w:color w:val="1A1A1A"/>
                <w:sz w:val="19"/>
                <w:szCs w:val="19"/>
              </w:rPr>
              <w:t xml:space="preserve">System Context — The C4 Model</w:t>
            </w:r>
          </w:p>
        </w:tc>
      </w:tr>
      <w:tr>
        <w:tc>
          <w:tcPr>
            <w:tcW w:type="dxa" w:w="2200"/>
            <w:shd w:fill="FFFFFF" w:val="clear"/>
            <w:tcMar>
              <w:top w:type="dxa" w:w="90"/>
              <w:left w:type="dxa" w:w="110"/>
              <w:bottom w:type="dxa" w:w="90"/>
              <w:right w:type="dxa" w:w="110"/>
            </w:tcMar>
            <w:vAlign w:val="center"/>
          </w:tcPr>
          <w:p>
            <w:r>
              <w:rPr>
                <w:i w:val="false"/>
                <w:iCs w:val="false"/>
                <w:color w:val="1A1A1A"/>
                <w:sz w:val="19"/>
                <w:szCs w:val="19"/>
              </w:rPr>
              <w:t xml:space="preserve">0:55–1:15</w:t>
            </w:r>
          </w:p>
        </w:tc>
        <w:tc>
          <w:tcPr>
            <w:tcW w:type="dxa" w:w="1600"/>
            <w:shd w:fill="FFFFFF" w:val="clear"/>
            <w:tcMar>
              <w:top w:type="dxa" w:w="90"/>
              <w:left w:type="dxa" w:w="110"/>
              <w:bottom w:type="dxa" w:w="90"/>
              <w:right w:type="dxa" w:w="110"/>
            </w:tcMar>
            <w:vAlign w:val="center"/>
          </w:tcPr>
          <w:p>
            <w:r>
              <w:rPr>
                <w:i w:val="false"/>
                <w:iCs w:val="false"/>
                <w:color w:val="1A1A1A"/>
                <w:sz w:val="19"/>
                <w:szCs w:val="19"/>
              </w:rPr>
              <w:t xml:space="preserve">20 min</w:t>
            </w:r>
          </w:p>
        </w:tc>
        <w:tc>
          <w:tcPr>
            <w:tcW w:type="dxa" w:w="5400"/>
            <w:shd w:fill="FFFFFF" w:val="clear"/>
            <w:tcMar>
              <w:top w:type="dxa" w:w="90"/>
              <w:left w:type="dxa" w:w="110"/>
              <w:bottom w:type="dxa" w:w="90"/>
              <w:right w:type="dxa" w:w="110"/>
            </w:tcMar>
            <w:vAlign w:val="center"/>
          </w:tcPr>
          <w:p>
            <w:r>
              <w:rPr>
                <w:i w:val="false"/>
                <w:iCs w:val="false"/>
                <w:color w:val="1A1A1A"/>
                <w:sz w:val="19"/>
                <w:szCs w:val="19"/>
              </w:rPr>
              <w:t xml:space="preserve">Data Context — ODCS v3</w:t>
            </w:r>
          </w:p>
        </w:tc>
      </w:tr>
      <w:tr>
        <w:tc>
          <w:tcPr>
            <w:tcW w:type="dxa" w:w="2200"/>
            <w:shd w:fill="FBF3DC" w:val="clear"/>
            <w:tcMar>
              <w:top w:type="dxa" w:w="90"/>
              <w:left w:type="dxa" w:w="110"/>
              <w:bottom w:type="dxa" w:w="90"/>
              <w:right w:type="dxa" w:w="110"/>
            </w:tcMar>
            <w:vAlign w:val="center"/>
          </w:tcPr>
          <w:p>
            <w:r>
              <w:rPr>
                <w:i w:val="false"/>
                <w:iCs w:val="false"/>
                <w:color w:val="1A1A1A"/>
                <w:sz w:val="19"/>
                <w:szCs w:val="19"/>
              </w:rPr>
              <w:t xml:space="preserve">1:15–1:20</w:t>
            </w:r>
          </w:p>
        </w:tc>
        <w:tc>
          <w:tcPr>
            <w:tcW w:type="dxa" w:w="1600"/>
            <w:shd w:fill="FBF3DC" w:val="clear"/>
            <w:tcMar>
              <w:top w:type="dxa" w:w="90"/>
              <w:left w:type="dxa" w:w="110"/>
              <w:bottom w:type="dxa" w:w="90"/>
              <w:right w:type="dxa" w:w="110"/>
            </w:tcMar>
            <w:vAlign w:val="center"/>
          </w:tcPr>
          <w:p>
            <w:r>
              <w:rPr>
                <w:i w:val="false"/>
                <w:iCs w:val="false"/>
                <w:color w:val="1A1A1A"/>
                <w:sz w:val="19"/>
                <w:szCs w:val="19"/>
              </w:rPr>
              <w:t xml:space="preserve">5 min</w:t>
            </w:r>
          </w:p>
        </w:tc>
        <w:tc>
          <w:tcPr>
            <w:tcW w:type="dxa" w:w="5400"/>
            <w:shd w:fill="FBF3DC" w:val="clear"/>
            <w:tcMar>
              <w:top w:type="dxa" w:w="90"/>
              <w:left w:type="dxa" w:w="110"/>
              <w:bottom w:type="dxa" w:w="90"/>
              <w:right w:type="dxa" w:w="110"/>
            </w:tcMar>
            <w:vAlign w:val="center"/>
          </w:tcPr>
          <w:p>
            <w:r>
              <w:rPr>
                <w:i w:val="false"/>
                <w:iCs w:val="false"/>
                <w:color w:val="1A1A1A"/>
                <w:sz w:val="19"/>
                <w:szCs w:val="19"/>
              </w:rPr>
              <w:t xml:space="preserve">Break</w:t>
            </w:r>
          </w:p>
        </w:tc>
      </w:tr>
      <w:tr>
        <w:tc>
          <w:tcPr>
            <w:tcW w:type="dxa" w:w="2200"/>
            <w:shd w:fill="FFFFFF" w:val="clear"/>
            <w:tcMar>
              <w:top w:type="dxa" w:w="90"/>
              <w:left w:type="dxa" w:w="110"/>
              <w:bottom w:type="dxa" w:w="90"/>
              <w:right w:type="dxa" w:w="110"/>
            </w:tcMar>
            <w:vAlign w:val="center"/>
          </w:tcPr>
          <w:p>
            <w:r>
              <w:rPr>
                <w:i w:val="false"/>
                <w:iCs w:val="false"/>
                <w:color w:val="1A1A1A"/>
                <w:sz w:val="19"/>
                <w:szCs w:val="19"/>
              </w:rPr>
              <w:t xml:space="preserve">1:20–1:30</w:t>
            </w:r>
          </w:p>
        </w:tc>
        <w:tc>
          <w:tcPr>
            <w:tcW w:type="dxa" w:w="1600"/>
            <w:shd w:fill="FFFFFF" w:val="clear"/>
            <w:tcMar>
              <w:top w:type="dxa" w:w="90"/>
              <w:left w:type="dxa" w:w="110"/>
              <w:bottom w:type="dxa" w:w="90"/>
              <w:right w:type="dxa" w:w="110"/>
            </w:tcMar>
            <w:vAlign w:val="center"/>
          </w:tcPr>
          <w:p>
            <w:r>
              <w:rPr>
                <w:i w:val="false"/>
                <w:iCs w:val="false"/>
                <w:color w:val="1A1A1A"/>
                <w:sz w:val="19"/>
                <w:szCs w:val="19"/>
              </w:rPr>
              <w:t xml:space="preserve">10 min</w:t>
            </w:r>
          </w:p>
        </w:tc>
        <w:tc>
          <w:tcPr>
            <w:tcW w:type="dxa" w:w="5400"/>
            <w:shd w:fill="FFFFFF" w:val="clear"/>
            <w:tcMar>
              <w:top w:type="dxa" w:w="90"/>
              <w:left w:type="dxa" w:w="110"/>
              <w:bottom w:type="dxa" w:w="90"/>
              <w:right w:type="dxa" w:w="110"/>
            </w:tcMar>
            <w:vAlign w:val="center"/>
          </w:tcPr>
          <w:p>
            <w:r>
              <w:rPr>
                <w:i w:val="false"/>
                <w:iCs w:val="false"/>
                <w:color w:val="1A1A1A"/>
                <w:sz w:val="19"/>
                <w:szCs w:val="19"/>
              </w:rPr>
              <w:t xml:space="preserve">The Source-Mining Method (6 steps)</w:t>
            </w:r>
          </w:p>
        </w:tc>
      </w:tr>
      <w:tr>
        <w:tc>
          <w:tcPr>
            <w:tcW w:type="dxa" w:w="2200"/>
            <w:shd w:fill="FBF3DC" w:val="clear"/>
            <w:tcMar>
              <w:top w:type="dxa" w:w="90"/>
              <w:left w:type="dxa" w:w="110"/>
              <w:bottom w:type="dxa" w:w="90"/>
              <w:right w:type="dxa" w:w="110"/>
            </w:tcMar>
            <w:vAlign w:val="center"/>
          </w:tcPr>
          <w:p>
            <w:r>
              <w:rPr>
                <w:i w:val="false"/>
                <w:iCs w:val="false"/>
                <w:color w:val="1A1A1A"/>
                <w:sz w:val="19"/>
                <w:szCs w:val="19"/>
              </w:rPr>
              <w:t xml:space="preserve">1:30–1:55</w:t>
            </w:r>
          </w:p>
        </w:tc>
        <w:tc>
          <w:tcPr>
            <w:tcW w:type="dxa" w:w="1600"/>
            <w:shd w:fill="FBF3DC" w:val="clear"/>
            <w:tcMar>
              <w:top w:type="dxa" w:w="90"/>
              <w:left w:type="dxa" w:w="110"/>
              <w:bottom w:type="dxa" w:w="90"/>
              <w:right w:type="dxa" w:w="110"/>
            </w:tcMar>
            <w:vAlign w:val="center"/>
          </w:tcPr>
          <w:p>
            <w:r>
              <w:rPr>
                <w:i w:val="false"/>
                <w:iCs w:val="false"/>
                <w:color w:val="1A1A1A"/>
                <w:sz w:val="19"/>
                <w:szCs w:val="19"/>
              </w:rPr>
              <w:t xml:space="preserve">25 min</w:t>
            </w:r>
          </w:p>
        </w:tc>
        <w:tc>
          <w:tcPr>
            <w:tcW w:type="dxa" w:w="5400"/>
            <w:shd w:fill="FBF3DC" w:val="clear"/>
            <w:tcMar>
              <w:top w:type="dxa" w:w="90"/>
              <w:left w:type="dxa" w:w="110"/>
              <w:bottom w:type="dxa" w:w="90"/>
              <w:right w:type="dxa" w:w="110"/>
            </w:tcMar>
            <w:vAlign w:val="center"/>
          </w:tcPr>
          <w:p>
            <w:r>
              <w:rPr>
                <w:i w:val="false"/>
                <w:iCs w:val="false"/>
                <w:color w:val="1A1A1A"/>
                <w:sz w:val="19"/>
                <w:szCs w:val="19"/>
              </w:rPr>
              <w:t xml:space="preserve">DEMO — Session 4, live source-mining</w:t>
            </w:r>
          </w:p>
        </w:tc>
      </w:tr>
      <w:tr>
        <w:tc>
          <w:tcPr>
            <w:tcW w:type="dxa" w:w="2200"/>
            <w:shd w:fill="FFFFFF" w:val="clear"/>
            <w:tcMar>
              <w:top w:type="dxa" w:w="90"/>
              <w:left w:type="dxa" w:w="110"/>
              <w:bottom w:type="dxa" w:w="90"/>
              <w:right w:type="dxa" w:w="110"/>
            </w:tcMar>
            <w:vAlign w:val="center"/>
          </w:tcPr>
          <w:p>
            <w:r>
              <w:rPr>
                <w:i w:val="false"/>
                <w:iCs w:val="false"/>
                <w:color w:val="1A1A1A"/>
                <w:sz w:val="19"/>
                <w:szCs w:val="19"/>
              </w:rPr>
              <w:t xml:space="preserve">1:55–2:00</w:t>
            </w:r>
          </w:p>
        </w:tc>
        <w:tc>
          <w:tcPr>
            <w:tcW w:type="dxa" w:w="1600"/>
            <w:shd w:fill="FFFFFF" w:val="clear"/>
            <w:tcMar>
              <w:top w:type="dxa" w:w="90"/>
              <w:left w:type="dxa" w:w="110"/>
              <w:bottom w:type="dxa" w:w="90"/>
              <w:right w:type="dxa" w:w="110"/>
            </w:tcMar>
            <w:vAlign w:val="center"/>
          </w:tcPr>
          <w:p>
            <w:r>
              <w:rPr>
                <w:i w:val="false"/>
                <w:iCs w:val="false"/>
                <w:color w:val="1A1A1A"/>
                <w:sz w:val="19"/>
                <w:szCs w:val="19"/>
              </w:rPr>
              <w:t xml:space="preserve">5 min</w:t>
            </w:r>
          </w:p>
        </w:tc>
        <w:tc>
          <w:tcPr>
            <w:tcW w:type="dxa" w:w="5400"/>
            <w:shd w:fill="FFFFFF" w:val="clear"/>
            <w:tcMar>
              <w:top w:type="dxa" w:w="90"/>
              <w:left w:type="dxa" w:w="110"/>
              <w:bottom w:type="dxa" w:w="90"/>
              <w:right w:type="dxa" w:w="110"/>
            </w:tcMar>
            <w:vAlign w:val="center"/>
          </w:tcPr>
          <w:p>
            <w:r>
              <w:rPr>
                <w:i w:val="false"/>
                <w:iCs w:val="false"/>
                <w:color w:val="1A1A1A"/>
                <w:sz w:val="19"/>
                <w:szCs w:val="19"/>
              </w:rPr>
              <w:t xml:space="preserve">Production-Readiness Checklist &amp; Close</w:t>
            </w:r>
          </w:p>
        </w:tc>
      </w:tr>
    </w:tbl>
    <w:p>
      <w:pPr>
        <w:pStyle w:val="Heading1"/>
        <w:pBdr>
          <w:bottom w:val="single" w:color="E8B93C" w:sz="14" w:space="4"/>
        </w:pBdr>
        <w:spacing w:after="170" w:before="400"/>
      </w:pPr>
      <w:r>
        <w:rPr>
          <w:b/>
          <w:bCs/>
          <w:color w:val="1A1A1A"/>
          <w:sz w:val="30"/>
          <w:szCs w:val="30"/>
        </w:rPr>
        <w:t xml:space="preserve">8. Files Included</w:t>
      </w:r>
    </w:p>
    <w:p>
      <w:pPr>
        <w:pStyle w:val="ListParagraph"/>
        <w:numPr>
          <w:ilvl w:val="0"/>
          <w:numId w:val="2"/>
        </w:numPr>
        <w:spacing w:after="90"/>
      </w:pPr>
      <w:r>
        <w:rPr>
          <w:b/>
          <w:bCs/>
          <w:color w:val="1A1A1A"/>
          <w:sz w:val="21"/>
          <w:szCs w:val="21"/>
        </w:rPr>
        <w:t xml:space="preserve">session4_demo.zip</w:t>
      </w:r>
      <w:r>
        <w:rPr>
          <w:i w:val="false"/>
          <w:iCs w:val="false"/>
          <w:color w:val="1A1A1A"/>
          <w:sz w:val="21"/>
          <w:szCs w:val="21"/>
        </w:rPr>
        <w:t xml:space="preserve"> — the full demo repo: README.md, src/, tests/, config/, CHANGELOG.md. Tests pass as-is (</w:t>
      </w:r>
      <w:r>
        <w:rPr>
          <w:b/>
          <w:bCs/>
          <w:color w:val="1A1A1A"/>
          <w:sz w:val="21"/>
          <w:szCs w:val="21"/>
        </w:rPr>
        <w:t xml:space="preserve">pytest tests/</w:t>
      </w:r>
      <w:r>
        <w:rPr>
          <w:i w:val="false"/>
          <w:iCs w:val="false"/>
          <w:color w:val="1A1A1A"/>
          <w:sz w:val="21"/>
          <w:szCs w:val="21"/>
        </w:rPr>
        <w:t xml:space="preserve">).</w:t>
      </w:r>
    </w:p>
    <w:p>
      <w:pPr>
        <w:pStyle w:val="ListParagraph"/>
        <w:numPr>
          <w:ilvl w:val="0"/>
          <w:numId w:val="2"/>
        </w:numPr>
        <w:spacing w:after="90"/>
      </w:pPr>
      <w:r>
        <w:rPr>
          <w:b/>
          <w:bCs/>
          <w:color w:val="1A1A1A"/>
          <w:sz w:val="21"/>
          <w:szCs w:val="21"/>
        </w:rPr>
        <w:t xml:space="preserve">This document</w:t>
      </w:r>
      <w:r>
        <w:rPr>
          <w:i w:val="false"/>
          <w:iCs w:val="false"/>
          <w:color w:val="1A1A1A"/>
          <w:sz w:val="21"/>
          <w:szCs w:val="21"/>
        </w:rPr>
        <w:t xml:space="preserve"> — facilitator script and participant reference in one; every claim in the demo section is reproducible by running the included repo.</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76" w:hanging="431"/>
      </w:pPr>
    </w:lvl>
  </w:abstractNum>
  <w:abstractNum w:abstractNumId="4" w15:restartNumberingAfterBreak="0">
    <w:multiLevelType w:val="hybridMultilevel"/>
    <w:lvl w:ilvl="0" w15:tentative="1">
      <w:start w:val="1"/>
      <w:numFmt w:val="bullet"/>
      <w:lvlText w:val="☐"/>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2026-08-04T11:47:05.065Z</dcterms:created>
  <dcterms:modified xsi:type="dcterms:W3CDTF">2026-08-04T11:47:05.065Z</dcterms:modified>
</cp:coreProperties>
</file>

<file path=docProps/custom.xml><?xml version="1.0" encoding="utf-8"?>
<Properties xmlns="http://schemas.openxmlformats.org/officeDocument/2006/custom-properties" xmlns:vt="http://schemas.openxmlformats.org/officeDocument/2006/docPropsVTypes"/>
</file>