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8B93C" w:val="clear"/>
        <w:spacing w:after="40" w:before="200"/>
      </w:pPr>
      <w:r>
        <w:rPr>
          <w:b/>
          <w:bCs/>
          <w:color w:val="1A1A1A"/>
          <w:sz w:val="30"/>
          <w:szCs w:val="30"/>
        </w:rPr>
        <w:t xml:space="preserve">DEMO RUNBOOK — S1 CONCEPT + DEMO</w:t>
      </w:r>
    </w:p>
    <w:p>
      <w:pPr>
        <w:shd w:fill="E8B93C" w:val="clear"/>
        <w:spacing w:after="260" w:before="0"/>
      </w:pPr>
      <w:r>
        <w:rPr>
          <w:color w:val="5A4200"/>
          <w:sz w:val="21"/>
          <w:szCs w:val="21"/>
        </w:rPr>
        <w:t xml:space="preserve">Live, real-data demos for Claude Desktop (Retail) and Claude Code CLI (Healthcare) · UST</w:t>
      </w:r>
    </w:p>
    <w:p>
      <w:pPr>
        <w:spacing w:after="140"/>
      </w:pPr>
      <w:r>
        <w:rPr>
          <w:i w:val="false"/>
          <w:iCs w:val="false"/>
          <w:color w:val="1A1A1A"/>
          <w:sz w:val="21"/>
          <w:szCs w:val="21"/>
        </w:rPr>
        <w:t xml:space="preserve">This runbook replaces the short demo sketches in the S1 concept deck with two </w:t>
      </w:r>
      <w:r>
        <w:rPr>
          <w:b/>
          <w:bCs/>
          <w:color w:val="1A1A1A"/>
          <w:sz w:val="21"/>
          <w:szCs w:val="21"/>
        </w:rPr>
        <w:t xml:space="preserve">fully real, run-it-yourself</w:t>
      </w:r>
      <w:r>
        <w:rPr>
          <w:i w:val="false"/>
          <w:iCs w:val="false"/>
          <w:color w:val="1A1A1A"/>
          <w:sz w:val="21"/>
          <w:szCs w:val="21"/>
        </w:rPr>
        <w:t xml:space="preserve"> demos. Both datasets are synthetic but built to contain a genuine, verifiable signal — the correlations and splits below were computed by actually running the analysis, not invented for narrative effect. Claude will find the same pattern live because the pattern is really in the data.</w:t>
      </w:r>
    </w:p>
    <w:p>
      <w:pPr>
        <w:pStyle w:val="Heading1"/>
        <w:pBdr>
          <w:bottom w:val="single" w:color="E8B93C" w:sz="12" w:space="4"/>
        </w:pBdr>
        <w:spacing w:after="160" w:before="360"/>
      </w:pPr>
      <w:r>
        <w:rPr>
          <w:b/>
          <w:bCs/>
          <w:color w:val="1A1A1A"/>
          <w:sz w:val="30"/>
          <w:szCs w:val="30"/>
        </w:rPr>
        <w:t xml:space="preserve">1. What's in this Runbook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800"/>
      </w:tblGrid>
      <w:tr>
        <w:trPr>
          <w:tblHeader/>
        </w:trPr>
        <w:tc>
          <w:tcPr>
            <w:tcW w:type="dxa" w:w="3800"/>
            <w:shd w:fill="E8B93C" w:val="clear"/>
            <w:tcMar>
              <w:top w:type="dxa" w:w="90"/>
              <w:left w:type="dxa" w:w="110"/>
              <w:bottom w:type="dxa" w:w="90"/>
              <w:right w:type="dxa" w:w="110"/>
            </w:tcMar>
            <w:vAlign w:val="center"/>
          </w:tcPr>
          <w:p>
            <w:r>
              <w:rPr>
                <w:b/>
                <w:bCs/>
                <w:color w:val="1A1A1A"/>
                <w:sz w:val="19"/>
                <w:szCs w:val="19"/>
              </w:rPr>
              <w:t xml:space="preserve">File</w:t>
            </w:r>
          </w:p>
        </w:tc>
        <w:tc>
          <w:tcPr>
            <w:tcW w:type="dxa" w:w="1600"/>
            <w:shd w:fill="E8B93C" w:val="clear"/>
            <w:tcMar>
              <w:top w:type="dxa" w:w="90"/>
              <w:left w:type="dxa" w:w="110"/>
              <w:bottom w:type="dxa" w:w="90"/>
              <w:right w:type="dxa" w:w="110"/>
            </w:tcMar>
            <w:vAlign w:val="center"/>
          </w:tcPr>
          <w:p>
            <w:r>
              <w:rPr>
                <w:b/>
                <w:bCs/>
                <w:color w:val="1A1A1A"/>
                <w:sz w:val="19"/>
                <w:szCs w:val="19"/>
              </w:rPr>
              <w:t xml:space="preserve">Used in</w:t>
            </w:r>
          </w:p>
        </w:tc>
        <w:tc>
          <w:tcPr>
            <w:tcW w:type="dxa" w:w="3800"/>
            <w:shd w:fill="E8B93C" w:val="clear"/>
            <w:tcMar>
              <w:top w:type="dxa" w:w="90"/>
              <w:left w:type="dxa" w:w="110"/>
              <w:bottom w:type="dxa" w:w="90"/>
              <w:right w:type="dxa" w:w="110"/>
            </w:tcMar>
            <w:vAlign w:val="center"/>
          </w:tcPr>
          <w:p>
            <w:r>
              <w:rPr>
                <w:b/>
                <w:bCs/>
                <w:color w:val="1A1A1A"/>
                <w:sz w:val="19"/>
                <w:szCs w:val="19"/>
              </w:rPr>
              <w:t xml:space="preserve">Purpose</w:t>
            </w:r>
          </w:p>
        </w:tc>
      </w:tr>
      <w:tr>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retail_store_sku_sales_90d.csv</w:t>
            </w:r>
          </w:p>
        </w:tc>
        <w:tc>
          <w:tcPr>
            <w:tcW w:type="dxa" w:w="1600"/>
            <w:shd w:fill="FFFFFF" w:val="clear"/>
            <w:tcMar>
              <w:top w:type="dxa" w:w="90"/>
              <w:left w:type="dxa" w:w="110"/>
              <w:bottom w:type="dxa" w:w="90"/>
              <w:right w:type="dxa" w:w="110"/>
            </w:tcMar>
            <w:vAlign w:val="center"/>
          </w:tcPr>
          <w:p>
            <w:r>
              <w:rPr>
                <w:b w:val="false"/>
                <w:bCs w:val="false"/>
                <w:color w:val="1A1A1A"/>
                <w:sz w:val="19"/>
                <w:szCs w:val="19"/>
              </w:rPr>
              <w:t xml:space="preserve">Demo 1</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10,800 rows: 90 days × 15 stores × 8 SKUs. Upload to Claude Desktop.</w:t>
            </w:r>
          </w:p>
        </w:tc>
      </w:tr>
      <w:tr>
        <w:tc>
          <w:tcPr>
            <w:tcW w:type="dxa" w:w="3800"/>
            <w:shd w:fill="FBF3DC" w:val="clear"/>
            <w:tcMar>
              <w:top w:type="dxa" w:w="90"/>
              <w:left w:type="dxa" w:w="110"/>
              <w:bottom w:type="dxa" w:w="90"/>
              <w:right w:type="dxa" w:w="110"/>
            </w:tcMar>
            <w:vAlign w:val="center"/>
          </w:tcPr>
          <w:p>
            <w:r>
              <w:rPr>
                <w:b w:val="false"/>
                <w:bCs w:val="false"/>
                <w:color w:val="1A1A1A"/>
                <w:sz w:val="19"/>
                <w:szCs w:val="19"/>
              </w:rPr>
              <w:t xml:space="preserve">prior_auth_requests_synthetic.csv / .json</w:t>
            </w:r>
          </w:p>
        </w:tc>
        <w:tc>
          <w:tcPr>
            <w:tcW w:type="dxa" w:w="1600"/>
            <w:shd w:fill="FBF3DC" w:val="clear"/>
            <w:tcMar>
              <w:top w:type="dxa" w:w="90"/>
              <w:left w:type="dxa" w:w="110"/>
              <w:bottom w:type="dxa" w:w="90"/>
              <w:right w:type="dxa" w:w="110"/>
            </w:tcMar>
            <w:vAlign w:val="center"/>
          </w:tcPr>
          <w:p>
            <w:r>
              <w:rPr>
                <w:b w:val="false"/>
                <w:bCs w:val="false"/>
                <w:color w:val="1A1A1A"/>
                <w:sz w:val="19"/>
                <w:szCs w:val="19"/>
              </w:rPr>
              <w:t xml:space="preserve">Demo 2</w:t>
            </w:r>
          </w:p>
        </w:tc>
        <w:tc>
          <w:tcPr>
            <w:tcW w:type="dxa" w:w="3800"/>
            <w:shd w:fill="FBF3DC" w:val="clear"/>
            <w:tcMar>
              <w:top w:type="dxa" w:w="90"/>
              <w:left w:type="dxa" w:w="110"/>
              <w:bottom w:type="dxa" w:w="90"/>
              <w:right w:type="dxa" w:w="110"/>
            </w:tcMar>
            <w:vAlign w:val="center"/>
          </w:tcPr>
          <w:p>
            <w:r>
              <w:rPr>
                <w:b w:val="false"/>
                <w:bCs w:val="false"/>
                <w:color w:val="1A1A1A"/>
                <w:sz w:val="19"/>
                <w:szCs w:val="19"/>
              </w:rPr>
              <w:t xml:space="preserve">70 synthetic PA requests. Place in the Claude Code project folder.</w:t>
            </w:r>
          </w:p>
        </w:tc>
      </w:tr>
      <w:tr>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sample_payer_policy.txt</w:t>
            </w:r>
          </w:p>
        </w:tc>
        <w:tc>
          <w:tcPr>
            <w:tcW w:type="dxa" w:w="1600"/>
            <w:shd w:fill="FFFFFF" w:val="clear"/>
            <w:tcMar>
              <w:top w:type="dxa" w:w="90"/>
              <w:left w:type="dxa" w:w="110"/>
              <w:bottom w:type="dxa" w:w="90"/>
              <w:right w:type="dxa" w:w="110"/>
            </w:tcMar>
            <w:vAlign w:val="center"/>
          </w:tcPr>
          <w:p>
            <w:r>
              <w:rPr>
                <w:b w:val="false"/>
                <w:bCs w:val="false"/>
                <w:color w:val="1A1A1A"/>
                <w:sz w:val="19"/>
                <w:szCs w:val="19"/>
              </w:rPr>
              <w:t xml:space="preserve">Demo 2</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Original, generic prior-auth criteria for 5 procedure types (not from a real insurer).</w:t>
            </w:r>
          </w:p>
        </w:tc>
      </w:tr>
      <w:tr>
        <w:tc>
          <w:tcPr>
            <w:tcW w:type="dxa" w:w="3800"/>
            <w:shd w:fill="FBF3DC" w:val="clear"/>
            <w:tcMar>
              <w:top w:type="dxa" w:w="90"/>
              <w:left w:type="dxa" w:w="110"/>
              <w:bottom w:type="dxa" w:w="90"/>
              <w:right w:type="dxa" w:w="110"/>
            </w:tcMar>
            <w:vAlign w:val="center"/>
          </w:tcPr>
          <w:p>
            <w:r>
              <w:rPr>
                <w:b w:val="false"/>
                <w:bCs w:val="false"/>
                <w:color w:val="1A1A1A"/>
                <w:sz w:val="19"/>
                <w:szCs w:val="19"/>
              </w:rPr>
              <w:t xml:space="preserve">pa_triage.py</w:t>
            </w:r>
          </w:p>
        </w:tc>
        <w:tc>
          <w:tcPr>
            <w:tcW w:type="dxa" w:w="1600"/>
            <w:shd w:fill="FBF3DC" w:val="clear"/>
            <w:tcMar>
              <w:top w:type="dxa" w:w="90"/>
              <w:left w:type="dxa" w:w="110"/>
              <w:bottom w:type="dxa" w:w="90"/>
              <w:right w:type="dxa" w:w="110"/>
            </w:tcMar>
            <w:vAlign w:val="center"/>
          </w:tcPr>
          <w:p>
            <w:r>
              <w:rPr>
                <w:b w:val="false"/>
                <w:bCs w:val="false"/>
                <w:color w:val="1A1A1A"/>
                <w:sz w:val="19"/>
                <w:szCs w:val="19"/>
              </w:rPr>
              <w:t xml:space="preserve">Demo 2 (fallback)</w:t>
            </w:r>
          </w:p>
        </w:tc>
        <w:tc>
          <w:tcPr>
            <w:tcW w:type="dxa" w:w="3800"/>
            <w:shd w:fill="FBF3DC" w:val="clear"/>
            <w:tcMar>
              <w:top w:type="dxa" w:w="90"/>
              <w:left w:type="dxa" w:w="110"/>
              <w:bottom w:type="dxa" w:w="90"/>
              <w:right w:type="dxa" w:w="110"/>
            </w:tcMar>
            <w:vAlign w:val="center"/>
          </w:tcPr>
          <w:p>
            <w:r>
              <w:rPr>
                <w:b w:val="false"/>
                <w:bCs w:val="false"/>
                <w:color w:val="1A1A1A"/>
                <w:sz w:val="19"/>
                <w:szCs w:val="19"/>
              </w:rPr>
              <w:t xml:space="preserve">Finished reference tool, in case the live build runs short on time.</w:t>
            </w:r>
          </w:p>
        </w:tc>
      </w:tr>
    </w:tbl>
    <w:p>
      <w:pPr>
        <w:spacing w:after="140"/>
      </w:pPr>
      <w:r>
        <w:rPr>
          <w:i w:val="false"/>
          <w:iCs w:val="false"/>
          <w:color w:val="1A1A1A"/>
          <w:sz w:val="21"/>
          <w:szCs w:val="21"/>
        </w:rPr>
        <w:t xml:space="preserve">All four files are provided alongside this runbook. No real UST client or patient data is used anywhere — say this out loud at the start of each demo.</w:t>
      </w:r>
    </w:p>
    <w:p>
      <w:pPr>
        <w:pStyle w:val="Heading1"/>
        <w:pBdr>
          <w:bottom w:val="single" w:color="E8B93C" w:sz="12" w:space="4"/>
        </w:pBdr>
        <w:spacing w:after="160" w:before="360"/>
      </w:pPr>
      <w:r>
        <w:rPr>
          <w:b/>
          <w:bCs/>
          <w:color w:val="1A1A1A"/>
          <w:sz w:val="30"/>
          <w:szCs w:val="30"/>
        </w:rPr>
        <w:t xml:space="preserve">2. Pre-Class Setup</w:t>
      </w:r>
    </w:p>
    <w:p>
      <w:pPr>
        <w:pStyle w:val="Heading2"/>
        <w:spacing w:after="120" w:before="240"/>
      </w:pPr>
      <w:r>
        <w:rPr>
          <w:b/>
          <w:bCs/>
          <w:color w:val="B5791E"/>
          <w:sz w:val="24"/>
          <w:szCs w:val="24"/>
        </w:rPr>
        <w:t xml:space="preserve">T-1 day</w:t>
      </w:r>
    </w:p>
    <w:p>
      <w:pPr>
        <w:pStyle w:val="ListParagraph"/>
        <w:numPr>
          <w:ilvl w:val="0"/>
          <w:numId w:val="2"/>
        </w:numPr>
        <w:spacing w:after="90"/>
      </w:pPr>
      <w:r>
        <w:rPr>
          <w:i w:val="false"/>
          <w:iCs w:val="false"/>
          <w:color w:val="1A1A1A"/>
          <w:sz w:val="21"/>
          <w:szCs w:val="21"/>
        </w:rPr>
        <w:t xml:space="preserve">Confirm </w:t>
      </w:r>
      <w:r>
        <w:rPr>
          <w:b/>
          <w:bCs/>
          <w:color w:val="1A1A1A"/>
          <w:sz w:val="21"/>
          <w:szCs w:val="21"/>
        </w:rPr>
        <w:t xml:space="preserve">Claude Desktop</w:t>
      </w:r>
      <w:r>
        <w:rPr>
          <w:i w:val="false"/>
          <w:iCs w:val="false"/>
          <w:color w:val="1A1A1A"/>
          <w:sz w:val="21"/>
          <w:szCs w:val="21"/>
        </w:rPr>
        <w:t xml:space="preserve"> has file upload and code execution (data analysis) enabled.</w:t>
      </w:r>
    </w:p>
    <w:p>
      <w:pPr>
        <w:pStyle w:val="ListParagraph"/>
        <w:numPr>
          <w:ilvl w:val="0"/>
          <w:numId w:val="2"/>
        </w:numPr>
        <w:spacing w:after="90"/>
      </w:pPr>
      <w:r>
        <w:rPr>
          <w:i w:val="false"/>
          <w:iCs w:val="false"/>
          <w:color w:val="1A1A1A"/>
          <w:sz w:val="21"/>
          <w:szCs w:val="21"/>
        </w:rPr>
        <w:t xml:space="preserve">Confirm </w:t>
      </w:r>
      <w:r>
        <w:rPr>
          <w:b/>
          <w:bCs/>
          <w:color w:val="1A1A1A"/>
          <w:sz w:val="21"/>
          <w:szCs w:val="21"/>
        </w:rPr>
        <w:t xml:space="preserve">Claude Code CLI</w:t>
      </w:r>
      <w:r>
        <w:rPr>
          <w:i w:val="false"/>
          <w:iCs w:val="false"/>
          <w:color w:val="1A1A1A"/>
          <w:sz w:val="21"/>
          <w:szCs w:val="21"/>
        </w:rPr>
        <w:t xml:space="preserve"> is installed and authenticated on the demo machine.</w:t>
      </w:r>
    </w:p>
    <w:p>
      <w:pPr>
        <w:pStyle w:val="ListParagraph"/>
        <w:numPr>
          <w:ilvl w:val="0"/>
          <w:numId w:val="2"/>
        </w:numPr>
        <w:spacing w:after="90"/>
      </w:pPr>
      <w:r>
        <w:rPr>
          <w:i w:val="false"/>
          <w:iCs w:val="false"/>
          <w:color w:val="1A1A1A"/>
          <w:sz w:val="21"/>
          <w:szCs w:val="21"/>
        </w:rPr>
        <w:t xml:space="preserve">Create a project folder, e.g. `~/demo/pa-triage/`, and place `prior_auth_requests_synthetic.csv`, `.json`, and `sample_payer_policy.txt` inside it.</w:t>
      </w:r>
    </w:p>
    <w:p>
      <w:pPr>
        <w:pStyle w:val="ListParagraph"/>
        <w:numPr>
          <w:ilvl w:val="0"/>
          <w:numId w:val="2"/>
        </w:numPr>
        <w:spacing w:after="90"/>
      </w:pPr>
      <w:r>
        <w:rPr>
          <w:i w:val="false"/>
          <w:iCs w:val="false"/>
          <w:color w:val="1A1A1A"/>
          <w:sz w:val="21"/>
          <w:szCs w:val="21"/>
        </w:rPr>
        <w:t xml:space="preserve">Do a full dry run of both demos once, start to finish, at 1.5× your planned pace, so you know what Claude's responses look like in your own words.</w:t>
      </w:r>
    </w:p>
    <w:p>
      <w:pPr>
        <w:pStyle w:val="ListParagraph"/>
        <w:numPr>
          <w:ilvl w:val="0"/>
          <w:numId w:val="2"/>
        </w:numPr>
        <w:spacing w:after="90"/>
      </w:pPr>
      <w:r>
        <w:rPr>
          <w:i w:val="false"/>
          <w:iCs w:val="false"/>
          <w:color w:val="1A1A1A"/>
          <w:sz w:val="21"/>
          <w:szCs w:val="21"/>
        </w:rPr>
        <w:t xml:space="preserve">Save a screenshot of the key result from your dry run (the correlation output, the triage output) as a fallback slide.</w:t>
      </w:r>
    </w:p>
    <w:p>
      <w:pPr>
        <w:pStyle w:val="Heading2"/>
        <w:spacing w:after="120" w:before="240"/>
      </w:pPr>
      <w:r>
        <w:rPr>
          <w:b/>
          <w:bCs/>
          <w:color w:val="B5791E"/>
          <w:sz w:val="24"/>
          <w:szCs w:val="24"/>
        </w:rPr>
        <w:t xml:space="preserve">T-30 min</w:t>
      </w:r>
    </w:p>
    <w:p>
      <w:pPr>
        <w:pStyle w:val="ListParagraph"/>
        <w:numPr>
          <w:ilvl w:val="0"/>
          <w:numId w:val="2"/>
        </w:numPr>
        <w:spacing w:after="90"/>
      </w:pPr>
      <w:r>
        <w:rPr>
          <w:i w:val="false"/>
          <w:iCs w:val="false"/>
          <w:color w:val="1A1A1A"/>
          <w:sz w:val="21"/>
          <w:szCs w:val="21"/>
        </w:rPr>
        <w:t xml:space="preserve">Open Claude Desktop, start a fresh conversation, keep the retail CSV ready to drag in.</w:t>
      </w:r>
    </w:p>
    <w:p>
      <w:pPr>
        <w:pStyle w:val="ListParagraph"/>
        <w:numPr>
          <w:ilvl w:val="0"/>
          <w:numId w:val="2"/>
        </w:numPr>
        <w:spacing w:after="90"/>
      </w:pPr>
      <w:r>
        <w:rPr>
          <w:i w:val="false"/>
          <w:iCs w:val="false"/>
          <w:color w:val="1A1A1A"/>
          <w:sz w:val="21"/>
          <w:szCs w:val="21"/>
        </w:rPr>
        <w:t xml:space="preserve">Open a terminal, `cd` into the pa-triage project folder, confirm `claude` launches cleanly.</w:t>
      </w:r>
    </w:p>
    <w:p>
      <w:pPr>
        <w:pStyle w:val="ListParagraph"/>
        <w:numPr>
          <w:ilvl w:val="0"/>
          <w:numId w:val="2"/>
        </w:numPr>
        <w:spacing w:after="90"/>
      </w:pPr>
      <w:r>
        <w:rPr>
          <w:i w:val="false"/>
          <w:iCs w:val="false"/>
          <w:color w:val="1A1A1A"/>
          <w:sz w:val="21"/>
          <w:szCs w:val="21"/>
        </w:rPr>
        <w:t xml:space="preserve">Close anything else that might pop up a notification on the shared screen.</w:t>
      </w:r>
    </w:p>
    <w:p>
      <w:pPr>
        <w:pStyle w:val="ListParagraph"/>
        <w:numPr>
          <w:ilvl w:val="0"/>
          <w:numId w:val="2"/>
        </w:numPr>
        <w:spacing w:after="90"/>
      </w:pPr>
      <w:r>
        <w:rPr>
          <w:i w:val="false"/>
          <w:iCs w:val="false"/>
          <w:color w:val="1A1A1A"/>
          <w:sz w:val="21"/>
          <w:szCs w:val="21"/>
        </w:rPr>
        <w:t xml:space="preserve">Have this runbook open on a second screen or printed — you will be reading prompts near-verbatim.</w:t>
      </w:r>
    </w:p>
    <w:p>
      <w:pPr>
        <w:pStyle w:val="Heading1"/>
        <w:pBdr>
          <w:bottom w:val="single" w:color="E8B93C" w:sz="12" w:space="4"/>
        </w:pBdr>
        <w:spacing w:after="160" w:before="360"/>
      </w:pPr>
      <w:r>
        <w:rPr>
          <w:b/>
          <w:bCs/>
          <w:color w:val="1A1A1A"/>
          <w:sz w:val="30"/>
          <w:szCs w:val="30"/>
        </w:rPr>
        <w:t xml:space="preserve">3. DEMO 1 — Retail: Stockouts vs. Overstock  (Claude Desktop · 18 min)</w:t>
      </w:r>
    </w:p>
    <w:p>
      <w:pPr>
        <w:spacing w:after="140"/>
      </w:pPr>
      <w:r>
        <w:rPr>
          <w:b/>
          <w:bCs/>
          <w:color w:val="1A1A1A"/>
          <w:sz w:val="21"/>
          <w:szCs w:val="21"/>
        </w:rPr>
        <w:t xml:space="preserve">The real pattern in the data (verified):</w:t>
      </w:r>
      <w:r>
        <w:rPr>
          <w:i w:val="false"/>
          <w:iCs w:val="false"/>
          <w:color w:val="1A1A1A"/>
          <w:sz w:val="21"/>
          <w:szCs w:val="21"/>
        </w:rPr>
        <w:t xml:space="preserve"> stockout rate correlates with each store's replenishment lead time at </w:t>
      </w:r>
      <w:r>
        <w:rPr>
          <w:b/>
          <w:bCs/>
          <w:color w:val="1A1A1A"/>
          <w:sz w:val="21"/>
          <w:szCs w:val="21"/>
        </w:rPr>
        <w:t xml:space="preserve">r = 0.98</w:t>
      </w:r>
      <w:r>
        <w:rPr>
          <w:i w:val="false"/>
          <w:iCs w:val="false"/>
          <w:color w:val="1A1A1A"/>
          <w:sz w:val="21"/>
          <w:szCs w:val="21"/>
        </w:rPr>
        <w:t xml:space="preserve">. It correlates with each store's demand-variance tier at only </w:t>
      </w:r>
      <w:r>
        <w:rPr>
          <w:b/>
          <w:bCs/>
          <w:color w:val="1A1A1A"/>
          <w:sz w:val="21"/>
          <w:szCs w:val="21"/>
        </w:rPr>
        <w:t xml:space="preserve">r = 0.07</w:t>
      </w:r>
      <w:r>
        <w:rPr>
          <w:i w:val="false"/>
          <w:iCs w:val="false"/>
          <w:color w:val="1A1A1A"/>
          <w:sz w:val="21"/>
          <w:szCs w:val="21"/>
        </w:rPr>
        <w:t xml:space="preserve"> — effectively noise. West-region stores (long lead time) stock out on </w:t>
      </w:r>
      <w:r>
        <w:rPr>
          <w:b/>
          <w:bCs/>
          <w:color w:val="1A1A1A"/>
          <w:sz w:val="21"/>
          <w:szCs w:val="21"/>
        </w:rPr>
        <w:t xml:space="preserve">45.5%</w:t>
      </w:r>
      <w:r>
        <w:rPr>
          <w:i w:val="false"/>
          <w:iCs w:val="false"/>
          <w:color w:val="1A1A1A"/>
          <w:sz w:val="21"/>
          <w:szCs w:val="21"/>
        </w:rPr>
        <w:t xml:space="preserve"> of store-days; North + South (short lead time) stock out on only </w:t>
      </w:r>
      <w:r>
        <w:rPr>
          <w:b/>
          <w:bCs/>
          <w:color w:val="1A1A1A"/>
          <w:sz w:val="21"/>
          <w:szCs w:val="21"/>
        </w:rPr>
        <w:t xml:space="preserve">14.5%</w:t>
      </w:r>
      <w:r>
        <w:rPr>
          <w:i w:val="false"/>
          <w:iCs w:val="false"/>
          <w:color w:val="1A1A1A"/>
          <w:sz w:val="21"/>
          <w:szCs w:val="21"/>
        </w:rPr>
        <w:t xml:space="preserve">, despite similar demand patterns.</w:t>
      </w:r>
    </w:p>
    <w:p>
      <w:pPr>
        <w:spacing w:after="80" w:before="160"/>
      </w:pPr>
      <w:r>
        <w:rPr>
          <w:b/>
          <w:bCs/>
          <w:color w:val="1A1A1A"/>
          <w:sz w:val="21"/>
          <w:szCs w:val="21"/>
        </w:rPr>
        <w:t xml:space="preserve">Step 1 — Show the anti-pattern (2 min)</w:t>
      </w:r>
    </w:p>
    <w:p>
      <w:pPr>
        <w:spacing w:after="140"/>
      </w:pPr>
      <w:r>
        <w:rPr>
          <w:i w:val="false"/>
          <w:iCs w:val="false"/>
          <w:color w:val="1A1A1A"/>
          <w:sz w:val="21"/>
          <w:szCs w:val="21"/>
        </w:rPr>
        <w:t xml:space="preserve">Drag `retail_store_sku_sales_90d.csv` into Claude Desktop, then type:</w:t>
      </w:r>
    </w:p>
    <w:p>
      <w:pPr>
        <w:pBdr>
          <w:left w:val="single" w:color="8A4F14" w:sz="24" w:space="8"/>
        </w:pBdr>
        <w:shd w:fill="F4F0E6" w:val="clear"/>
        <w:spacing w:after="160" w:before="100"/>
        <w:ind w:left="200"/>
      </w:pPr>
      <w:r>
        <w:rPr>
          <w:b/>
          <w:bCs/>
          <w:color w:val="8A4F14"/>
          <w:sz w:val="19"/>
          <w:szCs w:val="19"/>
        </w:rPr>
        <w:t xml:space="preserve">TYPE THIS —  </w:t>
      </w:r>
      <w:r>
        <w:rPr>
          <w:i/>
          <w:iCs/>
          <w:color w:val="1A1A1A"/>
          <w:sz w:val="20"/>
          <w:szCs w:val="20"/>
        </w:rPr>
        <w:t xml:space="preserve">“Attached is 90 days of store-level sales and inventory data for our footwear and apparel network. Build me a dashboard to flag which SKUs need reordering.”</w:t>
      </w:r>
    </w:p>
    <w:p>
      <w:pPr>
        <w:spacing w:after="140"/>
      </w:pPr>
      <w:r>
        <w:rPr>
          <w:i w:val="false"/>
          <w:iCs w:val="false"/>
          <w:color w:val="1A1A1A"/>
          <w:sz w:val="21"/>
          <w:szCs w:val="21"/>
        </w:rPr>
        <w:t xml:space="preserve">Claude will comply immediately and start proposing a dashboard. Let it get a sentence or two in, then stop and say: </w:t>
      </w:r>
      <w:r>
        <w:rPr>
          <w:b/>
          <w:bCs/>
          <w:color w:val="1A1A1A"/>
          <w:sz w:val="21"/>
          <w:szCs w:val="21"/>
        </w:rPr>
        <w:t xml:space="preserve">"Notice what just happened — it built, it didn't ask."</w:t>
      </w:r>
      <w:r>
        <w:rPr>
          <w:i w:val="false"/>
          <w:iCs w:val="false"/>
          <w:color w:val="1A1A1A"/>
          <w:sz w:val="21"/>
          <w:szCs w:val="21"/>
        </w:rPr>
        <w:t xml:space="preserve"> That's the anti-pattern, on the record.</w:t>
      </w:r>
    </w:p>
    <w:p>
      <w:pPr>
        <w:spacing w:after="80" w:before="160"/>
      </w:pPr>
      <w:r>
        <w:rPr>
          <w:b/>
          <w:bCs/>
          <w:color w:val="1A1A1A"/>
          <w:sz w:val="21"/>
          <w:szCs w:val="21"/>
        </w:rPr>
        <w:t xml:space="preserve">Step 2 — Reframe with discovery (3 min)</w:t>
      </w:r>
    </w:p>
    <w:p>
      <w:pPr>
        <w:pBdr>
          <w:left w:val="single" w:color="8A4F14" w:sz="24" w:space="8"/>
        </w:pBdr>
        <w:shd w:fill="F4F0E6" w:val="clear"/>
        <w:spacing w:after="160" w:before="100"/>
        <w:ind w:left="200"/>
      </w:pPr>
      <w:r>
        <w:rPr>
          <w:b/>
          <w:bCs/>
          <w:color w:val="8A4F14"/>
          <w:sz w:val="19"/>
          <w:szCs w:val="19"/>
        </w:rPr>
        <w:t xml:space="preserve">TYPE THIS —  </w:t>
      </w:r>
      <w:r>
        <w:rPr>
          <w:i/>
          <w:iCs/>
          <w:color w:val="1A1A1A"/>
          <w:sz w:val="20"/>
          <w:szCs w:val="20"/>
        </w:rPr>
        <w:t xml:space="preserve">“Hold on — before we design anything, act as a retail operations thinking partner. Here's the situation: total on-hand inventory across the network is healthy, but specific stores keep stocking out on our top SKUs during peak weekends. Ask me the top questions you'd need answered to find the real cause, and tell me what hypotheses about this data you'd want to test first.”</w:t>
      </w:r>
    </w:p>
    <w:p>
      <w:pPr>
        <w:spacing w:after="140"/>
      </w:pPr>
      <w:r>
        <w:rPr>
          <w:b/>
          <w:bCs/>
          <w:color w:val="1A1A1A"/>
          <w:sz w:val="21"/>
          <w:szCs w:val="21"/>
        </w:rPr>
        <w:t xml:space="preserve">Expect:</w:t>
      </w:r>
      <w:r>
        <w:rPr>
          <w:i w:val="false"/>
          <w:iCs w:val="false"/>
          <w:color w:val="1A1A1A"/>
          <w:sz w:val="21"/>
          <w:szCs w:val="21"/>
        </w:rPr>
        <w:t xml:space="preserve"> Claude distinguishes forecasting error, allocation error, and replenishment lead-time variance as competing hypotheses, and asks something like whether the stockouts cluster by region, by SKU, or by store.</w:t>
      </w:r>
    </w:p>
    <w:p>
      <w:pPr>
        <w:spacing w:after="80" w:before="160"/>
      </w:pPr>
      <w:r>
        <w:rPr>
          <w:b/>
          <w:bCs/>
          <w:color w:val="1A1A1A"/>
          <w:sz w:val="21"/>
          <w:szCs w:val="21"/>
        </w:rPr>
        <w:t xml:space="preserve">Step 3 — Test the hypotheses against real data (6 min)</w:t>
      </w:r>
    </w:p>
    <w:p>
      <w:pPr>
        <w:pBdr>
          <w:left w:val="single" w:color="8A4F14" w:sz="24" w:space="8"/>
        </w:pBdr>
        <w:shd w:fill="F4F0E6" w:val="clear"/>
        <w:spacing w:after="160" w:before="100"/>
        <w:ind w:left="200"/>
      </w:pPr>
      <w:r>
        <w:rPr>
          <w:b/>
          <w:bCs/>
          <w:color w:val="8A4F14"/>
          <w:sz w:val="19"/>
          <w:szCs w:val="19"/>
        </w:rPr>
        <w:t xml:space="preserve">TYPE THIS —  </w:t>
      </w:r>
      <w:r>
        <w:rPr>
          <w:i/>
          <w:iCs/>
          <w:color w:val="1A1A1A"/>
          <w:sz w:val="20"/>
          <w:szCs w:val="20"/>
        </w:rPr>
        <w:t xml:space="preserve">“Let's test it against the attached data using code execution. Does the stockout rate correlate more strongly with each store's replenishment lead time, or with each store's demand-variance tier?”</w:t>
      </w:r>
    </w:p>
    <w:p>
      <w:pPr>
        <w:spacing w:after="140"/>
      </w:pPr>
      <w:r>
        <w:rPr>
          <w:b/>
          <w:bCs/>
          <w:color w:val="1A1A1A"/>
          <w:sz w:val="21"/>
          <w:szCs w:val="21"/>
        </w:rPr>
        <w:t xml:space="preserve">Expect:</w:t>
      </w:r>
      <w:r>
        <w:rPr>
          <w:i w:val="false"/>
          <w:iCs w:val="false"/>
          <w:color w:val="1A1A1A"/>
          <w:sz w:val="21"/>
          <w:szCs w:val="21"/>
        </w:rPr>
        <w:t xml:space="preserve"> Claude computes both correlations. You should see it land close to the verified numbers — lead time strongly correlated (roughly 0.9+), demand variance essentially flat (roughly 0.1 or below). If Claude's exact figures differ slightly from a re-run, that's fine — the direction and gap between the two is the point, and it will hold.</w:t>
      </w:r>
    </w:p>
    <w:p>
      <w:pPr>
        <w:pBdr>
          <w:left w:val="single" w:color="8A4F14" w:sz="24" w:space="8"/>
        </w:pBdr>
        <w:shd w:fill="F4F0E6" w:val="clear"/>
        <w:spacing w:after="160" w:before="100"/>
        <w:ind w:left="200"/>
      </w:pPr>
      <w:r>
        <w:rPr>
          <w:b/>
          <w:bCs/>
          <w:color w:val="8A4F14"/>
          <w:sz w:val="19"/>
          <w:szCs w:val="19"/>
        </w:rPr>
        <w:t xml:space="preserve">THEN TYPE —  </w:t>
      </w:r>
      <w:r>
        <w:rPr>
          <w:i/>
          <w:iCs/>
          <w:color w:val="1A1A1A"/>
          <w:sz w:val="20"/>
          <w:szCs w:val="20"/>
        </w:rPr>
        <w:t xml:space="preserve">“Break it down by region too — show me the stockout rate for West stores versus the rest of the network.”</w:t>
      </w:r>
    </w:p>
    <w:p>
      <w:pPr>
        <w:spacing w:after="140"/>
      </w:pPr>
      <w:r>
        <w:rPr>
          <w:b/>
          <w:bCs/>
          <w:color w:val="1A1A1A"/>
          <w:sz w:val="21"/>
          <w:szCs w:val="21"/>
        </w:rPr>
        <w:t xml:space="preserve">Expect:</w:t>
      </w:r>
      <w:r>
        <w:rPr>
          <w:i w:val="false"/>
          <w:iCs w:val="false"/>
          <w:color w:val="1A1A1A"/>
          <w:sz w:val="21"/>
          <w:szCs w:val="21"/>
        </w:rPr>
        <w:t xml:space="preserve"> a clear split close to West ≈ 45% vs. North+South ≈ 15%.</w:t>
      </w:r>
    </w:p>
    <w:p>
      <w:pPr>
        <w:spacing w:after="80" w:before="160"/>
      </w:pPr>
      <w:r>
        <w:rPr>
          <w:b/>
          <w:bCs/>
          <w:color w:val="1A1A1A"/>
          <w:sz w:val="21"/>
          <w:szCs w:val="21"/>
        </w:rPr>
        <w:t xml:space="preserve">Step 4 — Synthesis and debrief (4 min)</w:t>
      </w:r>
    </w:p>
    <w:p>
      <w:pPr>
        <w:pBdr>
          <w:left w:val="single" w:color="8A4F14" w:sz="24" w:space="8"/>
        </w:pBdr>
        <w:shd w:fill="F4F0E6" w:val="clear"/>
        <w:spacing w:after="160" w:before="100"/>
        <w:ind w:left="200"/>
      </w:pPr>
      <w:r>
        <w:rPr>
          <w:b/>
          <w:bCs/>
          <w:color w:val="8A4F14"/>
          <w:sz w:val="19"/>
          <w:szCs w:val="19"/>
        </w:rPr>
        <w:t xml:space="preserve">TYPE THIS —  </w:t>
      </w:r>
      <w:r>
        <w:rPr>
          <w:i/>
          <w:iCs/>
          <w:color w:val="1A1A1A"/>
          <w:sz w:val="20"/>
          <w:szCs w:val="20"/>
        </w:rPr>
        <w:t xml:space="preserve">“Given what we just found, what would you now build — and how is it different from the dashboard I first asked for?”</w:t>
      </w:r>
    </w:p>
    <w:p>
      <w:pPr>
        <w:spacing w:after="140"/>
      </w:pPr>
      <w:r>
        <w:rPr>
          <w:b/>
          <w:bCs/>
          <w:color w:val="1A1A1A"/>
          <w:sz w:val="21"/>
          <w:szCs w:val="21"/>
        </w:rPr>
        <w:t xml:space="preserve">Expect:</w:t>
      </w:r>
      <w:r>
        <w:rPr>
          <w:i w:val="false"/>
          <w:iCs w:val="false"/>
          <w:color w:val="1A1A1A"/>
          <w:sz w:val="21"/>
          <w:szCs w:val="21"/>
        </w:rPr>
        <w:t xml:space="preserve"> Claude proposes something scoped to the real cause — e.g. a lead-time-aware reorder-point adjustment for the affected stores — instead of a generic reorder dashboard. Close with: </w:t>
      </w:r>
      <w:r>
        <w:rPr>
          <w:b/>
          <w:bCs/>
          <w:color w:val="1A1A1A"/>
          <w:sz w:val="21"/>
          <w:szCs w:val="21"/>
        </w:rPr>
        <w:t xml:space="preserve">"That's the whole session in one exchange: same tool, same data, different question, different — better — answer."</w:t>
      </w:r>
    </w:p>
    <w:p>
      <w:pPr>
        <w:pStyle w:val="Heading1"/>
        <w:pBdr>
          <w:bottom w:val="single" w:color="E8B93C" w:sz="12" w:space="4"/>
        </w:pBdr>
        <w:spacing w:after="160" w:before="360"/>
      </w:pPr>
      <w:r>
        <w:rPr>
          <w:b/>
          <w:bCs/>
          <w:color w:val="1A1A1A"/>
          <w:sz w:val="30"/>
          <w:szCs w:val="30"/>
        </w:rPr>
        <w:t xml:space="preserve">4. DEMO 2 — Healthcare: Prior-Authorization Backlog  (Claude Code CLI · 11 min)</w:t>
      </w:r>
    </w:p>
    <w:p>
      <w:pPr>
        <w:spacing w:after="140"/>
      </w:pPr>
      <w:r>
        <w:rPr>
          <w:b/>
          <w:bCs/>
          <w:color w:val="1A1A1A"/>
          <w:sz w:val="21"/>
          <w:szCs w:val="21"/>
        </w:rPr>
        <w:t xml:space="preserve">The real pattern in the data (verified):</w:t>
      </w:r>
      <w:r>
        <w:rPr>
          <w:i w:val="false"/>
          <w:iCs w:val="false"/>
          <w:color w:val="1A1A1A"/>
          <w:sz w:val="21"/>
          <w:szCs w:val="21"/>
        </w:rPr>
        <w:t xml:space="preserve"> of 70 synthetic requests, 54 were denied. Of those denials, </w:t>
      </w:r>
      <w:r>
        <w:rPr>
          <w:b/>
          <w:bCs/>
          <w:color w:val="1A1A1A"/>
          <w:sz w:val="21"/>
          <w:szCs w:val="21"/>
        </w:rPr>
        <w:t xml:space="preserve">59.3%</w:t>
      </w:r>
      <w:r>
        <w:rPr>
          <w:i w:val="false"/>
          <w:iCs w:val="false"/>
          <w:color w:val="1A1A1A"/>
          <w:sz w:val="21"/>
          <w:szCs w:val="21"/>
        </w:rPr>
        <w:t xml:space="preserve"> were procedural — missing one or more required documents — and the remaining </w:t>
      </w:r>
      <w:r>
        <w:rPr>
          <w:b/>
          <w:bCs/>
          <w:color w:val="1A1A1A"/>
          <w:sz w:val="21"/>
          <w:szCs w:val="21"/>
        </w:rPr>
        <w:t xml:space="preserve">40.7%</w:t>
      </w:r>
      <w:r>
        <w:rPr>
          <w:i w:val="false"/>
          <w:iCs w:val="false"/>
          <w:color w:val="1A1A1A"/>
          <w:sz w:val="21"/>
          <w:szCs w:val="21"/>
        </w:rPr>
        <w:t xml:space="preserve"> were genuine clinical-judgment calls where every document was present but the clinical picture didn't clearly meet criteria.</w:t>
      </w:r>
    </w:p>
    <w:p>
      <w:pPr>
        <w:spacing w:after="80" w:before="160"/>
      </w:pPr>
      <w:r>
        <w:rPr>
          <w:b/>
          <w:bCs/>
          <w:color w:val="1A1A1A"/>
          <w:sz w:val="21"/>
          <w:szCs w:val="21"/>
        </w:rPr>
        <w:t xml:space="preserve">Step 1 — Show the anti-pattern (1.5 min)</w:t>
      </w:r>
    </w:p>
    <w:p>
      <w:pPr>
        <w:spacing w:after="140"/>
      </w:pPr>
      <w:r>
        <w:rPr>
          <w:i w:val="false"/>
          <w:iCs w:val="false"/>
          <w:color w:val="1A1A1A"/>
          <w:sz w:val="21"/>
          <w:szCs w:val="21"/>
        </w:rPr>
        <w:t xml:space="preserve">In the terminal, inside the `pa-triage` project folder, start Claude Code (`claude`) and type:</w:t>
      </w:r>
    </w:p>
    <w:p>
      <w:pPr>
        <w:pBdr>
          <w:left w:val="single" w:color="215B4E" w:sz="24" w:space="8"/>
        </w:pBdr>
        <w:shd w:fill="F4F0E6" w:val="clear"/>
        <w:spacing w:after="160" w:before="100"/>
        <w:ind w:left="200"/>
      </w:pPr>
      <w:r>
        <w:rPr>
          <w:b/>
          <w:bCs/>
          <w:color w:val="215B4E"/>
          <w:sz w:val="19"/>
          <w:szCs w:val="19"/>
        </w:rPr>
        <w:t xml:space="preserve">TYPE THIS —  </w:t>
      </w:r>
      <w:r>
        <w:rPr>
          <w:i/>
          <w:iCs/>
          <w:color w:val="1A1A1A"/>
          <w:sz w:val="20"/>
          <w:szCs w:val="20"/>
        </w:rPr>
        <w:t xml:space="preserve">“Write a Python script that auto-approves prior-authorization requests in prior_auth_requests_synthetic.csv whenever the procedure matches something in sample_payer_policy.txt.”</w:t>
      </w:r>
    </w:p>
    <w:p>
      <w:pPr>
        <w:spacing w:after="140"/>
      </w:pPr>
      <w:r>
        <w:rPr>
          <w:i w:val="false"/>
          <w:iCs w:val="false"/>
          <w:color w:val="1A1A1A"/>
          <w:sz w:val="21"/>
          <w:szCs w:val="21"/>
        </w:rPr>
        <w:t xml:space="preserve">Claude Code will scaffold this readily. Pause and name the risk out loud: this silently treats a missing-form case the same as a case that genuinely fails clinical criteria — unsafe to automate blind.</w:t>
      </w:r>
    </w:p>
    <w:p>
      <w:pPr>
        <w:spacing w:after="80" w:before="160"/>
      </w:pPr>
      <w:r>
        <w:rPr>
          <w:b/>
          <w:bCs/>
          <w:color w:val="1A1A1A"/>
          <w:sz w:val="21"/>
          <w:szCs w:val="21"/>
        </w:rPr>
        <w:t xml:space="preserve">Step 2 — Reframe with discovery (3.5 min)</w:t>
      </w:r>
    </w:p>
    <w:p>
      <w:pPr>
        <w:pBdr>
          <w:left w:val="single" w:color="215B4E" w:sz="24" w:space="8"/>
        </w:pBdr>
        <w:shd w:fill="F4F0E6" w:val="clear"/>
        <w:spacing w:after="160" w:before="100"/>
        <w:ind w:left="200"/>
      </w:pPr>
      <w:r>
        <w:rPr>
          <w:b/>
          <w:bCs/>
          <w:color w:val="215B4E"/>
          <w:sz w:val="19"/>
          <w:szCs w:val="19"/>
        </w:rPr>
        <w:t xml:space="preserve">TYPE THIS —  </w:t>
      </w:r>
      <w:r>
        <w:rPr>
          <w:i/>
          <w:iCs/>
          <w:color w:val="1A1A1A"/>
          <w:sz w:val="20"/>
          <w:szCs w:val="20"/>
        </w:rPr>
        <w:t xml:space="preserve">“Stop — before writing any automation, read sample_payer_policy.txt and prior_auth_requests_synthetic.csv directly. Give me a one-page framing: what share of denials look procedural (missing required documentation) versus a genuine clinical judgment call? Ask me anything you need to make that split defensible.”</w:t>
      </w:r>
    </w:p>
    <w:p>
      <w:pPr>
        <w:spacing w:after="140"/>
      </w:pPr>
      <w:r>
        <w:rPr>
          <w:b/>
          <w:bCs/>
          <w:color w:val="1A1A1A"/>
          <w:sz w:val="21"/>
          <w:szCs w:val="21"/>
        </w:rPr>
        <w:t xml:space="preserve">Expect:</w:t>
      </w:r>
      <w:r>
        <w:rPr>
          <w:i w:val="false"/>
          <w:iCs w:val="false"/>
          <w:color w:val="1A1A1A"/>
          <w:sz w:val="21"/>
          <w:szCs w:val="21"/>
        </w:rPr>
        <w:t xml:space="preserve"> Claude Code reads both files and reports a split close to the verified ~59% procedural / ~41% clinical, and may ask a clarifying question about how to treat borderline cases (e.g. partial documentation).</w:t>
      </w:r>
    </w:p>
    <w:p>
      <w:pPr>
        <w:spacing w:after="80" w:before="160"/>
      </w:pPr>
      <w:r>
        <w:rPr>
          <w:b/>
          <w:bCs/>
          <w:color w:val="1A1A1A"/>
          <w:sz w:val="21"/>
          <w:szCs w:val="21"/>
        </w:rPr>
        <w:t xml:space="preserve">Step 3 — Scope the automation deliberately (3 min)</w:t>
      </w:r>
    </w:p>
    <w:p>
      <w:pPr>
        <w:pBdr>
          <w:left w:val="single" w:color="215B4E" w:sz="24" w:space="8"/>
        </w:pBdr>
        <w:shd w:fill="F4F0E6" w:val="clear"/>
        <w:spacing w:after="160" w:before="100"/>
        <w:ind w:left="200"/>
      </w:pPr>
      <w:r>
        <w:rPr>
          <w:b/>
          <w:bCs/>
          <w:color w:val="215B4E"/>
          <w:sz w:val="19"/>
          <w:szCs w:val="19"/>
        </w:rPr>
        <w:t xml:space="preserve">TYPE THIS —  </w:t>
      </w:r>
      <w:r>
        <w:rPr>
          <w:i/>
          <w:iCs/>
          <w:color w:val="1A1A1A"/>
          <w:sz w:val="20"/>
          <w:szCs w:val="20"/>
        </w:rPr>
        <w:t xml:space="preserve">“Good — now build pa_triage.py: it should flag only the procedural / missing-documentation cases for fast provider follow-up, and explicitly route clinical-judgment cases to a human reviewer. It must not auto-approve or auto-deny anything.”</w:t>
      </w:r>
    </w:p>
    <w:p>
      <w:pPr>
        <w:spacing w:after="80" w:before="160"/>
      </w:pPr>
      <w:r>
        <w:rPr>
          <w:b/>
          <w:bCs/>
          <w:color w:val="1A1A1A"/>
          <w:sz w:val="21"/>
          <w:szCs w:val="21"/>
        </w:rPr>
        <w:t xml:space="preserve">Step 4 — Run it and show the output (1.5 min)</w:t>
      </w:r>
    </w:p>
    <w:p>
      <w:pPr>
        <w:pBdr>
          <w:left w:val="single" w:color="215B4E" w:sz="24" w:space="8"/>
        </w:pBdr>
        <w:shd w:fill="F4F0E6" w:val="clear"/>
        <w:spacing w:after="160" w:before="100"/>
        <w:ind w:left="200"/>
      </w:pPr>
      <w:r>
        <w:rPr>
          <w:b/>
          <w:bCs/>
          <w:color w:val="215B4E"/>
          <w:sz w:val="19"/>
          <w:szCs w:val="19"/>
        </w:rPr>
        <w:t xml:space="preserve">RUN —  </w:t>
      </w:r>
      <w:r>
        <w:rPr>
          <w:i/>
          <w:iCs/>
          <w:color w:val="1A1A1A"/>
          <w:sz w:val="20"/>
          <w:szCs w:val="20"/>
        </w:rPr>
        <w:t xml:space="preserve">“python3 pa_triage.py prior_auth_requests_synthetic.csv”</w:t>
      </w:r>
    </w:p>
    <w:p>
      <w:pPr>
        <w:spacing w:after="140"/>
      </w:pPr>
      <w:r>
        <w:rPr>
          <w:b/>
          <w:bCs/>
          <w:color w:val="1A1A1A"/>
          <w:sz w:val="21"/>
          <w:szCs w:val="21"/>
        </w:rPr>
        <w:t xml:space="preserve">Expect output close to:</w:t>
      </w:r>
      <w:r>
        <w:rPr>
          <w:i w:val="false"/>
          <w:iCs w:val="false"/>
          <w:color w:val="1A1A1A"/>
          <w:sz w:val="21"/>
          <w:szCs w:val="21"/>
        </w:rPr>
        <w:t xml:space="preserve"> 70 loaded · 16 approved · 32 flagged procedural · 22 routed to clinical review, broken down by category (Imaging, Physical Therapy, DME, Specialty Drug).</w:t>
      </w:r>
    </w:p>
    <w:p>
      <w:pPr>
        <w:spacing w:after="140"/>
      </w:pPr>
      <w:r>
        <w:rPr>
          <w:i w:val="false"/>
          <w:iCs w:val="false"/>
          <w:color w:val="1A1A1A"/>
          <w:sz w:val="21"/>
          <w:szCs w:val="21"/>
        </w:rPr>
        <w:t xml:space="preserve">If the live build runs short on time, `pa_triage.py` is included as a ready-to-run fallback — copy it into the folder and run the same command.</w:t>
      </w:r>
    </w:p>
    <w:p>
      <w:pPr>
        <w:spacing w:after="80" w:before="160"/>
      </w:pPr>
      <w:r>
        <w:rPr>
          <w:b/>
          <w:bCs/>
          <w:color w:val="1A1A1A"/>
          <w:sz w:val="21"/>
          <w:szCs w:val="21"/>
        </w:rPr>
        <w:t xml:space="preserve">Step 5 — Debrief (1.5 min)</w:t>
      </w:r>
    </w:p>
    <w:p>
      <w:pPr>
        <w:spacing w:after="140"/>
      </w:pPr>
      <w:r>
        <w:rPr>
          <w:i w:val="false"/>
          <w:iCs w:val="false"/>
          <w:color w:val="1A1A1A"/>
          <w:sz w:val="21"/>
          <w:szCs w:val="21"/>
        </w:rPr>
        <w:t xml:space="preserve">Ask the room: </w:t>
      </w:r>
      <w:r>
        <w:rPr>
          <w:b/>
          <w:bCs/>
          <w:color w:val="1A1A1A"/>
          <w:sz w:val="21"/>
          <w:szCs w:val="21"/>
        </w:rPr>
        <w:t xml:space="preserve">"What would have gone wrong if we'd shipped the Step-1 version instead?"</w:t>
      </w:r>
      <w:r>
        <w:rPr>
          <w:i w:val="false"/>
          <w:iCs w:val="false"/>
          <w:color w:val="1A1A1A"/>
          <w:sz w:val="21"/>
          <w:szCs w:val="21"/>
        </w:rPr>
        <w:t xml:space="preserve"> Land on: it would have auto-approved or auto-denied genuine clinical judgment calls with no human ever looking at them — the identity shift from Module 1, now visible in a terminal.</w:t>
      </w:r>
    </w:p>
    <w:p>
      <w:pPr>
        <w:pStyle w:val="Heading1"/>
        <w:pBdr>
          <w:bottom w:val="single" w:color="E8B93C" w:sz="12" w:space="4"/>
        </w:pBdr>
        <w:spacing w:after="160" w:before="360"/>
      </w:pPr>
      <w:r>
        <w:rPr>
          <w:b/>
          <w:bCs/>
          <w:color w:val="1A1A1A"/>
          <w:sz w:val="30"/>
          <w:szCs w:val="30"/>
        </w:rPr>
        <w:t xml:space="preserve">5. Facilitation Tips &amp; Recovery</w:t>
      </w:r>
    </w:p>
    <w:p>
      <w:pPr>
        <w:pStyle w:val="ListParagraph"/>
        <w:numPr>
          <w:ilvl w:val="0"/>
          <w:numId w:val="2"/>
        </w:numPr>
        <w:spacing w:after="90"/>
      </w:pPr>
      <w:r>
        <w:rPr>
          <w:b/>
          <w:bCs/>
          <w:color w:val="1A1A1A"/>
          <w:sz w:val="21"/>
          <w:szCs w:val="21"/>
        </w:rPr>
        <w:t xml:space="preserve">If Claude's live numbers differ slightly from the verified figures above</w:t>
      </w:r>
      <w:r>
        <w:rPr>
          <w:i w:val="false"/>
          <w:iCs w:val="false"/>
          <w:color w:val="1A1A1A"/>
          <w:sz w:val="21"/>
          <w:szCs w:val="21"/>
        </w:rPr>
        <w:t xml:space="preserve"> (e.g. 0.94 instead of 0.98, or 55% instead of 59%): that's expected model-to-model variance in exact wording/rounding, not a broken demo. The direction and the gap between the two hypotheses is what's guaranteed by the data — say so if anyone asks.</w:t>
      </w:r>
    </w:p>
    <w:p>
      <w:pPr>
        <w:pStyle w:val="ListParagraph"/>
        <w:numPr>
          <w:ilvl w:val="0"/>
          <w:numId w:val="2"/>
        </w:numPr>
        <w:spacing w:after="90"/>
      </w:pPr>
      <w:r>
        <w:rPr>
          <w:b/>
          <w:bCs/>
          <w:color w:val="1A1A1A"/>
          <w:sz w:val="21"/>
          <w:szCs w:val="21"/>
        </w:rPr>
        <w:t xml:space="preserve">If a participant asks to see the raw data:</w:t>
      </w:r>
      <w:r>
        <w:rPr>
          <w:i w:val="false"/>
          <w:iCs w:val="false"/>
          <w:color w:val="1A1A1A"/>
          <w:sz w:val="21"/>
          <w:szCs w:val="21"/>
        </w:rPr>
        <w:t xml:space="preserve"> both CSVs are provided; you're welcome to open them in a spreadsheet beforehand so you can point to specific rows if challenged.</w:t>
      </w:r>
    </w:p>
    <w:p>
      <w:pPr>
        <w:pStyle w:val="ListParagraph"/>
        <w:numPr>
          <w:ilvl w:val="0"/>
          <w:numId w:val="2"/>
        </w:numPr>
        <w:spacing w:after="90"/>
      </w:pPr>
      <w:r>
        <w:rPr>
          <w:b/>
          <w:bCs/>
          <w:color w:val="1A1A1A"/>
          <w:sz w:val="21"/>
          <w:szCs w:val="21"/>
        </w:rPr>
        <w:t xml:space="preserve">Keep the anti-pattern step short.</w:t>
      </w:r>
      <w:r>
        <w:rPr>
          <w:i w:val="false"/>
          <w:iCs w:val="false"/>
          <w:color w:val="1A1A1A"/>
          <w:sz w:val="21"/>
          <w:szCs w:val="21"/>
        </w:rPr>
        <w:t xml:space="preserve"> Its only job is to make the room feel the contrast in Step 2 — don't let Claude finish building the bad version.</w:t>
      </w:r>
    </w:p>
    <w:p>
      <w:pPr>
        <w:pStyle w:val="ListParagraph"/>
        <w:numPr>
          <w:ilvl w:val="0"/>
          <w:numId w:val="2"/>
        </w:numPr>
        <w:spacing w:after="90"/>
      </w:pPr>
      <w:r>
        <w:rPr>
          <w:b/>
          <w:bCs/>
          <w:color w:val="1A1A1A"/>
          <w:sz w:val="21"/>
          <w:szCs w:val="21"/>
        </w:rPr>
        <w:t xml:space="preserve">Tie each demo back to its Pop Quiz</w:t>
      </w:r>
      <w:r>
        <w:rPr>
          <w:i w:val="false"/>
          <w:iCs w:val="false"/>
          <w:color w:val="1A1A1A"/>
          <w:sz w:val="21"/>
          <w:szCs w:val="21"/>
        </w:rPr>
        <w:t xml:space="preserve"> (Quiz 4 for Retail, Quiz 5 for Healthcare) immediately afterward while the finding is fresh.</w:t>
      </w:r>
    </w:p>
    <w:p>
      <w:pPr>
        <w:pStyle w:val="Heading1"/>
        <w:pBdr>
          <w:bottom w:val="single" w:color="E8B93C" w:sz="12" w:space="4"/>
        </w:pBdr>
        <w:spacing w:after="160" w:before="360"/>
      </w:pPr>
      <w:r>
        <w:rPr>
          <w:b/>
          <w:bCs/>
          <w:color w:val="1A1A1A"/>
          <w:sz w:val="30"/>
          <w:szCs w:val="30"/>
        </w:rPr>
        <w:t xml:space="preserve">6. Troubleshooting</w:t>
      </w:r>
    </w:p>
    <w:p>
      <w:pPr>
        <w:pStyle w:val="ListParagraph"/>
        <w:numPr>
          <w:ilvl w:val="0"/>
          <w:numId w:val="2"/>
        </w:numPr>
        <w:spacing w:after="90"/>
      </w:pPr>
      <w:r>
        <w:rPr>
          <w:b/>
          <w:bCs/>
          <w:color w:val="1A1A1A"/>
          <w:sz w:val="21"/>
          <w:szCs w:val="21"/>
        </w:rPr>
        <w:t xml:space="preserve">No internet / Claude unavailable:</w:t>
      </w:r>
      <w:r>
        <w:rPr>
          <w:i w:val="false"/>
          <w:iCs w:val="false"/>
          <w:color w:val="1A1A1A"/>
          <w:sz w:val="21"/>
          <w:szCs w:val="21"/>
        </w:rPr>
        <w:t xml:space="preserve"> use the T-1-day screenshot fallback and narrate the exchange instead of typing it live.</w:t>
      </w:r>
    </w:p>
    <w:p>
      <w:pPr>
        <w:pStyle w:val="ListParagraph"/>
        <w:numPr>
          <w:ilvl w:val="0"/>
          <w:numId w:val="2"/>
        </w:numPr>
        <w:spacing w:after="90"/>
      </w:pPr>
      <w:r>
        <w:rPr>
          <w:b/>
          <w:bCs/>
          <w:color w:val="1A1A1A"/>
          <w:sz w:val="21"/>
          <w:szCs w:val="21"/>
        </w:rPr>
        <w:t xml:space="preserve">CSV upload seems slow in Claude Desktop:</w:t>
      </w:r>
      <w:r>
        <w:rPr>
          <w:i w:val="false"/>
          <w:iCs w:val="false"/>
          <w:color w:val="1A1A1A"/>
          <w:sz w:val="21"/>
          <w:szCs w:val="21"/>
        </w:rPr>
        <w:t xml:space="preserve"> the file is ~700 KB / 10,800 rows — normal upload time is a few seconds; if it hangs, reattach rather than waiting past 30 seconds.</w:t>
      </w:r>
    </w:p>
    <w:p>
      <w:pPr>
        <w:pStyle w:val="ListParagraph"/>
        <w:numPr>
          <w:ilvl w:val="0"/>
          <w:numId w:val="2"/>
        </w:numPr>
        <w:spacing w:after="90"/>
      </w:pPr>
      <w:r>
        <w:rPr>
          <w:b/>
          <w:bCs/>
          <w:color w:val="1A1A1A"/>
          <w:sz w:val="21"/>
          <w:szCs w:val="21"/>
        </w:rPr>
        <w:t xml:space="preserve">Claude Code CLI not authenticated:</w:t>
      </w:r>
      <w:r>
        <w:rPr>
          <w:i w:val="false"/>
          <w:iCs w:val="false"/>
          <w:color w:val="1A1A1A"/>
          <w:sz w:val="21"/>
          <w:szCs w:val="21"/>
        </w:rPr>
        <w:t xml:space="preserve"> re-run the login step before class; do not attempt to debug auth live in front of the room.</w:t>
      </w:r>
    </w:p>
    <w:p>
      <w:pPr>
        <w:pStyle w:val="ListParagraph"/>
        <w:numPr>
          <w:ilvl w:val="0"/>
          <w:numId w:val="2"/>
        </w:numPr>
        <w:spacing w:after="90"/>
      </w:pPr>
      <w:r>
        <w:rPr>
          <w:b/>
          <w:bCs/>
          <w:color w:val="1A1A1A"/>
          <w:sz w:val="21"/>
          <w:szCs w:val="21"/>
        </w:rPr>
        <w:t xml:space="preserve">Room is short on time:</w:t>
      </w:r>
      <w:r>
        <w:rPr>
          <w:i w:val="false"/>
          <w:iCs w:val="false"/>
          <w:color w:val="1A1A1A"/>
          <w:sz w:val="21"/>
          <w:szCs w:val="21"/>
        </w:rPr>
        <w:t xml:space="preserve"> Demo 1 can be trimmed to Steps 2–4 only (skip the anti-pattern) without losing the payoff; Demo 2 can be trimmed to Steps 2 and 4 using the fallback script.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2026-07-25T16:37:29.388Z</dcterms:created>
  <dcterms:modified xsi:type="dcterms:W3CDTF">2026-07-25T16:37:29.403Z</dcterms:modified>
</cp:coreProperties>
</file>

<file path=docProps/custom.xml><?xml version="1.0" encoding="utf-8"?>
<Properties xmlns="http://schemas.openxmlformats.org/officeDocument/2006/custom-properties" xmlns:vt="http://schemas.openxmlformats.org/officeDocument/2006/docPropsVTypes"/>
</file>