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684353" w14:textId="77777777" w:rsidR="00D14F8C" w:rsidRPr="00D14F8C" w:rsidRDefault="00D14F8C" w:rsidP="009C154B">
      <w:pPr>
        <w:spacing w:after="480" w:line="437" w:lineRule="atLeast"/>
        <w:outlineLvl w:val="1"/>
        <w:rPr>
          <w:rFonts w:ascii="Droid Serif" w:eastAsia="Times New Roman" w:hAnsi="Droid Serif" w:cs="Times New Roman"/>
          <w:b/>
          <w:bCs/>
          <w:color w:val="333333"/>
          <w:sz w:val="34"/>
          <w:szCs w:val="34"/>
        </w:rPr>
      </w:pPr>
      <w:r w:rsidRPr="00D14F8C">
        <w:rPr>
          <w:rFonts w:ascii="Droid Serif" w:eastAsia="Times New Roman" w:hAnsi="Droid Serif" w:cs="Times New Roman"/>
          <w:b/>
          <w:bCs/>
          <w:color w:val="333333"/>
          <w:sz w:val="34"/>
          <w:szCs w:val="34"/>
        </w:rPr>
        <w:t>3. Data and methods</w:t>
      </w:r>
    </w:p>
    <w:p w14:paraId="4FEB7528" w14:textId="77777777" w:rsidR="00D14F8C" w:rsidRPr="00D14F8C" w:rsidRDefault="00D14F8C" w:rsidP="009C154B">
      <w:pPr>
        <w:spacing w:after="360" w:line="437" w:lineRule="atLeast"/>
        <w:outlineLvl w:val="2"/>
        <w:rPr>
          <w:rFonts w:ascii="Droid Serif" w:eastAsia="Times New Roman" w:hAnsi="Droid Serif" w:cs="Arial"/>
          <w:b/>
          <w:bCs/>
          <w:color w:val="333333"/>
          <w:sz w:val="31"/>
          <w:szCs w:val="31"/>
        </w:rPr>
      </w:pPr>
      <w:r w:rsidRPr="00D14F8C">
        <w:rPr>
          <w:rFonts w:ascii="Droid Serif" w:eastAsia="Times New Roman" w:hAnsi="Droid Serif" w:cs="Arial"/>
          <w:b/>
          <w:bCs/>
          <w:color w:val="333333"/>
          <w:sz w:val="31"/>
          <w:szCs w:val="31"/>
        </w:rPr>
        <w:t>3.1. Data sources and variables</w:t>
      </w:r>
    </w:p>
    <w:tbl>
      <w:tblPr>
        <w:tblStyle w:val="TableGrid"/>
        <w:tblpPr w:leftFromText="180" w:rightFromText="180" w:vertAnchor="page" w:horzAnchor="margin" w:tblpXSpec="center" w:tblpY="5401"/>
        <w:tblW w:w="9517" w:type="dxa"/>
        <w:tblLook w:val="04A0" w:firstRow="1" w:lastRow="0" w:firstColumn="1" w:lastColumn="0" w:noHBand="0" w:noVBand="1"/>
      </w:tblPr>
      <w:tblGrid>
        <w:gridCol w:w="1194"/>
        <w:gridCol w:w="2507"/>
        <w:gridCol w:w="1178"/>
        <w:gridCol w:w="1285"/>
        <w:gridCol w:w="1017"/>
        <w:gridCol w:w="1158"/>
        <w:gridCol w:w="1178"/>
      </w:tblGrid>
      <w:tr w:rsidR="00EB7E22" w:rsidRPr="00EB7E22" w14:paraId="77C10288" w14:textId="77777777" w:rsidTr="00EB7E22">
        <w:trPr>
          <w:trHeight w:val="175"/>
        </w:trPr>
        <w:tc>
          <w:tcPr>
            <w:tcW w:w="1225" w:type="dxa"/>
            <w:hideMark/>
          </w:tcPr>
          <w:p w14:paraId="3F58A04E" w14:textId="77777777" w:rsidR="009C154B" w:rsidRPr="000318D3" w:rsidRDefault="009C154B" w:rsidP="00EB7E22">
            <w:pPr>
              <w:jc w:val="center"/>
              <w:rPr>
                <w:rFonts w:ascii="Verdana" w:eastAsia="Times New Roman" w:hAnsi="Verdana" w:cs="Times New Roman"/>
                <w:b/>
                <w:bCs/>
                <w:color w:val="333333"/>
                <w:sz w:val="15"/>
                <w:szCs w:val="15"/>
              </w:rPr>
            </w:pPr>
            <w:r w:rsidRPr="000318D3">
              <w:rPr>
                <w:rFonts w:ascii="Verdana" w:eastAsia="Times New Roman" w:hAnsi="Verdana" w:cs="Times New Roman"/>
                <w:b/>
                <w:bCs/>
                <w:color w:val="333333"/>
                <w:sz w:val="15"/>
                <w:szCs w:val="15"/>
              </w:rPr>
              <w:t>Variables</w:t>
            </w:r>
          </w:p>
        </w:tc>
        <w:tc>
          <w:tcPr>
            <w:tcW w:w="2993" w:type="dxa"/>
            <w:hideMark/>
          </w:tcPr>
          <w:p w14:paraId="460AAFF2" w14:textId="77777777" w:rsidR="009C154B" w:rsidRPr="000318D3" w:rsidRDefault="009C154B" w:rsidP="00EB7E22">
            <w:pPr>
              <w:jc w:val="center"/>
              <w:rPr>
                <w:rFonts w:ascii="Verdana" w:eastAsia="Times New Roman" w:hAnsi="Verdana" w:cs="Times New Roman"/>
                <w:b/>
                <w:bCs/>
                <w:color w:val="333333"/>
                <w:sz w:val="15"/>
                <w:szCs w:val="15"/>
              </w:rPr>
            </w:pPr>
            <w:r w:rsidRPr="000318D3">
              <w:rPr>
                <w:rFonts w:ascii="Verdana" w:eastAsia="Times New Roman" w:hAnsi="Verdana" w:cs="Times New Roman"/>
                <w:b/>
                <w:bCs/>
                <w:color w:val="333333"/>
                <w:sz w:val="15"/>
                <w:szCs w:val="15"/>
              </w:rPr>
              <w:t>Description</w:t>
            </w:r>
          </w:p>
        </w:tc>
        <w:tc>
          <w:tcPr>
            <w:tcW w:w="1065" w:type="dxa"/>
            <w:hideMark/>
          </w:tcPr>
          <w:p w14:paraId="230CA810" w14:textId="77777777" w:rsidR="009C154B" w:rsidRPr="000318D3" w:rsidRDefault="009C154B" w:rsidP="00EB7E22">
            <w:pPr>
              <w:jc w:val="center"/>
              <w:rPr>
                <w:rFonts w:ascii="Verdana" w:eastAsia="Times New Roman" w:hAnsi="Verdana" w:cs="Times New Roman"/>
                <w:b/>
                <w:bCs/>
                <w:color w:val="333333"/>
                <w:sz w:val="15"/>
                <w:szCs w:val="15"/>
              </w:rPr>
            </w:pPr>
            <w:r w:rsidRPr="000318D3">
              <w:rPr>
                <w:rFonts w:ascii="Verdana" w:eastAsia="Times New Roman" w:hAnsi="Verdana" w:cs="Times New Roman"/>
                <w:b/>
                <w:bCs/>
                <w:color w:val="333333"/>
                <w:sz w:val="15"/>
                <w:szCs w:val="15"/>
              </w:rPr>
              <w:t>Mean</w:t>
            </w:r>
          </w:p>
        </w:tc>
        <w:tc>
          <w:tcPr>
            <w:tcW w:w="1162" w:type="dxa"/>
            <w:hideMark/>
          </w:tcPr>
          <w:p w14:paraId="37983CCA" w14:textId="77777777" w:rsidR="009C154B" w:rsidRPr="000318D3" w:rsidRDefault="009C154B" w:rsidP="00EB7E22">
            <w:pPr>
              <w:jc w:val="center"/>
              <w:rPr>
                <w:rFonts w:ascii="Verdana" w:eastAsia="Times New Roman" w:hAnsi="Verdana" w:cs="Times New Roman"/>
                <w:b/>
                <w:bCs/>
                <w:color w:val="333333"/>
                <w:sz w:val="15"/>
                <w:szCs w:val="15"/>
              </w:rPr>
            </w:pPr>
            <w:r w:rsidRPr="000318D3">
              <w:rPr>
                <w:rFonts w:ascii="Verdana" w:eastAsia="Times New Roman" w:hAnsi="Verdana" w:cs="Times New Roman"/>
                <w:b/>
                <w:bCs/>
                <w:color w:val="333333"/>
                <w:sz w:val="15"/>
                <w:szCs w:val="15"/>
              </w:rPr>
              <w:t>Maximum</w:t>
            </w:r>
          </w:p>
        </w:tc>
        <w:tc>
          <w:tcPr>
            <w:tcW w:w="960" w:type="dxa"/>
            <w:hideMark/>
          </w:tcPr>
          <w:p w14:paraId="6660D617" w14:textId="77777777" w:rsidR="009C154B" w:rsidRPr="000318D3" w:rsidRDefault="009C154B" w:rsidP="00EB7E22">
            <w:pPr>
              <w:jc w:val="center"/>
              <w:rPr>
                <w:rFonts w:ascii="Verdana" w:eastAsia="Times New Roman" w:hAnsi="Verdana" w:cs="Times New Roman"/>
                <w:b/>
                <w:bCs/>
                <w:color w:val="333333"/>
                <w:sz w:val="15"/>
                <w:szCs w:val="15"/>
              </w:rPr>
            </w:pPr>
            <w:r w:rsidRPr="000318D3">
              <w:rPr>
                <w:rFonts w:ascii="Verdana" w:eastAsia="Times New Roman" w:hAnsi="Verdana" w:cs="Times New Roman"/>
                <w:b/>
                <w:bCs/>
                <w:color w:val="333333"/>
                <w:sz w:val="15"/>
                <w:szCs w:val="15"/>
              </w:rPr>
              <w:t>Minimum</w:t>
            </w:r>
          </w:p>
        </w:tc>
        <w:tc>
          <w:tcPr>
            <w:tcW w:w="1047" w:type="dxa"/>
            <w:hideMark/>
          </w:tcPr>
          <w:p w14:paraId="2C021FDA" w14:textId="77777777" w:rsidR="009C154B" w:rsidRPr="000318D3" w:rsidRDefault="009C154B" w:rsidP="00EB7E22">
            <w:pPr>
              <w:jc w:val="center"/>
              <w:rPr>
                <w:rFonts w:ascii="Verdana" w:eastAsia="Times New Roman" w:hAnsi="Verdana" w:cs="Times New Roman"/>
                <w:b/>
                <w:bCs/>
                <w:color w:val="333333"/>
                <w:sz w:val="15"/>
                <w:szCs w:val="15"/>
              </w:rPr>
            </w:pPr>
            <w:r w:rsidRPr="000318D3">
              <w:rPr>
                <w:rFonts w:ascii="Verdana" w:eastAsia="Times New Roman" w:hAnsi="Verdana" w:cs="Times New Roman"/>
                <w:b/>
                <w:bCs/>
                <w:color w:val="333333"/>
                <w:sz w:val="15"/>
                <w:szCs w:val="15"/>
              </w:rPr>
              <w:t>Correlation</w:t>
            </w:r>
          </w:p>
        </w:tc>
        <w:tc>
          <w:tcPr>
            <w:tcW w:w="1065" w:type="dxa"/>
          </w:tcPr>
          <w:p w14:paraId="688CAC75" w14:textId="77777777" w:rsidR="009C154B" w:rsidRPr="00EB7E22" w:rsidRDefault="009C154B" w:rsidP="00EB7E22">
            <w:pPr>
              <w:jc w:val="center"/>
              <w:rPr>
                <w:rFonts w:ascii="Verdana" w:eastAsia="Times New Roman" w:hAnsi="Verdana" w:cs="Times New Roman"/>
                <w:b/>
                <w:bCs/>
                <w:color w:val="333333"/>
                <w:sz w:val="15"/>
                <w:szCs w:val="15"/>
              </w:rPr>
            </w:pPr>
            <w:r w:rsidRPr="000318D3">
              <w:rPr>
                <w:rFonts w:ascii="Verdana" w:eastAsia="Times New Roman" w:hAnsi="Verdana" w:cs="Times New Roman"/>
                <w:b/>
                <w:bCs/>
                <w:color w:val="333333"/>
                <w:sz w:val="15"/>
                <w:szCs w:val="15"/>
              </w:rPr>
              <w:t>Std. Dev.</w:t>
            </w:r>
          </w:p>
        </w:tc>
      </w:tr>
      <w:tr w:rsidR="00EB7E22" w:rsidRPr="00EB7E22" w14:paraId="64353A4A" w14:textId="77777777" w:rsidTr="00EB7E22">
        <w:trPr>
          <w:trHeight w:val="350"/>
        </w:trPr>
        <w:tc>
          <w:tcPr>
            <w:tcW w:w="1225" w:type="dxa"/>
            <w:hideMark/>
          </w:tcPr>
          <w:p w14:paraId="428B092D" w14:textId="77777777" w:rsidR="009C154B" w:rsidRPr="000318D3" w:rsidRDefault="009C154B" w:rsidP="00EB7E22">
            <w:pPr>
              <w:jc w:val="center"/>
              <w:rPr>
                <w:rFonts w:ascii="Verdana" w:eastAsia="Times New Roman" w:hAnsi="Verdana" w:cs="Times New Roman"/>
                <w:b/>
                <w:bCs/>
                <w:color w:val="333333"/>
                <w:sz w:val="15"/>
                <w:szCs w:val="15"/>
              </w:rPr>
            </w:pPr>
            <w:r w:rsidRPr="000318D3">
              <w:rPr>
                <w:rFonts w:ascii="Verdana" w:eastAsia="Times New Roman" w:hAnsi="Verdana" w:cs="Times New Roman"/>
                <w:b/>
                <w:bCs/>
                <w:color w:val="333333"/>
                <w:sz w:val="15"/>
                <w:szCs w:val="15"/>
              </w:rPr>
              <w:t>PHE</w:t>
            </w:r>
          </w:p>
        </w:tc>
        <w:tc>
          <w:tcPr>
            <w:tcW w:w="2993" w:type="dxa"/>
            <w:hideMark/>
          </w:tcPr>
          <w:p w14:paraId="6AEBE13B" w14:textId="77777777" w:rsidR="009C154B" w:rsidRPr="000318D3" w:rsidRDefault="009C154B" w:rsidP="00EB7E22">
            <w:pPr>
              <w:jc w:val="center"/>
              <w:rPr>
                <w:rFonts w:ascii="Verdana" w:eastAsia="Times New Roman" w:hAnsi="Verdana" w:cs="Times New Roman"/>
                <w:b/>
                <w:bCs/>
                <w:color w:val="333333"/>
                <w:sz w:val="15"/>
                <w:szCs w:val="15"/>
              </w:rPr>
            </w:pPr>
            <w:r w:rsidRPr="000318D3">
              <w:rPr>
                <w:rFonts w:ascii="Verdana" w:eastAsia="Times New Roman" w:hAnsi="Verdana" w:cs="Times New Roman"/>
                <w:b/>
                <w:bCs/>
                <w:color w:val="333333"/>
                <w:sz w:val="15"/>
                <w:szCs w:val="15"/>
              </w:rPr>
              <w:t>Public health expenditure as a percent of GSDP</w:t>
            </w:r>
          </w:p>
        </w:tc>
        <w:tc>
          <w:tcPr>
            <w:tcW w:w="1065" w:type="dxa"/>
            <w:hideMark/>
          </w:tcPr>
          <w:p w14:paraId="762C851F" w14:textId="77777777" w:rsidR="009C154B" w:rsidRPr="000318D3" w:rsidRDefault="009C154B" w:rsidP="00EB7E22">
            <w:pPr>
              <w:jc w:val="center"/>
              <w:rPr>
                <w:rFonts w:ascii="Verdana" w:eastAsia="Times New Roman" w:hAnsi="Verdana" w:cs="Times New Roman"/>
                <w:b/>
                <w:bCs/>
                <w:color w:val="333333"/>
                <w:sz w:val="15"/>
                <w:szCs w:val="15"/>
              </w:rPr>
            </w:pPr>
            <w:r w:rsidRPr="000318D3">
              <w:rPr>
                <w:rFonts w:ascii="Verdana" w:eastAsia="Times New Roman" w:hAnsi="Verdana" w:cs="Times New Roman"/>
                <w:b/>
                <w:bCs/>
                <w:color w:val="333333"/>
                <w:sz w:val="15"/>
                <w:szCs w:val="15"/>
              </w:rPr>
              <w:t>0.865</w:t>
            </w:r>
          </w:p>
        </w:tc>
        <w:tc>
          <w:tcPr>
            <w:tcW w:w="1162" w:type="dxa"/>
            <w:hideMark/>
          </w:tcPr>
          <w:p w14:paraId="24FBFDA9" w14:textId="77777777" w:rsidR="009C154B" w:rsidRPr="000318D3" w:rsidRDefault="009C154B" w:rsidP="00EB7E22">
            <w:pPr>
              <w:jc w:val="center"/>
              <w:rPr>
                <w:rFonts w:ascii="Verdana" w:eastAsia="Times New Roman" w:hAnsi="Verdana" w:cs="Times New Roman"/>
                <w:b/>
                <w:bCs/>
                <w:color w:val="333333"/>
                <w:sz w:val="15"/>
                <w:szCs w:val="15"/>
              </w:rPr>
            </w:pPr>
            <w:r w:rsidRPr="000318D3">
              <w:rPr>
                <w:rFonts w:ascii="Verdana" w:eastAsia="Times New Roman" w:hAnsi="Verdana" w:cs="Times New Roman"/>
                <w:b/>
                <w:bCs/>
                <w:color w:val="333333"/>
                <w:sz w:val="15"/>
                <w:szCs w:val="15"/>
              </w:rPr>
              <w:t>2.343</w:t>
            </w:r>
          </w:p>
        </w:tc>
        <w:tc>
          <w:tcPr>
            <w:tcW w:w="960" w:type="dxa"/>
            <w:hideMark/>
          </w:tcPr>
          <w:p w14:paraId="723EF88F" w14:textId="77777777" w:rsidR="009C154B" w:rsidRPr="000318D3" w:rsidRDefault="009C154B" w:rsidP="00EB7E22">
            <w:pPr>
              <w:jc w:val="center"/>
              <w:rPr>
                <w:rFonts w:ascii="Verdana" w:eastAsia="Times New Roman" w:hAnsi="Verdana" w:cs="Times New Roman"/>
                <w:b/>
                <w:bCs/>
                <w:color w:val="333333"/>
                <w:sz w:val="15"/>
                <w:szCs w:val="15"/>
              </w:rPr>
            </w:pPr>
            <w:r w:rsidRPr="000318D3">
              <w:rPr>
                <w:rFonts w:ascii="Verdana" w:eastAsia="Times New Roman" w:hAnsi="Verdana" w:cs="Times New Roman"/>
                <w:b/>
                <w:bCs/>
                <w:color w:val="333333"/>
                <w:sz w:val="15"/>
                <w:szCs w:val="15"/>
              </w:rPr>
              <w:t>0.378</w:t>
            </w:r>
          </w:p>
        </w:tc>
        <w:tc>
          <w:tcPr>
            <w:tcW w:w="1047" w:type="dxa"/>
            <w:hideMark/>
          </w:tcPr>
          <w:p w14:paraId="74D280AE" w14:textId="77777777" w:rsidR="009C154B" w:rsidRPr="000318D3" w:rsidRDefault="009C154B" w:rsidP="00EB7E22">
            <w:pPr>
              <w:jc w:val="center"/>
              <w:rPr>
                <w:rFonts w:ascii="Verdana" w:eastAsia="Times New Roman" w:hAnsi="Verdana" w:cs="Times New Roman"/>
                <w:b/>
                <w:bCs/>
                <w:color w:val="333333"/>
                <w:sz w:val="15"/>
                <w:szCs w:val="15"/>
              </w:rPr>
            </w:pPr>
            <w:r w:rsidRPr="000318D3">
              <w:rPr>
                <w:rFonts w:ascii="Verdana" w:eastAsia="Times New Roman" w:hAnsi="Verdana" w:cs="Times New Roman"/>
                <w:b/>
                <w:bCs/>
                <w:color w:val="333333"/>
                <w:sz w:val="15"/>
                <w:szCs w:val="15"/>
              </w:rPr>
              <w:t>1</w:t>
            </w:r>
          </w:p>
        </w:tc>
        <w:tc>
          <w:tcPr>
            <w:tcW w:w="1065" w:type="dxa"/>
          </w:tcPr>
          <w:p w14:paraId="4A9F816E" w14:textId="77777777" w:rsidR="009C154B" w:rsidRPr="00EB7E22" w:rsidRDefault="009C154B" w:rsidP="00EB7E22">
            <w:pPr>
              <w:jc w:val="center"/>
              <w:rPr>
                <w:rFonts w:ascii="Verdana" w:eastAsia="Times New Roman" w:hAnsi="Verdana" w:cs="Times New Roman"/>
                <w:b/>
                <w:bCs/>
                <w:color w:val="333333"/>
                <w:sz w:val="15"/>
                <w:szCs w:val="15"/>
              </w:rPr>
            </w:pPr>
            <w:r w:rsidRPr="000318D3">
              <w:rPr>
                <w:rFonts w:ascii="Verdana" w:eastAsia="Times New Roman" w:hAnsi="Verdana" w:cs="Times New Roman"/>
                <w:b/>
                <w:bCs/>
                <w:color w:val="333333"/>
                <w:sz w:val="15"/>
                <w:szCs w:val="15"/>
              </w:rPr>
              <w:t>0.302</w:t>
            </w:r>
          </w:p>
        </w:tc>
      </w:tr>
      <w:tr w:rsidR="00EB7E22" w:rsidRPr="00EB7E22" w14:paraId="56EB7322" w14:textId="77777777" w:rsidTr="00EB7E22">
        <w:trPr>
          <w:trHeight w:val="350"/>
        </w:trPr>
        <w:tc>
          <w:tcPr>
            <w:tcW w:w="1225" w:type="dxa"/>
            <w:hideMark/>
          </w:tcPr>
          <w:p w14:paraId="690A2736" w14:textId="77777777" w:rsidR="009C154B" w:rsidRPr="000318D3" w:rsidRDefault="009C154B" w:rsidP="00EB7E22">
            <w:pPr>
              <w:jc w:val="center"/>
              <w:rPr>
                <w:rFonts w:ascii="Verdana" w:eastAsia="Times New Roman" w:hAnsi="Verdana" w:cs="Times New Roman"/>
                <w:b/>
                <w:bCs/>
                <w:color w:val="333333"/>
                <w:sz w:val="15"/>
                <w:szCs w:val="15"/>
              </w:rPr>
            </w:pPr>
            <w:r w:rsidRPr="000318D3">
              <w:rPr>
                <w:rFonts w:ascii="Verdana" w:eastAsia="Times New Roman" w:hAnsi="Verdana" w:cs="Times New Roman"/>
                <w:b/>
                <w:bCs/>
                <w:color w:val="333333"/>
                <w:sz w:val="15"/>
                <w:szCs w:val="15"/>
              </w:rPr>
              <w:t>Per capita GSDP</w:t>
            </w:r>
          </w:p>
        </w:tc>
        <w:tc>
          <w:tcPr>
            <w:tcW w:w="2993" w:type="dxa"/>
            <w:hideMark/>
          </w:tcPr>
          <w:p w14:paraId="458F25E6" w14:textId="77777777" w:rsidR="009C154B" w:rsidRPr="000318D3" w:rsidRDefault="009C154B" w:rsidP="00EB7E22">
            <w:pPr>
              <w:jc w:val="center"/>
              <w:rPr>
                <w:rFonts w:ascii="Verdana" w:eastAsia="Times New Roman" w:hAnsi="Verdana" w:cs="Times New Roman"/>
                <w:b/>
                <w:bCs/>
                <w:color w:val="333333"/>
                <w:sz w:val="15"/>
                <w:szCs w:val="15"/>
              </w:rPr>
            </w:pPr>
            <w:r w:rsidRPr="000318D3">
              <w:rPr>
                <w:rFonts w:ascii="Verdana" w:eastAsia="Times New Roman" w:hAnsi="Verdana" w:cs="Times New Roman"/>
                <w:b/>
                <w:bCs/>
                <w:color w:val="333333"/>
                <w:sz w:val="15"/>
                <w:szCs w:val="15"/>
              </w:rPr>
              <w:t>Per capita Gross State Domestic Product (INR)</w:t>
            </w:r>
          </w:p>
        </w:tc>
        <w:tc>
          <w:tcPr>
            <w:tcW w:w="1065" w:type="dxa"/>
            <w:hideMark/>
          </w:tcPr>
          <w:p w14:paraId="1FADB5E2" w14:textId="77777777" w:rsidR="009C154B" w:rsidRPr="000318D3" w:rsidRDefault="009C154B" w:rsidP="00EB7E22">
            <w:pPr>
              <w:jc w:val="center"/>
              <w:rPr>
                <w:rFonts w:ascii="Verdana" w:eastAsia="Times New Roman" w:hAnsi="Verdana" w:cs="Times New Roman"/>
                <w:b/>
                <w:bCs/>
                <w:color w:val="333333"/>
                <w:sz w:val="15"/>
                <w:szCs w:val="15"/>
              </w:rPr>
            </w:pPr>
            <w:r w:rsidRPr="000318D3">
              <w:rPr>
                <w:rFonts w:ascii="Verdana" w:eastAsia="Times New Roman" w:hAnsi="Verdana" w:cs="Times New Roman"/>
                <w:b/>
                <w:bCs/>
                <w:color w:val="333333"/>
                <w:sz w:val="15"/>
                <w:szCs w:val="15"/>
              </w:rPr>
              <w:t>33,538.130</w:t>
            </w:r>
          </w:p>
        </w:tc>
        <w:tc>
          <w:tcPr>
            <w:tcW w:w="1162" w:type="dxa"/>
            <w:hideMark/>
          </w:tcPr>
          <w:p w14:paraId="662763F5" w14:textId="77777777" w:rsidR="009C154B" w:rsidRPr="000318D3" w:rsidRDefault="009C154B" w:rsidP="00EB7E22">
            <w:pPr>
              <w:jc w:val="center"/>
              <w:rPr>
                <w:rFonts w:ascii="Verdana" w:eastAsia="Times New Roman" w:hAnsi="Verdana" w:cs="Times New Roman"/>
                <w:b/>
                <w:bCs/>
                <w:color w:val="333333"/>
                <w:sz w:val="15"/>
                <w:szCs w:val="15"/>
              </w:rPr>
            </w:pPr>
            <w:r w:rsidRPr="000318D3">
              <w:rPr>
                <w:rFonts w:ascii="Verdana" w:eastAsia="Times New Roman" w:hAnsi="Verdana" w:cs="Times New Roman"/>
                <w:b/>
                <w:bCs/>
                <w:color w:val="333333"/>
                <w:sz w:val="15"/>
                <w:szCs w:val="15"/>
              </w:rPr>
              <w:t>150,413.600</w:t>
            </w:r>
          </w:p>
        </w:tc>
        <w:tc>
          <w:tcPr>
            <w:tcW w:w="960" w:type="dxa"/>
            <w:hideMark/>
          </w:tcPr>
          <w:p w14:paraId="1032AB70" w14:textId="77777777" w:rsidR="009C154B" w:rsidRPr="000318D3" w:rsidRDefault="009C154B" w:rsidP="00EB7E22">
            <w:pPr>
              <w:jc w:val="center"/>
              <w:rPr>
                <w:rFonts w:ascii="Verdana" w:eastAsia="Times New Roman" w:hAnsi="Verdana" w:cs="Times New Roman"/>
                <w:b/>
                <w:bCs/>
                <w:color w:val="333333"/>
                <w:sz w:val="15"/>
                <w:szCs w:val="15"/>
              </w:rPr>
            </w:pPr>
            <w:r w:rsidRPr="000318D3">
              <w:rPr>
                <w:rFonts w:ascii="Verdana" w:eastAsia="Times New Roman" w:hAnsi="Verdana" w:cs="Times New Roman"/>
                <w:b/>
                <w:bCs/>
                <w:color w:val="333333"/>
                <w:sz w:val="15"/>
                <w:szCs w:val="15"/>
              </w:rPr>
              <w:t>6204.665</w:t>
            </w:r>
          </w:p>
        </w:tc>
        <w:tc>
          <w:tcPr>
            <w:tcW w:w="1047" w:type="dxa"/>
            <w:hideMark/>
          </w:tcPr>
          <w:p w14:paraId="02E79DB7" w14:textId="77777777" w:rsidR="009C154B" w:rsidRPr="000318D3" w:rsidRDefault="009C154B" w:rsidP="00EB7E22">
            <w:pPr>
              <w:jc w:val="center"/>
              <w:rPr>
                <w:rFonts w:ascii="Verdana" w:eastAsia="Times New Roman" w:hAnsi="Verdana" w:cs="Times New Roman"/>
                <w:b/>
                <w:bCs/>
                <w:color w:val="333333"/>
                <w:sz w:val="15"/>
                <w:szCs w:val="15"/>
              </w:rPr>
            </w:pPr>
            <w:r w:rsidRPr="000318D3">
              <w:rPr>
                <w:rFonts w:ascii="Verdana" w:eastAsia="Times New Roman" w:hAnsi="Verdana" w:cs="Times New Roman"/>
                <w:b/>
                <w:bCs/>
                <w:color w:val="333333"/>
                <w:sz w:val="15"/>
                <w:szCs w:val="15"/>
              </w:rPr>
              <w:t>−0.154</w:t>
            </w:r>
          </w:p>
        </w:tc>
        <w:tc>
          <w:tcPr>
            <w:tcW w:w="1065" w:type="dxa"/>
          </w:tcPr>
          <w:p w14:paraId="0A9A2789" w14:textId="77777777" w:rsidR="009C154B" w:rsidRPr="00EB7E22" w:rsidRDefault="009C154B" w:rsidP="00EB7E22">
            <w:pPr>
              <w:jc w:val="center"/>
              <w:rPr>
                <w:rFonts w:ascii="Verdana" w:eastAsia="Times New Roman" w:hAnsi="Verdana" w:cs="Times New Roman"/>
                <w:b/>
                <w:bCs/>
                <w:color w:val="333333"/>
                <w:sz w:val="15"/>
                <w:szCs w:val="15"/>
              </w:rPr>
            </w:pPr>
            <w:r w:rsidRPr="000318D3">
              <w:rPr>
                <w:rFonts w:ascii="Verdana" w:eastAsia="Times New Roman" w:hAnsi="Verdana" w:cs="Times New Roman"/>
                <w:b/>
                <w:bCs/>
                <w:color w:val="333333"/>
                <w:sz w:val="15"/>
                <w:szCs w:val="15"/>
              </w:rPr>
              <w:t>23,303.370</w:t>
            </w:r>
          </w:p>
        </w:tc>
      </w:tr>
      <w:tr w:rsidR="00EB7E22" w:rsidRPr="00EB7E22" w14:paraId="6492F83B" w14:textId="77777777" w:rsidTr="00EB7E22">
        <w:trPr>
          <w:trHeight w:val="350"/>
        </w:trPr>
        <w:tc>
          <w:tcPr>
            <w:tcW w:w="1225" w:type="dxa"/>
            <w:hideMark/>
          </w:tcPr>
          <w:p w14:paraId="21ACD14F" w14:textId="77777777" w:rsidR="009C154B" w:rsidRPr="000318D3" w:rsidRDefault="009C154B" w:rsidP="00EB7E22">
            <w:pPr>
              <w:jc w:val="center"/>
              <w:rPr>
                <w:rFonts w:ascii="Verdana" w:eastAsia="Times New Roman" w:hAnsi="Verdana" w:cs="Times New Roman"/>
                <w:b/>
                <w:bCs/>
                <w:color w:val="333333"/>
                <w:sz w:val="15"/>
                <w:szCs w:val="15"/>
              </w:rPr>
            </w:pPr>
            <w:r w:rsidRPr="000318D3">
              <w:rPr>
                <w:rFonts w:ascii="Verdana" w:eastAsia="Times New Roman" w:hAnsi="Verdana" w:cs="Times New Roman"/>
                <w:b/>
                <w:bCs/>
                <w:color w:val="333333"/>
                <w:sz w:val="15"/>
                <w:szCs w:val="15"/>
              </w:rPr>
              <w:t>Revenue</w:t>
            </w:r>
          </w:p>
        </w:tc>
        <w:tc>
          <w:tcPr>
            <w:tcW w:w="2993" w:type="dxa"/>
            <w:hideMark/>
          </w:tcPr>
          <w:p w14:paraId="7DE698D0" w14:textId="77777777" w:rsidR="009C154B" w:rsidRPr="000318D3" w:rsidRDefault="009C154B" w:rsidP="00EB7E22">
            <w:pPr>
              <w:jc w:val="center"/>
              <w:rPr>
                <w:rFonts w:ascii="Verdana" w:eastAsia="Times New Roman" w:hAnsi="Verdana" w:cs="Times New Roman"/>
                <w:b/>
                <w:bCs/>
                <w:color w:val="333333"/>
                <w:sz w:val="15"/>
                <w:szCs w:val="15"/>
              </w:rPr>
            </w:pPr>
            <w:r w:rsidRPr="000318D3">
              <w:rPr>
                <w:rFonts w:ascii="Verdana" w:eastAsia="Times New Roman" w:hAnsi="Verdana" w:cs="Times New Roman"/>
                <w:b/>
                <w:bCs/>
                <w:color w:val="333333"/>
                <w:sz w:val="15"/>
                <w:szCs w:val="15"/>
              </w:rPr>
              <w:t>State’s own revenue as a percent of GSDP</w:t>
            </w:r>
          </w:p>
        </w:tc>
        <w:tc>
          <w:tcPr>
            <w:tcW w:w="1065" w:type="dxa"/>
            <w:hideMark/>
          </w:tcPr>
          <w:p w14:paraId="128170F5" w14:textId="77777777" w:rsidR="009C154B" w:rsidRPr="000318D3" w:rsidRDefault="009C154B" w:rsidP="00EB7E22">
            <w:pPr>
              <w:jc w:val="center"/>
              <w:rPr>
                <w:rFonts w:ascii="Verdana" w:eastAsia="Times New Roman" w:hAnsi="Verdana" w:cs="Times New Roman"/>
                <w:b/>
                <w:bCs/>
                <w:color w:val="333333"/>
                <w:sz w:val="15"/>
                <w:szCs w:val="15"/>
              </w:rPr>
            </w:pPr>
            <w:r w:rsidRPr="000318D3">
              <w:rPr>
                <w:rFonts w:ascii="Verdana" w:eastAsia="Times New Roman" w:hAnsi="Verdana" w:cs="Times New Roman"/>
                <w:b/>
                <w:bCs/>
                <w:color w:val="333333"/>
                <w:sz w:val="15"/>
                <w:szCs w:val="15"/>
              </w:rPr>
              <w:t>9.194</w:t>
            </w:r>
          </w:p>
        </w:tc>
        <w:tc>
          <w:tcPr>
            <w:tcW w:w="1162" w:type="dxa"/>
            <w:hideMark/>
          </w:tcPr>
          <w:p w14:paraId="0AD71131" w14:textId="77777777" w:rsidR="009C154B" w:rsidRPr="000318D3" w:rsidRDefault="009C154B" w:rsidP="00EB7E22">
            <w:pPr>
              <w:jc w:val="center"/>
              <w:rPr>
                <w:rFonts w:ascii="Verdana" w:eastAsia="Times New Roman" w:hAnsi="Verdana" w:cs="Times New Roman"/>
                <w:b/>
                <w:bCs/>
                <w:color w:val="333333"/>
                <w:sz w:val="15"/>
                <w:szCs w:val="15"/>
              </w:rPr>
            </w:pPr>
            <w:r w:rsidRPr="000318D3">
              <w:rPr>
                <w:rFonts w:ascii="Verdana" w:eastAsia="Times New Roman" w:hAnsi="Verdana" w:cs="Times New Roman"/>
                <w:b/>
                <w:bCs/>
                <w:color w:val="333333"/>
                <w:sz w:val="15"/>
                <w:szCs w:val="15"/>
              </w:rPr>
              <w:t>21.701</w:t>
            </w:r>
          </w:p>
        </w:tc>
        <w:tc>
          <w:tcPr>
            <w:tcW w:w="960" w:type="dxa"/>
            <w:hideMark/>
          </w:tcPr>
          <w:p w14:paraId="77BB4264" w14:textId="77777777" w:rsidR="009C154B" w:rsidRPr="000318D3" w:rsidRDefault="009C154B" w:rsidP="00EB7E22">
            <w:pPr>
              <w:jc w:val="center"/>
              <w:rPr>
                <w:rFonts w:ascii="Verdana" w:eastAsia="Times New Roman" w:hAnsi="Verdana" w:cs="Times New Roman"/>
                <w:b/>
                <w:bCs/>
                <w:color w:val="333333"/>
                <w:sz w:val="15"/>
                <w:szCs w:val="15"/>
              </w:rPr>
            </w:pPr>
            <w:r w:rsidRPr="000318D3">
              <w:rPr>
                <w:rFonts w:ascii="Verdana" w:eastAsia="Times New Roman" w:hAnsi="Verdana" w:cs="Times New Roman"/>
                <w:b/>
                <w:bCs/>
                <w:color w:val="333333"/>
                <w:sz w:val="15"/>
                <w:szCs w:val="15"/>
              </w:rPr>
              <w:t>4.199</w:t>
            </w:r>
          </w:p>
        </w:tc>
        <w:tc>
          <w:tcPr>
            <w:tcW w:w="1047" w:type="dxa"/>
            <w:hideMark/>
          </w:tcPr>
          <w:p w14:paraId="65EEDC01" w14:textId="77777777" w:rsidR="009C154B" w:rsidRPr="000318D3" w:rsidRDefault="009C154B" w:rsidP="00EB7E22">
            <w:pPr>
              <w:jc w:val="center"/>
              <w:rPr>
                <w:rFonts w:ascii="Verdana" w:eastAsia="Times New Roman" w:hAnsi="Verdana" w:cs="Times New Roman"/>
                <w:b/>
                <w:bCs/>
                <w:color w:val="333333"/>
                <w:sz w:val="15"/>
                <w:szCs w:val="15"/>
              </w:rPr>
            </w:pPr>
            <w:r w:rsidRPr="000318D3">
              <w:rPr>
                <w:rFonts w:ascii="Verdana" w:eastAsia="Times New Roman" w:hAnsi="Verdana" w:cs="Times New Roman"/>
                <w:b/>
                <w:bCs/>
                <w:color w:val="333333"/>
                <w:sz w:val="15"/>
                <w:szCs w:val="15"/>
              </w:rPr>
              <w:t>0.265</w:t>
            </w:r>
          </w:p>
        </w:tc>
        <w:tc>
          <w:tcPr>
            <w:tcW w:w="1065" w:type="dxa"/>
          </w:tcPr>
          <w:p w14:paraId="177AFEF0" w14:textId="77777777" w:rsidR="009C154B" w:rsidRPr="00EB7E22" w:rsidRDefault="009C154B" w:rsidP="00EB7E22">
            <w:pPr>
              <w:jc w:val="center"/>
              <w:rPr>
                <w:rFonts w:ascii="Verdana" w:eastAsia="Times New Roman" w:hAnsi="Verdana" w:cs="Times New Roman"/>
                <w:b/>
                <w:bCs/>
                <w:color w:val="333333"/>
                <w:sz w:val="15"/>
                <w:szCs w:val="15"/>
              </w:rPr>
            </w:pPr>
            <w:r w:rsidRPr="000318D3">
              <w:rPr>
                <w:rFonts w:ascii="Verdana" w:eastAsia="Times New Roman" w:hAnsi="Verdana" w:cs="Times New Roman"/>
                <w:b/>
                <w:bCs/>
                <w:color w:val="333333"/>
                <w:sz w:val="15"/>
                <w:szCs w:val="15"/>
              </w:rPr>
              <w:t>2.931</w:t>
            </w:r>
          </w:p>
        </w:tc>
      </w:tr>
      <w:tr w:rsidR="00EB7E22" w:rsidRPr="00EB7E22" w14:paraId="1810BECF" w14:textId="77777777" w:rsidTr="00EB7E22">
        <w:trPr>
          <w:trHeight w:val="350"/>
        </w:trPr>
        <w:tc>
          <w:tcPr>
            <w:tcW w:w="1225" w:type="dxa"/>
            <w:hideMark/>
          </w:tcPr>
          <w:p w14:paraId="7549CE5D" w14:textId="77777777" w:rsidR="009C154B" w:rsidRPr="000318D3" w:rsidRDefault="009C154B" w:rsidP="00EB7E22">
            <w:pPr>
              <w:jc w:val="center"/>
              <w:rPr>
                <w:rFonts w:ascii="Verdana" w:eastAsia="Times New Roman" w:hAnsi="Verdana" w:cs="Times New Roman"/>
                <w:b/>
                <w:bCs/>
                <w:color w:val="333333"/>
                <w:sz w:val="15"/>
                <w:szCs w:val="15"/>
              </w:rPr>
            </w:pPr>
            <w:r w:rsidRPr="000318D3">
              <w:rPr>
                <w:rFonts w:ascii="Verdana" w:eastAsia="Times New Roman" w:hAnsi="Verdana" w:cs="Times New Roman"/>
                <w:b/>
                <w:bCs/>
                <w:color w:val="333333"/>
                <w:sz w:val="15"/>
                <w:szCs w:val="15"/>
              </w:rPr>
              <w:t>Tax Revenue</w:t>
            </w:r>
          </w:p>
        </w:tc>
        <w:tc>
          <w:tcPr>
            <w:tcW w:w="2993" w:type="dxa"/>
            <w:hideMark/>
          </w:tcPr>
          <w:p w14:paraId="2B7ECB4F" w14:textId="77777777" w:rsidR="009C154B" w:rsidRPr="000318D3" w:rsidRDefault="009C154B" w:rsidP="00EB7E22">
            <w:pPr>
              <w:jc w:val="center"/>
              <w:rPr>
                <w:rFonts w:ascii="Verdana" w:eastAsia="Times New Roman" w:hAnsi="Verdana" w:cs="Times New Roman"/>
                <w:b/>
                <w:bCs/>
                <w:color w:val="333333"/>
                <w:sz w:val="15"/>
                <w:szCs w:val="15"/>
              </w:rPr>
            </w:pPr>
            <w:r w:rsidRPr="000318D3">
              <w:rPr>
                <w:rFonts w:ascii="Verdana" w:eastAsia="Times New Roman" w:hAnsi="Verdana" w:cs="Times New Roman"/>
                <w:b/>
                <w:bCs/>
                <w:color w:val="333333"/>
                <w:sz w:val="15"/>
                <w:szCs w:val="15"/>
              </w:rPr>
              <w:t>State’s tax revenue as a percent of GSDP</w:t>
            </w:r>
          </w:p>
        </w:tc>
        <w:tc>
          <w:tcPr>
            <w:tcW w:w="1065" w:type="dxa"/>
            <w:hideMark/>
          </w:tcPr>
          <w:p w14:paraId="3A4A638D" w14:textId="77777777" w:rsidR="009C154B" w:rsidRPr="000318D3" w:rsidRDefault="009C154B" w:rsidP="00EB7E22">
            <w:pPr>
              <w:jc w:val="center"/>
              <w:rPr>
                <w:rFonts w:ascii="Verdana" w:eastAsia="Times New Roman" w:hAnsi="Verdana" w:cs="Times New Roman"/>
                <w:b/>
                <w:bCs/>
                <w:color w:val="333333"/>
                <w:sz w:val="15"/>
                <w:szCs w:val="15"/>
              </w:rPr>
            </w:pPr>
            <w:r w:rsidRPr="000318D3">
              <w:rPr>
                <w:rFonts w:ascii="Verdana" w:eastAsia="Times New Roman" w:hAnsi="Verdana" w:cs="Times New Roman"/>
                <w:b/>
                <w:bCs/>
                <w:color w:val="333333"/>
                <w:sz w:val="15"/>
                <w:szCs w:val="15"/>
              </w:rPr>
              <w:t>6.938</w:t>
            </w:r>
          </w:p>
        </w:tc>
        <w:tc>
          <w:tcPr>
            <w:tcW w:w="1162" w:type="dxa"/>
            <w:hideMark/>
          </w:tcPr>
          <w:p w14:paraId="52D9E77F" w14:textId="77777777" w:rsidR="009C154B" w:rsidRPr="000318D3" w:rsidRDefault="009C154B" w:rsidP="00EB7E22">
            <w:pPr>
              <w:jc w:val="center"/>
              <w:rPr>
                <w:rFonts w:ascii="Verdana" w:eastAsia="Times New Roman" w:hAnsi="Verdana" w:cs="Times New Roman"/>
                <w:b/>
                <w:bCs/>
                <w:color w:val="333333"/>
                <w:sz w:val="15"/>
                <w:szCs w:val="15"/>
              </w:rPr>
            </w:pPr>
            <w:r w:rsidRPr="000318D3">
              <w:rPr>
                <w:rFonts w:ascii="Verdana" w:eastAsia="Times New Roman" w:hAnsi="Verdana" w:cs="Times New Roman"/>
                <w:b/>
                <w:bCs/>
                <w:color w:val="333333"/>
                <w:sz w:val="15"/>
                <w:szCs w:val="15"/>
              </w:rPr>
              <w:t>14.709</w:t>
            </w:r>
          </w:p>
        </w:tc>
        <w:tc>
          <w:tcPr>
            <w:tcW w:w="960" w:type="dxa"/>
            <w:hideMark/>
          </w:tcPr>
          <w:p w14:paraId="0C92D3B9" w14:textId="77777777" w:rsidR="009C154B" w:rsidRPr="000318D3" w:rsidRDefault="009C154B" w:rsidP="00EB7E22">
            <w:pPr>
              <w:jc w:val="center"/>
              <w:rPr>
                <w:rFonts w:ascii="Verdana" w:eastAsia="Times New Roman" w:hAnsi="Verdana" w:cs="Times New Roman"/>
                <w:b/>
                <w:bCs/>
                <w:color w:val="333333"/>
                <w:sz w:val="15"/>
                <w:szCs w:val="15"/>
              </w:rPr>
            </w:pPr>
            <w:r w:rsidRPr="000318D3">
              <w:rPr>
                <w:rFonts w:ascii="Verdana" w:eastAsia="Times New Roman" w:hAnsi="Verdana" w:cs="Times New Roman"/>
                <w:b/>
                <w:bCs/>
                <w:color w:val="333333"/>
                <w:sz w:val="15"/>
                <w:szCs w:val="15"/>
              </w:rPr>
              <w:t>3.447</w:t>
            </w:r>
          </w:p>
        </w:tc>
        <w:tc>
          <w:tcPr>
            <w:tcW w:w="1047" w:type="dxa"/>
            <w:hideMark/>
          </w:tcPr>
          <w:p w14:paraId="77D118DA" w14:textId="77777777" w:rsidR="009C154B" w:rsidRPr="000318D3" w:rsidRDefault="009C154B" w:rsidP="00EB7E22">
            <w:pPr>
              <w:jc w:val="center"/>
              <w:rPr>
                <w:rFonts w:ascii="Verdana" w:eastAsia="Times New Roman" w:hAnsi="Verdana" w:cs="Times New Roman"/>
                <w:b/>
                <w:bCs/>
                <w:color w:val="333333"/>
                <w:sz w:val="15"/>
                <w:szCs w:val="15"/>
              </w:rPr>
            </w:pPr>
            <w:r w:rsidRPr="000318D3">
              <w:rPr>
                <w:rFonts w:ascii="Verdana" w:eastAsia="Times New Roman" w:hAnsi="Verdana" w:cs="Times New Roman"/>
                <w:b/>
                <w:bCs/>
                <w:color w:val="333333"/>
                <w:sz w:val="15"/>
                <w:szCs w:val="15"/>
              </w:rPr>
              <w:t>0.138</w:t>
            </w:r>
          </w:p>
        </w:tc>
        <w:tc>
          <w:tcPr>
            <w:tcW w:w="1065" w:type="dxa"/>
          </w:tcPr>
          <w:p w14:paraId="2BB34953" w14:textId="77777777" w:rsidR="009C154B" w:rsidRPr="00EB7E22" w:rsidRDefault="009C154B" w:rsidP="00EB7E22">
            <w:pPr>
              <w:jc w:val="center"/>
              <w:rPr>
                <w:rFonts w:ascii="Verdana" w:eastAsia="Times New Roman" w:hAnsi="Verdana" w:cs="Times New Roman"/>
                <w:b/>
                <w:bCs/>
                <w:color w:val="333333"/>
                <w:sz w:val="15"/>
                <w:szCs w:val="15"/>
              </w:rPr>
            </w:pPr>
            <w:r w:rsidRPr="000318D3">
              <w:rPr>
                <w:rFonts w:ascii="Verdana" w:eastAsia="Times New Roman" w:hAnsi="Verdana" w:cs="Times New Roman"/>
                <w:b/>
                <w:bCs/>
                <w:color w:val="333333"/>
                <w:sz w:val="15"/>
                <w:szCs w:val="15"/>
              </w:rPr>
              <w:t>1.914</w:t>
            </w:r>
          </w:p>
        </w:tc>
      </w:tr>
      <w:tr w:rsidR="00EB7E22" w:rsidRPr="00EB7E22" w14:paraId="692F5DD5" w14:textId="77777777" w:rsidTr="00EB7E22">
        <w:trPr>
          <w:trHeight w:val="350"/>
        </w:trPr>
        <w:tc>
          <w:tcPr>
            <w:tcW w:w="1225" w:type="dxa"/>
            <w:hideMark/>
          </w:tcPr>
          <w:p w14:paraId="5574D3E1" w14:textId="77777777" w:rsidR="009C154B" w:rsidRPr="000318D3" w:rsidRDefault="009C154B" w:rsidP="00EB7E22">
            <w:pPr>
              <w:jc w:val="center"/>
              <w:rPr>
                <w:rFonts w:ascii="Verdana" w:eastAsia="Times New Roman" w:hAnsi="Verdana" w:cs="Times New Roman"/>
                <w:b/>
                <w:bCs/>
                <w:color w:val="333333"/>
                <w:sz w:val="15"/>
                <w:szCs w:val="15"/>
              </w:rPr>
            </w:pPr>
            <w:r w:rsidRPr="000318D3">
              <w:rPr>
                <w:rFonts w:ascii="Verdana" w:eastAsia="Times New Roman" w:hAnsi="Verdana" w:cs="Times New Roman"/>
                <w:b/>
                <w:bCs/>
                <w:color w:val="333333"/>
                <w:sz w:val="15"/>
                <w:szCs w:val="15"/>
              </w:rPr>
              <w:t>Non-Tax Revenue</w:t>
            </w:r>
          </w:p>
        </w:tc>
        <w:tc>
          <w:tcPr>
            <w:tcW w:w="2993" w:type="dxa"/>
            <w:hideMark/>
          </w:tcPr>
          <w:p w14:paraId="7DF13FEB" w14:textId="77777777" w:rsidR="009C154B" w:rsidRPr="000318D3" w:rsidRDefault="009C154B" w:rsidP="00EB7E22">
            <w:pPr>
              <w:jc w:val="center"/>
              <w:rPr>
                <w:rFonts w:ascii="Verdana" w:eastAsia="Times New Roman" w:hAnsi="Verdana" w:cs="Times New Roman"/>
                <w:b/>
                <w:bCs/>
                <w:color w:val="333333"/>
                <w:sz w:val="15"/>
                <w:szCs w:val="15"/>
              </w:rPr>
            </w:pPr>
            <w:r w:rsidRPr="000318D3">
              <w:rPr>
                <w:rFonts w:ascii="Verdana" w:eastAsia="Times New Roman" w:hAnsi="Verdana" w:cs="Times New Roman"/>
                <w:b/>
                <w:bCs/>
                <w:color w:val="333333"/>
                <w:sz w:val="15"/>
                <w:szCs w:val="15"/>
              </w:rPr>
              <w:t>State’s non-tax revenue as a percent of GSDP</w:t>
            </w:r>
          </w:p>
        </w:tc>
        <w:tc>
          <w:tcPr>
            <w:tcW w:w="1065" w:type="dxa"/>
            <w:hideMark/>
          </w:tcPr>
          <w:p w14:paraId="2B2E0AC4" w14:textId="77777777" w:rsidR="009C154B" w:rsidRPr="000318D3" w:rsidRDefault="009C154B" w:rsidP="00EB7E22">
            <w:pPr>
              <w:jc w:val="center"/>
              <w:rPr>
                <w:rFonts w:ascii="Verdana" w:eastAsia="Times New Roman" w:hAnsi="Verdana" w:cs="Times New Roman"/>
                <w:b/>
                <w:bCs/>
                <w:color w:val="333333"/>
                <w:sz w:val="15"/>
                <w:szCs w:val="15"/>
              </w:rPr>
            </w:pPr>
            <w:r w:rsidRPr="000318D3">
              <w:rPr>
                <w:rFonts w:ascii="Verdana" w:eastAsia="Times New Roman" w:hAnsi="Verdana" w:cs="Times New Roman"/>
                <w:b/>
                <w:bCs/>
                <w:color w:val="333333"/>
                <w:sz w:val="15"/>
                <w:szCs w:val="15"/>
              </w:rPr>
              <w:t>2.255</w:t>
            </w:r>
          </w:p>
        </w:tc>
        <w:tc>
          <w:tcPr>
            <w:tcW w:w="1162" w:type="dxa"/>
            <w:hideMark/>
          </w:tcPr>
          <w:p w14:paraId="205FC65D" w14:textId="77777777" w:rsidR="009C154B" w:rsidRPr="000318D3" w:rsidRDefault="009C154B" w:rsidP="00EB7E22">
            <w:pPr>
              <w:jc w:val="center"/>
              <w:rPr>
                <w:rFonts w:ascii="Verdana" w:eastAsia="Times New Roman" w:hAnsi="Verdana" w:cs="Times New Roman"/>
                <w:b/>
                <w:bCs/>
                <w:color w:val="333333"/>
                <w:sz w:val="15"/>
                <w:szCs w:val="15"/>
              </w:rPr>
            </w:pPr>
            <w:r w:rsidRPr="000318D3">
              <w:rPr>
                <w:rFonts w:ascii="Verdana" w:eastAsia="Times New Roman" w:hAnsi="Verdana" w:cs="Times New Roman"/>
                <w:b/>
                <w:bCs/>
                <w:color w:val="333333"/>
                <w:sz w:val="15"/>
                <w:szCs w:val="15"/>
              </w:rPr>
              <w:t>14.456</w:t>
            </w:r>
          </w:p>
        </w:tc>
        <w:tc>
          <w:tcPr>
            <w:tcW w:w="960" w:type="dxa"/>
            <w:hideMark/>
          </w:tcPr>
          <w:p w14:paraId="1549AA5D" w14:textId="77777777" w:rsidR="009C154B" w:rsidRPr="000318D3" w:rsidRDefault="009C154B" w:rsidP="00EB7E22">
            <w:pPr>
              <w:jc w:val="center"/>
              <w:rPr>
                <w:rFonts w:ascii="Verdana" w:eastAsia="Times New Roman" w:hAnsi="Verdana" w:cs="Times New Roman"/>
                <w:b/>
                <w:bCs/>
                <w:color w:val="333333"/>
                <w:sz w:val="15"/>
                <w:szCs w:val="15"/>
              </w:rPr>
            </w:pPr>
            <w:r w:rsidRPr="000318D3">
              <w:rPr>
                <w:rFonts w:ascii="Verdana" w:eastAsia="Times New Roman" w:hAnsi="Verdana" w:cs="Times New Roman"/>
                <w:b/>
                <w:bCs/>
                <w:color w:val="333333"/>
                <w:sz w:val="15"/>
                <w:szCs w:val="15"/>
              </w:rPr>
              <w:t>0.253</w:t>
            </w:r>
          </w:p>
        </w:tc>
        <w:tc>
          <w:tcPr>
            <w:tcW w:w="1047" w:type="dxa"/>
            <w:hideMark/>
          </w:tcPr>
          <w:p w14:paraId="46197DB0" w14:textId="77777777" w:rsidR="009C154B" w:rsidRPr="000318D3" w:rsidRDefault="009C154B" w:rsidP="00EB7E22">
            <w:pPr>
              <w:jc w:val="center"/>
              <w:rPr>
                <w:rFonts w:ascii="Verdana" w:eastAsia="Times New Roman" w:hAnsi="Verdana" w:cs="Times New Roman"/>
                <w:b/>
                <w:bCs/>
                <w:color w:val="333333"/>
                <w:sz w:val="15"/>
                <w:szCs w:val="15"/>
              </w:rPr>
            </w:pPr>
            <w:r w:rsidRPr="000318D3">
              <w:rPr>
                <w:rFonts w:ascii="Verdana" w:eastAsia="Times New Roman" w:hAnsi="Verdana" w:cs="Times New Roman"/>
                <w:b/>
                <w:bCs/>
                <w:color w:val="333333"/>
                <w:sz w:val="15"/>
                <w:szCs w:val="15"/>
              </w:rPr>
              <w:t>0.260</w:t>
            </w:r>
          </w:p>
        </w:tc>
        <w:tc>
          <w:tcPr>
            <w:tcW w:w="1065" w:type="dxa"/>
          </w:tcPr>
          <w:p w14:paraId="5AF7A2DA" w14:textId="77777777" w:rsidR="009C154B" w:rsidRPr="00EB7E22" w:rsidRDefault="009C154B" w:rsidP="00EB7E22">
            <w:pPr>
              <w:jc w:val="center"/>
              <w:rPr>
                <w:rFonts w:ascii="Verdana" w:eastAsia="Times New Roman" w:hAnsi="Verdana" w:cs="Times New Roman"/>
                <w:b/>
                <w:bCs/>
                <w:color w:val="333333"/>
                <w:sz w:val="15"/>
                <w:szCs w:val="15"/>
              </w:rPr>
            </w:pPr>
            <w:r w:rsidRPr="000318D3">
              <w:rPr>
                <w:rFonts w:ascii="Verdana" w:eastAsia="Times New Roman" w:hAnsi="Verdana" w:cs="Times New Roman"/>
                <w:b/>
                <w:bCs/>
                <w:color w:val="333333"/>
                <w:sz w:val="15"/>
                <w:szCs w:val="15"/>
              </w:rPr>
              <w:t>1.965</w:t>
            </w:r>
          </w:p>
        </w:tc>
      </w:tr>
      <w:tr w:rsidR="00EB7E22" w:rsidRPr="00EB7E22" w14:paraId="2BA41486" w14:textId="77777777" w:rsidTr="00EB7E22">
        <w:trPr>
          <w:trHeight w:val="175"/>
        </w:trPr>
        <w:tc>
          <w:tcPr>
            <w:tcW w:w="1225" w:type="dxa"/>
            <w:hideMark/>
          </w:tcPr>
          <w:p w14:paraId="592FB002" w14:textId="77777777" w:rsidR="009C154B" w:rsidRPr="000318D3" w:rsidRDefault="009C154B" w:rsidP="00EB7E22">
            <w:pPr>
              <w:jc w:val="center"/>
              <w:rPr>
                <w:rFonts w:ascii="Verdana" w:eastAsia="Times New Roman" w:hAnsi="Verdana" w:cs="Times New Roman"/>
                <w:b/>
                <w:bCs/>
                <w:color w:val="333333"/>
                <w:sz w:val="15"/>
                <w:szCs w:val="15"/>
              </w:rPr>
            </w:pPr>
            <w:r w:rsidRPr="000318D3">
              <w:rPr>
                <w:rFonts w:ascii="Verdana" w:eastAsia="Times New Roman" w:hAnsi="Verdana" w:cs="Times New Roman"/>
                <w:b/>
                <w:bCs/>
                <w:color w:val="333333"/>
                <w:sz w:val="15"/>
                <w:szCs w:val="15"/>
              </w:rPr>
              <w:t>Direct Tax</w:t>
            </w:r>
          </w:p>
        </w:tc>
        <w:tc>
          <w:tcPr>
            <w:tcW w:w="2993" w:type="dxa"/>
            <w:hideMark/>
          </w:tcPr>
          <w:p w14:paraId="158031B1" w14:textId="77777777" w:rsidR="009C154B" w:rsidRPr="000318D3" w:rsidRDefault="009C154B" w:rsidP="00EB7E22">
            <w:pPr>
              <w:jc w:val="center"/>
              <w:rPr>
                <w:rFonts w:ascii="Verdana" w:eastAsia="Times New Roman" w:hAnsi="Verdana" w:cs="Times New Roman"/>
                <w:b/>
                <w:bCs/>
                <w:color w:val="333333"/>
                <w:sz w:val="15"/>
                <w:szCs w:val="15"/>
              </w:rPr>
            </w:pPr>
            <w:r w:rsidRPr="000318D3">
              <w:rPr>
                <w:rFonts w:ascii="Verdana" w:eastAsia="Times New Roman" w:hAnsi="Verdana" w:cs="Times New Roman"/>
                <w:b/>
                <w:bCs/>
                <w:color w:val="333333"/>
                <w:sz w:val="15"/>
                <w:szCs w:val="15"/>
              </w:rPr>
              <w:t>Direct tax as a percent of GSDP</w:t>
            </w:r>
          </w:p>
        </w:tc>
        <w:tc>
          <w:tcPr>
            <w:tcW w:w="1065" w:type="dxa"/>
            <w:hideMark/>
          </w:tcPr>
          <w:p w14:paraId="71FF1B87" w14:textId="77777777" w:rsidR="009C154B" w:rsidRPr="000318D3" w:rsidRDefault="009C154B" w:rsidP="00EB7E22">
            <w:pPr>
              <w:jc w:val="center"/>
              <w:rPr>
                <w:rFonts w:ascii="Verdana" w:eastAsia="Times New Roman" w:hAnsi="Verdana" w:cs="Times New Roman"/>
                <w:b/>
                <w:bCs/>
                <w:color w:val="333333"/>
                <w:sz w:val="15"/>
                <w:szCs w:val="15"/>
              </w:rPr>
            </w:pPr>
            <w:r w:rsidRPr="000318D3">
              <w:rPr>
                <w:rFonts w:ascii="Verdana" w:eastAsia="Times New Roman" w:hAnsi="Verdana" w:cs="Times New Roman"/>
                <w:b/>
                <w:bCs/>
                <w:color w:val="333333"/>
                <w:sz w:val="15"/>
                <w:szCs w:val="15"/>
              </w:rPr>
              <w:t>0.829</w:t>
            </w:r>
          </w:p>
        </w:tc>
        <w:tc>
          <w:tcPr>
            <w:tcW w:w="1162" w:type="dxa"/>
            <w:hideMark/>
          </w:tcPr>
          <w:p w14:paraId="62D00E24" w14:textId="77777777" w:rsidR="009C154B" w:rsidRPr="000318D3" w:rsidRDefault="009C154B" w:rsidP="00EB7E22">
            <w:pPr>
              <w:jc w:val="center"/>
              <w:rPr>
                <w:rFonts w:ascii="Verdana" w:eastAsia="Times New Roman" w:hAnsi="Verdana" w:cs="Times New Roman"/>
                <w:b/>
                <w:bCs/>
                <w:color w:val="333333"/>
                <w:sz w:val="15"/>
                <w:szCs w:val="15"/>
              </w:rPr>
            </w:pPr>
            <w:r w:rsidRPr="000318D3">
              <w:rPr>
                <w:rFonts w:ascii="Verdana" w:eastAsia="Times New Roman" w:hAnsi="Verdana" w:cs="Times New Roman"/>
                <w:b/>
                <w:bCs/>
                <w:color w:val="333333"/>
                <w:sz w:val="15"/>
                <w:szCs w:val="15"/>
              </w:rPr>
              <w:t>1.972</w:t>
            </w:r>
          </w:p>
        </w:tc>
        <w:tc>
          <w:tcPr>
            <w:tcW w:w="960" w:type="dxa"/>
            <w:hideMark/>
          </w:tcPr>
          <w:p w14:paraId="62BB5DE8" w14:textId="77777777" w:rsidR="009C154B" w:rsidRPr="000318D3" w:rsidRDefault="009C154B" w:rsidP="00EB7E22">
            <w:pPr>
              <w:jc w:val="center"/>
              <w:rPr>
                <w:rFonts w:ascii="Verdana" w:eastAsia="Times New Roman" w:hAnsi="Verdana" w:cs="Times New Roman"/>
                <w:b/>
                <w:bCs/>
                <w:color w:val="333333"/>
                <w:sz w:val="15"/>
                <w:szCs w:val="15"/>
              </w:rPr>
            </w:pPr>
            <w:r w:rsidRPr="000318D3">
              <w:rPr>
                <w:rFonts w:ascii="Verdana" w:eastAsia="Times New Roman" w:hAnsi="Verdana" w:cs="Times New Roman"/>
                <w:b/>
                <w:bCs/>
                <w:color w:val="333333"/>
                <w:sz w:val="15"/>
                <w:szCs w:val="15"/>
              </w:rPr>
              <w:t>0.295</w:t>
            </w:r>
          </w:p>
        </w:tc>
        <w:tc>
          <w:tcPr>
            <w:tcW w:w="1047" w:type="dxa"/>
            <w:hideMark/>
          </w:tcPr>
          <w:p w14:paraId="490E7D86" w14:textId="77777777" w:rsidR="009C154B" w:rsidRPr="000318D3" w:rsidRDefault="009C154B" w:rsidP="00EB7E22">
            <w:pPr>
              <w:jc w:val="center"/>
              <w:rPr>
                <w:rFonts w:ascii="Verdana" w:eastAsia="Times New Roman" w:hAnsi="Verdana" w:cs="Times New Roman"/>
                <w:b/>
                <w:bCs/>
                <w:color w:val="333333"/>
                <w:sz w:val="15"/>
                <w:szCs w:val="15"/>
              </w:rPr>
            </w:pPr>
            <w:r w:rsidRPr="000318D3">
              <w:rPr>
                <w:rFonts w:ascii="Verdana" w:eastAsia="Times New Roman" w:hAnsi="Verdana" w:cs="Times New Roman"/>
                <w:b/>
                <w:bCs/>
                <w:color w:val="333333"/>
                <w:sz w:val="15"/>
                <w:szCs w:val="15"/>
              </w:rPr>
              <w:t>−0.132</w:t>
            </w:r>
          </w:p>
        </w:tc>
        <w:tc>
          <w:tcPr>
            <w:tcW w:w="1065" w:type="dxa"/>
          </w:tcPr>
          <w:p w14:paraId="4BF25B44" w14:textId="77777777" w:rsidR="009C154B" w:rsidRPr="00EB7E22" w:rsidRDefault="009C154B" w:rsidP="00EB7E22">
            <w:pPr>
              <w:jc w:val="center"/>
              <w:rPr>
                <w:rFonts w:ascii="Verdana" w:eastAsia="Times New Roman" w:hAnsi="Verdana" w:cs="Times New Roman"/>
                <w:b/>
                <w:bCs/>
                <w:color w:val="333333"/>
                <w:sz w:val="15"/>
                <w:szCs w:val="15"/>
              </w:rPr>
            </w:pPr>
            <w:r w:rsidRPr="000318D3">
              <w:rPr>
                <w:rFonts w:ascii="Verdana" w:eastAsia="Times New Roman" w:hAnsi="Verdana" w:cs="Times New Roman"/>
                <w:b/>
                <w:bCs/>
                <w:color w:val="333333"/>
                <w:sz w:val="15"/>
                <w:szCs w:val="15"/>
              </w:rPr>
              <w:t>0.320</w:t>
            </w:r>
          </w:p>
        </w:tc>
      </w:tr>
      <w:tr w:rsidR="00EB7E22" w:rsidRPr="00EB7E22" w14:paraId="2BD4B821" w14:textId="77777777" w:rsidTr="00EB7E22">
        <w:trPr>
          <w:trHeight w:val="160"/>
        </w:trPr>
        <w:tc>
          <w:tcPr>
            <w:tcW w:w="1225" w:type="dxa"/>
            <w:hideMark/>
          </w:tcPr>
          <w:p w14:paraId="50B423D5" w14:textId="77777777" w:rsidR="009C154B" w:rsidRPr="000318D3" w:rsidRDefault="009C154B" w:rsidP="00EB7E22">
            <w:pPr>
              <w:jc w:val="center"/>
              <w:rPr>
                <w:rFonts w:ascii="Verdana" w:eastAsia="Times New Roman" w:hAnsi="Verdana" w:cs="Times New Roman"/>
                <w:b/>
                <w:bCs/>
                <w:color w:val="333333"/>
                <w:sz w:val="15"/>
                <w:szCs w:val="15"/>
              </w:rPr>
            </w:pPr>
            <w:r w:rsidRPr="000318D3">
              <w:rPr>
                <w:rFonts w:ascii="Verdana" w:eastAsia="Times New Roman" w:hAnsi="Verdana" w:cs="Times New Roman"/>
                <w:b/>
                <w:bCs/>
                <w:color w:val="333333"/>
                <w:sz w:val="15"/>
                <w:szCs w:val="15"/>
              </w:rPr>
              <w:t>Indirect Tax</w:t>
            </w:r>
          </w:p>
        </w:tc>
        <w:tc>
          <w:tcPr>
            <w:tcW w:w="2993" w:type="dxa"/>
            <w:hideMark/>
          </w:tcPr>
          <w:p w14:paraId="29CF8356" w14:textId="77777777" w:rsidR="009C154B" w:rsidRPr="000318D3" w:rsidRDefault="009C154B" w:rsidP="00EB7E22">
            <w:pPr>
              <w:jc w:val="center"/>
              <w:rPr>
                <w:rFonts w:ascii="Verdana" w:eastAsia="Times New Roman" w:hAnsi="Verdana" w:cs="Times New Roman"/>
                <w:b/>
                <w:bCs/>
                <w:color w:val="333333"/>
                <w:sz w:val="15"/>
                <w:szCs w:val="15"/>
              </w:rPr>
            </w:pPr>
            <w:r w:rsidRPr="000318D3">
              <w:rPr>
                <w:rFonts w:ascii="Verdana" w:eastAsia="Times New Roman" w:hAnsi="Verdana" w:cs="Times New Roman"/>
                <w:b/>
                <w:bCs/>
                <w:color w:val="333333"/>
                <w:sz w:val="15"/>
                <w:szCs w:val="15"/>
              </w:rPr>
              <w:t>Indirect tax as a percent of GSDP</w:t>
            </w:r>
          </w:p>
        </w:tc>
        <w:tc>
          <w:tcPr>
            <w:tcW w:w="1065" w:type="dxa"/>
            <w:hideMark/>
          </w:tcPr>
          <w:p w14:paraId="18EE55BB" w14:textId="77777777" w:rsidR="009C154B" w:rsidRPr="000318D3" w:rsidRDefault="009C154B" w:rsidP="00EB7E22">
            <w:pPr>
              <w:jc w:val="center"/>
              <w:rPr>
                <w:rFonts w:ascii="Verdana" w:eastAsia="Times New Roman" w:hAnsi="Verdana" w:cs="Times New Roman"/>
                <w:b/>
                <w:bCs/>
                <w:color w:val="333333"/>
                <w:sz w:val="15"/>
                <w:szCs w:val="15"/>
              </w:rPr>
            </w:pPr>
            <w:r w:rsidRPr="000318D3">
              <w:rPr>
                <w:rFonts w:ascii="Verdana" w:eastAsia="Times New Roman" w:hAnsi="Verdana" w:cs="Times New Roman"/>
                <w:b/>
                <w:bCs/>
                <w:color w:val="333333"/>
                <w:sz w:val="15"/>
                <w:szCs w:val="15"/>
              </w:rPr>
              <w:t>6.109</w:t>
            </w:r>
          </w:p>
        </w:tc>
        <w:tc>
          <w:tcPr>
            <w:tcW w:w="1162" w:type="dxa"/>
            <w:hideMark/>
          </w:tcPr>
          <w:p w14:paraId="0A5BB876" w14:textId="77777777" w:rsidR="009C154B" w:rsidRPr="000318D3" w:rsidRDefault="009C154B" w:rsidP="00EB7E22">
            <w:pPr>
              <w:jc w:val="center"/>
              <w:rPr>
                <w:rFonts w:ascii="Verdana" w:eastAsia="Times New Roman" w:hAnsi="Verdana" w:cs="Times New Roman"/>
                <w:b/>
                <w:bCs/>
                <w:color w:val="333333"/>
                <w:sz w:val="15"/>
                <w:szCs w:val="15"/>
              </w:rPr>
            </w:pPr>
            <w:r w:rsidRPr="000318D3">
              <w:rPr>
                <w:rFonts w:ascii="Verdana" w:eastAsia="Times New Roman" w:hAnsi="Verdana" w:cs="Times New Roman"/>
                <w:b/>
                <w:bCs/>
                <w:color w:val="333333"/>
                <w:sz w:val="15"/>
                <w:szCs w:val="15"/>
              </w:rPr>
              <w:t>13.267</w:t>
            </w:r>
          </w:p>
        </w:tc>
        <w:tc>
          <w:tcPr>
            <w:tcW w:w="960" w:type="dxa"/>
            <w:hideMark/>
          </w:tcPr>
          <w:p w14:paraId="7BC02BF4" w14:textId="77777777" w:rsidR="009C154B" w:rsidRPr="000318D3" w:rsidRDefault="009C154B" w:rsidP="00EB7E22">
            <w:pPr>
              <w:jc w:val="center"/>
              <w:rPr>
                <w:rFonts w:ascii="Verdana" w:eastAsia="Times New Roman" w:hAnsi="Verdana" w:cs="Times New Roman"/>
                <w:b/>
                <w:bCs/>
                <w:color w:val="333333"/>
                <w:sz w:val="15"/>
                <w:szCs w:val="15"/>
              </w:rPr>
            </w:pPr>
            <w:r w:rsidRPr="000318D3">
              <w:rPr>
                <w:rFonts w:ascii="Verdana" w:eastAsia="Times New Roman" w:hAnsi="Verdana" w:cs="Times New Roman"/>
                <w:b/>
                <w:bCs/>
                <w:color w:val="333333"/>
                <w:sz w:val="15"/>
                <w:szCs w:val="15"/>
              </w:rPr>
              <w:t>3.129</w:t>
            </w:r>
          </w:p>
        </w:tc>
        <w:tc>
          <w:tcPr>
            <w:tcW w:w="1047" w:type="dxa"/>
            <w:hideMark/>
          </w:tcPr>
          <w:p w14:paraId="16632C79" w14:textId="77777777" w:rsidR="009C154B" w:rsidRPr="000318D3" w:rsidRDefault="009C154B" w:rsidP="00EB7E22">
            <w:pPr>
              <w:jc w:val="center"/>
              <w:rPr>
                <w:rFonts w:ascii="Verdana" w:eastAsia="Times New Roman" w:hAnsi="Verdana" w:cs="Times New Roman"/>
                <w:b/>
                <w:bCs/>
                <w:color w:val="333333"/>
                <w:sz w:val="15"/>
                <w:szCs w:val="15"/>
              </w:rPr>
            </w:pPr>
            <w:r w:rsidRPr="000318D3">
              <w:rPr>
                <w:rFonts w:ascii="Verdana" w:eastAsia="Times New Roman" w:hAnsi="Verdana" w:cs="Times New Roman"/>
                <w:b/>
                <w:bCs/>
                <w:color w:val="333333"/>
                <w:sz w:val="15"/>
                <w:szCs w:val="15"/>
              </w:rPr>
              <w:t>0.174</w:t>
            </w:r>
          </w:p>
        </w:tc>
        <w:tc>
          <w:tcPr>
            <w:tcW w:w="1065" w:type="dxa"/>
          </w:tcPr>
          <w:p w14:paraId="75ADE91B" w14:textId="77777777" w:rsidR="009C154B" w:rsidRPr="00EB7E22" w:rsidRDefault="009C154B" w:rsidP="00EB7E22">
            <w:pPr>
              <w:jc w:val="center"/>
              <w:rPr>
                <w:rFonts w:ascii="Verdana" w:eastAsia="Times New Roman" w:hAnsi="Verdana" w:cs="Times New Roman"/>
                <w:b/>
                <w:bCs/>
                <w:color w:val="333333"/>
                <w:sz w:val="15"/>
                <w:szCs w:val="15"/>
              </w:rPr>
            </w:pPr>
            <w:r w:rsidRPr="000318D3">
              <w:rPr>
                <w:rFonts w:ascii="Verdana" w:eastAsia="Times New Roman" w:hAnsi="Verdana" w:cs="Times New Roman"/>
                <w:b/>
                <w:bCs/>
                <w:color w:val="333333"/>
                <w:sz w:val="15"/>
                <w:szCs w:val="15"/>
              </w:rPr>
              <w:t>1.761</w:t>
            </w:r>
          </w:p>
        </w:tc>
      </w:tr>
      <w:tr w:rsidR="00EB7E22" w:rsidRPr="00EB7E22" w14:paraId="7BCC3FF3" w14:textId="77777777" w:rsidTr="00EB7E22">
        <w:trPr>
          <w:trHeight w:val="350"/>
        </w:trPr>
        <w:tc>
          <w:tcPr>
            <w:tcW w:w="1225" w:type="dxa"/>
            <w:hideMark/>
          </w:tcPr>
          <w:p w14:paraId="1AA8A5A1" w14:textId="77777777" w:rsidR="009C154B" w:rsidRPr="000318D3" w:rsidRDefault="009C154B" w:rsidP="00EB7E22">
            <w:pPr>
              <w:jc w:val="center"/>
              <w:rPr>
                <w:rFonts w:ascii="Verdana" w:eastAsia="Times New Roman" w:hAnsi="Verdana" w:cs="Times New Roman"/>
                <w:b/>
                <w:bCs/>
                <w:color w:val="333333"/>
                <w:sz w:val="15"/>
                <w:szCs w:val="15"/>
              </w:rPr>
            </w:pPr>
            <w:r w:rsidRPr="000318D3">
              <w:rPr>
                <w:rFonts w:ascii="Verdana" w:eastAsia="Times New Roman" w:hAnsi="Verdana" w:cs="Times New Roman"/>
                <w:b/>
                <w:bCs/>
                <w:color w:val="333333"/>
                <w:sz w:val="15"/>
                <w:szCs w:val="15"/>
              </w:rPr>
              <w:t>Domestic Debt</w:t>
            </w:r>
          </w:p>
        </w:tc>
        <w:tc>
          <w:tcPr>
            <w:tcW w:w="2993" w:type="dxa"/>
            <w:hideMark/>
          </w:tcPr>
          <w:p w14:paraId="52E6CA95" w14:textId="77777777" w:rsidR="009C154B" w:rsidRPr="000318D3" w:rsidRDefault="009C154B" w:rsidP="00EB7E22">
            <w:pPr>
              <w:jc w:val="center"/>
              <w:rPr>
                <w:rFonts w:ascii="Verdana" w:eastAsia="Times New Roman" w:hAnsi="Verdana" w:cs="Times New Roman"/>
                <w:b/>
                <w:bCs/>
                <w:color w:val="333333"/>
                <w:sz w:val="15"/>
                <w:szCs w:val="15"/>
              </w:rPr>
            </w:pPr>
            <w:r w:rsidRPr="000318D3">
              <w:rPr>
                <w:rFonts w:ascii="Verdana" w:eastAsia="Times New Roman" w:hAnsi="Verdana" w:cs="Times New Roman"/>
                <w:b/>
                <w:bCs/>
                <w:color w:val="333333"/>
                <w:sz w:val="15"/>
                <w:szCs w:val="15"/>
              </w:rPr>
              <w:t>Total outstanding liabilities as a percent of GSDP</w:t>
            </w:r>
          </w:p>
        </w:tc>
        <w:tc>
          <w:tcPr>
            <w:tcW w:w="1065" w:type="dxa"/>
            <w:hideMark/>
          </w:tcPr>
          <w:p w14:paraId="7AF69FB3" w14:textId="77777777" w:rsidR="009C154B" w:rsidRPr="000318D3" w:rsidRDefault="009C154B" w:rsidP="00EB7E22">
            <w:pPr>
              <w:jc w:val="center"/>
              <w:rPr>
                <w:rFonts w:ascii="Verdana" w:eastAsia="Times New Roman" w:hAnsi="Verdana" w:cs="Times New Roman"/>
                <w:b/>
                <w:bCs/>
                <w:color w:val="333333"/>
                <w:sz w:val="15"/>
                <w:szCs w:val="15"/>
              </w:rPr>
            </w:pPr>
            <w:r w:rsidRPr="000318D3">
              <w:rPr>
                <w:rFonts w:ascii="Verdana" w:eastAsia="Times New Roman" w:hAnsi="Verdana" w:cs="Times New Roman"/>
                <w:b/>
                <w:bCs/>
                <w:color w:val="333333"/>
                <w:sz w:val="15"/>
                <w:szCs w:val="15"/>
              </w:rPr>
              <w:t>32.042</w:t>
            </w:r>
          </w:p>
        </w:tc>
        <w:tc>
          <w:tcPr>
            <w:tcW w:w="1162" w:type="dxa"/>
            <w:hideMark/>
          </w:tcPr>
          <w:p w14:paraId="6259939B" w14:textId="77777777" w:rsidR="009C154B" w:rsidRPr="000318D3" w:rsidRDefault="009C154B" w:rsidP="00EB7E22">
            <w:pPr>
              <w:jc w:val="center"/>
              <w:rPr>
                <w:rFonts w:ascii="Verdana" w:eastAsia="Times New Roman" w:hAnsi="Verdana" w:cs="Times New Roman"/>
                <w:b/>
                <w:bCs/>
                <w:color w:val="333333"/>
                <w:sz w:val="15"/>
                <w:szCs w:val="15"/>
              </w:rPr>
            </w:pPr>
            <w:r w:rsidRPr="000318D3">
              <w:rPr>
                <w:rFonts w:ascii="Verdana" w:eastAsia="Times New Roman" w:hAnsi="Verdana" w:cs="Times New Roman"/>
                <w:b/>
                <w:bCs/>
                <w:color w:val="333333"/>
                <w:sz w:val="15"/>
                <w:szCs w:val="15"/>
              </w:rPr>
              <w:t>64.901</w:t>
            </w:r>
          </w:p>
        </w:tc>
        <w:tc>
          <w:tcPr>
            <w:tcW w:w="960" w:type="dxa"/>
            <w:hideMark/>
          </w:tcPr>
          <w:p w14:paraId="21808BA2" w14:textId="77777777" w:rsidR="009C154B" w:rsidRPr="000318D3" w:rsidRDefault="009C154B" w:rsidP="00EB7E22">
            <w:pPr>
              <w:jc w:val="center"/>
              <w:rPr>
                <w:rFonts w:ascii="Verdana" w:eastAsia="Times New Roman" w:hAnsi="Verdana" w:cs="Times New Roman"/>
                <w:b/>
                <w:bCs/>
                <w:color w:val="333333"/>
                <w:sz w:val="15"/>
                <w:szCs w:val="15"/>
              </w:rPr>
            </w:pPr>
            <w:r w:rsidRPr="000318D3">
              <w:rPr>
                <w:rFonts w:ascii="Verdana" w:eastAsia="Times New Roman" w:hAnsi="Verdana" w:cs="Times New Roman"/>
                <w:b/>
                <w:bCs/>
                <w:color w:val="333333"/>
                <w:sz w:val="15"/>
                <w:szCs w:val="15"/>
              </w:rPr>
              <w:t>15.128</w:t>
            </w:r>
          </w:p>
        </w:tc>
        <w:tc>
          <w:tcPr>
            <w:tcW w:w="1047" w:type="dxa"/>
            <w:hideMark/>
          </w:tcPr>
          <w:p w14:paraId="5B799606" w14:textId="77777777" w:rsidR="009C154B" w:rsidRPr="000318D3" w:rsidRDefault="009C154B" w:rsidP="00EB7E22">
            <w:pPr>
              <w:jc w:val="center"/>
              <w:rPr>
                <w:rFonts w:ascii="Verdana" w:eastAsia="Times New Roman" w:hAnsi="Verdana" w:cs="Times New Roman"/>
                <w:b/>
                <w:bCs/>
                <w:color w:val="333333"/>
                <w:sz w:val="15"/>
                <w:szCs w:val="15"/>
              </w:rPr>
            </w:pPr>
            <w:r w:rsidRPr="000318D3">
              <w:rPr>
                <w:rFonts w:ascii="Verdana" w:eastAsia="Times New Roman" w:hAnsi="Verdana" w:cs="Times New Roman"/>
                <w:b/>
                <w:bCs/>
                <w:color w:val="333333"/>
                <w:sz w:val="15"/>
                <w:szCs w:val="15"/>
              </w:rPr>
              <w:t>0.518</w:t>
            </w:r>
          </w:p>
        </w:tc>
        <w:tc>
          <w:tcPr>
            <w:tcW w:w="1065" w:type="dxa"/>
          </w:tcPr>
          <w:p w14:paraId="627D4BA7" w14:textId="77777777" w:rsidR="009C154B" w:rsidRPr="00EB7E22" w:rsidRDefault="009C154B" w:rsidP="00EB7E22">
            <w:pPr>
              <w:jc w:val="center"/>
              <w:rPr>
                <w:rFonts w:ascii="Verdana" w:eastAsia="Times New Roman" w:hAnsi="Verdana" w:cs="Times New Roman"/>
                <w:b/>
                <w:bCs/>
                <w:color w:val="333333"/>
                <w:sz w:val="15"/>
                <w:szCs w:val="15"/>
              </w:rPr>
            </w:pPr>
            <w:r w:rsidRPr="000318D3">
              <w:rPr>
                <w:rFonts w:ascii="Verdana" w:eastAsia="Times New Roman" w:hAnsi="Verdana" w:cs="Times New Roman"/>
                <w:b/>
                <w:bCs/>
                <w:color w:val="333333"/>
                <w:sz w:val="15"/>
                <w:szCs w:val="15"/>
              </w:rPr>
              <w:t>10.881</w:t>
            </w:r>
          </w:p>
        </w:tc>
      </w:tr>
      <w:tr w:rsidR="00EB7E22" w:rsidRPr="00EB7E22" w14:paraId="6667B3CB" w14:textId="77777777" w:rsidTr="00EB7E22">
        <w:trPr>
          <w:trHeight w:val="350"/>
        </w:trPr>
        <w:tc>
          <w:tcPr>
            <w:tcW w:w="1225" w:type="dxa"/>
            <w:hideMark/>
          </w:tcPr>
          <w:p w14:paraId="65BE37E6" w14:textId="77777777" w:rsidR="009C154B" w:rsidRPr="000318D3" w:rsidRDefault="009C154B" w:rsidP="00EB7E22">
            <w:pPr>
              <w:jc w:val="center"/>
              <w:rPr>
                <w:rFonts w:ascii="Verdana" w:eastAsia="Times New Roman" w:hAnsi="Verdana" w:cs="Times New Roman"/>
                <w:b/>
                <w:bCs/>
                <w:color w:val="333333"/>
                <w:sz w:val="15"/>
                <w:szCs w:val="15"/>
              </w:rPr>
            </w:pPr>
            <w:r w:rsidRPr="000318D3">
              <w:rPr>
                <w:rFonts w:ascii="Verdana" w:eastAsia="Times New Roman" w:hAnsi="Verdana" w:cs="Times New Roman"/>
                <w:b/>
                <w:bCs/>
                <w:color w:val="333333"/>
                <w:sz w:val="15"/>
                <w:szCs w:val="15"/>
              </w:rPr>
              <w:t>Fiscal Balance</w:t>
            </w:r>
          </w:p>
        </w:tc>
        <w:tc>
          <w:tcPr>
            <w:tcW w:w="2993" w:type="dxa"/>
            <w:hideMark/>
          </w:tcPr>
          <w:p w14:paraId="4D735EAD" w14:textId="77777777" w:rsidR="009C154B" w:rsidRPr="000318D3" w:rsidRDefault="009C154B" w:rsidP="00EB7E22">
            <w:pPr>
              <w:jc w:val="center"/>
              <w:rPr>
                <w:rFonts w:ascii="Verdana" w:eastAsia="Times New Roman" w:hAnsi="Verdana" w:cs="Times New Roman"/>
                <w:b/>
                <w:bCs/>
                <w:color w:val="333333"/>
                <w:sz w:val="15"/>
                <w:szCs w:val="15"/>
              </w:rPr>
            </w:pPr>
            <w:r w:rsidRPr="000318D3">
              <w:rPr>
                <w:rFonts w:ascii="Verdana" w:eastAsia="Times New Roman" w:hAnsi="Verdana" w:cs="Times New Roman"/>
                <w:b/>
                <w:bCs/>
                <w:color w:val="333333"/>
                <w:sz w:val="15"/>
                <w:szCs w:val="15"/>
              </w:rPr>
              <w:t>Gross fiscal deficit/surplus as a percent of GSDP</w:t>
            </w:r>
          </w:p>
        </w:tc>
        <w:tc>
          <w:tcPr>
            <w:tcW w:w="1065" w:type="dxa"/>
            <w:hideMark/>
          </w:tcPr>
          <w:p w14:paraId="5E03F0CE" w14:textId="77777777" w:rsidR="009C154B" w:rsidRPr="000318D3" w:rsidRDefault="009C154B" w:rsidP="00EB7E22">
            <w:pPr>
              <w:jc w:val="center"/>
              <w:rPr>
                <w:rFonts w:ascii="Verdana" w:eastAsia="Times New Roman" w:hAnsi="Verdana" w:cs="Times New Roman"/>
                <w:b/>
                <w:bCs/>
                <w:color w:val="333333"/>
                <w:sz w:val="15"/>
                <w:szCs w:val="15"/>
              </w:rPr>
            </w:pPr>
            <w:r w:rsidRPr="000318D3">
              <w:rPr>
                <w:rFonts w:ascii="Verdana" w:eastAsia="Times New Roman" w:hAnsi="Verdana" w:cs="Times New Roman"/>
                <w:b/>
                <w:bCs/>
                <w:color w:val="333333"/>
                <w:sz w:val="15"/>
                <w:szCs w:val="15"/>
              </w:rPr>
              <w:t>3.641</w:t>
            </w:r>
          </w:p>
        </w:tc>
        <w:tc>
          <w:tcPr>
            <w:tcW w:w="1162" w:type="dxa"/>
            <w:hideMark/>
          </w:tcPr>
          <w:p w14:paraId="583A067F" w14:textId="77777777" w:rsidR="009C154B" w:rsidRPr="000318D3" w:rsidRDefault="009C154B" w:rsidP="00EB7E22">
            <w:pPr>
              <w:jc w:val="center"/>
              <w:rPr>
                <w:rFonts w:ascii="Verdana" w:eastAsia="Times New Roman" w:hAnsi="Verdana" w:cs="Times New Roman"/>
                <w:b/>
                <w:bCs/>
                <w:color w:val="333333"/>
                <w:sz w:val="15"/>
                <w:szCs w:val="15"/>
              </w:rPr>
            </w:pPr>
            <w:r w:rsidRPr="000318D3">
              <w:rPr>
                <w:rFonts w:ascii="Verdana" w:eastAsia="Times New Roman" w:hAnsi="Verdana" w:cs="Times New Roman"/>
                <w:b/>
                <w:bCs/>
                <w:color w:val="333333"/>
                <w:sz w:val="15"/>
                <w:szCs w:val="15"/>
              </w:rPr>
              <w:t>11.527</w:t>
            </w:r>
          </w:p>
        </w:tc>
        <w:tc>
          <w:tcPr>
            <w:tcW w:w="960" w:type="dxa"/>
            <w:hideMark/>
          </w:tcPr>
          <w:p w14:paraId="4518130C" w14:textId="77777777" w:rsidR="009C154B" w:rsidRPr="000318D3" w:rsidRDefault="009C154B" w:rsidP="00EB7E22">
            <w:pPr>
              <w:jc w:val="center"/>
              <w:rPr>
                <w:rFonts w:ascii="Verdana" w:eastAsia="Times New Roman" w:hAnsi="Verdana" w:cs="Times New Roman"/>
                <w:b/>
                <w:bCs/>
                <w:color w:val="333333"/>
                <w:sz w:val="15"/>
                <w:szCs w:val="15"/>
              </w:rPr>
            </w:pPr>
            <w:r w:rsidRPr="000318D3">
              <w:rPr>
                <w:rFonts w:ascii="Verdana" w:eastAsia="Times New Roman" w:hAnsi="Verdana" w:cs="Times New Roman"/>
                <w:b/>
                <w:bCs/>
                <w:color w:val="333333"/>
                <w:sz w:val="15"/>
                <w:szCs w:val="15"/>
              </w:rPr>
              <w:t>−1.023</w:t>
            </w:r>
          </w:p>
        </w:tc>
        <w:tc>
          <w:tcPr>
            <w:tcW w:w="1047" w:type="dxa"/>
            <w:hideMark/>
          </w:tcPr>
          <w:p w14:paraId="479F9631" w14:textId="77777777" w:rsidR="009C154B" w:rsidRPr="000318D3" w:rsidRDefault="009C154B" w:rsidP="00EB7E22">
            <w:pPr>
              <w:jc w:val="center"/>
              <w:rPr>
                <w:rFonts w:ascii="Verdana" w:eastAsia="Times New Roman" w:hAnsi="Verdana" w:cs="Times New Roman"/>
                <w:b/>
                <w:bCs/>
                <w:color w:val="333333"/>
                <w:sz w:val="15"/>
                <w:szCs w:val="15"/>
              </w:rPr>
            </w:pPr>
            <w:r w:rsidRPr="000318D3">
              <w:rPr>
                <w:rFonts w:ascii="Verdana" w:eastAsia="Times New Roman" w:hAnsi="Verdana" w:cs="Times New Roman"/>
                <w:b/>
                <w:bCs/>
                <w:color w:val="333333"/>
                <w:sz w:val="15"/>
                <w:szCs w:val="15"/>
              </w:rPr>
              <w:t>0.460</w:t>
            </w:r>
          </w:p>
        </w:tc>
        <w:tc>
          <w:tcPr>
            <w:tcW w:w="1065" w:type="dxa"/>
          </w:tcPr>
          <w:p w14:paraId="50519FAE" w14:textId="77777777" w:rsidR="009C154B" w:rsidRPr="00EB7E22" w:rsidRDefault="009C154B" w:rsidP="00EB7E22">
            <w:pPr>
              <w:jc w:val="center"/>
              <w:rPr>
                <w:rFonts w:ascii="Verdana" w:eastAsia="Times New Roman" w:hAnsi="Verdana" w:cs="Times New Roman"/>
                <w:b/>
                <w:bCs/>
                <w:color w:val="333333"/>
                <w:sz w:val="15"/>
                <w:szCs w:val="15"/>
              </w:rPr>
            </w:pPr>
            <w:r w:rsidRPr="000318D3">
              <w:rPr>
                <w:rFonts w:ascii="Verdana" w:eastAsia="Times New Roman" w:hAnsi="Verdana" w:cs="Times New Roman"/>
                <w:b/>
                <w:bCs/>
                <w:color w:val="333333"/>
                <w:sz w:val="15"/>
                <w:szCs w:val="15"/>
              </w:rPr>
              <w:t>1.722</w:t>
            </w:r>
          </w:p>
        </w:tc>
      </w:tr>
      <w:tr w:rsidR="00EB7E22" w:rsidRPr="00EB7E22" w14:paraId="4543D903" w14:textId="77777777" w:rsidTr="00EB7E22">
        <w:trPr>
          <w:trHeight w:val="350"/>
        </w:trPr>
        <w:tc>
          <w:tcPr>
            <w:tcW w:w="1225" w:type="dxa"/>
            <w:hideMark/>
          </w:tcPr>
          <w:p w14:paraId="33696DEE" w14:textId="77777777" w:rsidR="009C154B" w:rsidRPr="000318D3" w:rsidRDefault="009C154B" w:rsidP="00EB7E22">
            <w:pPr>
              <w:jc w:val="center"/>
              <w:rPr>
                <w:rFonts w:ascii="Verdana" w:eastAsia="Times New Roman" w:hAnsi="Verdana" w:cs="Times New Roman"/>
                <w:b/>
                <w:bCs/>
                <w:color w:val="333333"/>
                <w:sz w:val="15"/>
                <w:szCs w:val="15"/>
              </w:rPr>
            </w:pPr>
            <w:r w:rsidRPr="000318D3">
              <w:rPr>
                <w:rFonts w:ascii="Verdana" w:eastAsia="Times New Roman" w:hAnsi="Verdana" w:cs="Times New Roman"/>
                <w:b/>
                <w:bCs/>
                <w:color w:val="333333"/>
                <w:sz w:val="15"/>
                <w:szCs w:val="15"/>
              </w:rPr>
              <w:t>Tax Devolution</w:t>
            </w:r>
          </w:p>
        </w:tc>
        <w:tc>
          <w:tcPr>
            <w:tcW w:w="2993" w:type="dxa"/>
            <w:hideMark/>
          </w:tcPr>
          <w:p w14:paraId="6EAB0E9D" w14:textId="77777777" w:rsidR="009C154B" w:rsidRPr="000318D3" w:rsidRDefault="009C154B" w:rsidP="00EB7E22">
            <w:pPr>
              <w:jc w:val="center"/>
              <w:rPr>
                <w:rFonts w:ascii="Verdana" w:eastAsia="Times New Roman" w:hAnsi="Verdana" w:cs="Times New Roman"/>
                <w:b/>
                <w:bCs/>
                <w:color w:val="333333"/>
                <w:sz w:val="15"/>
                <w:szCs w:val="15"/>
              </w:rPr>
            </w:pPr>
            <w:r w:rsidRPr="000318D3">
              <w:rPr>
                <w:rFonts w:ascii="Verdana" w:eastAsia="Times New Roman" w:hAnsi="Verdana" w:cs="Times New Roman"/>
                <w:b/>
                <w:bCs/>
                <w:color w:val="333333"/>
                <w:sz w:val="15"/>
                <w:szCs w:val="15"/>
              </w:rPr>
              <w:t>Central tax share to states (Crores)</w:t>
            </w:r>
          </w:p>
        </w:tc>
        <w:tc>
          <w:tcPr>
            <w:tcW w:w="1065" w:type="dxa"/>
            <w:hideMark/>
          </w:tcPr>
          <w:p w14:paraId="335C7DFE" w14:textId="77777777" w:rsidR="009C154B" w:rsidRPr="000318D3" w:rsidRDefault="009C154B" w:rsidP="00EB7E22">
            <w:pPr>
              <w:jc w:val="center"/>
              <w:rPr>
                <w:rFonts w:ascii="Verdana" w:eastAsia="Times New Roman" w:hAnsi="Verdana" w:cs="Times New Roman"/>
                <w:b/>
                <w:bCs/>
                <w:color w:val="333333"/>
                <w:sz w:val="15"/>
                <w:szCs w:val="15"/>
              </w:rPr>
            </w:pPr>
            <w:r w:rsidRPr="000318D3">
              <w:rPr>
                <w:rFonts w:ascii="Verdana" w:eastAsia="Times New Roman" w:hAnsi="Verdana" w:cs="Times New Roman"/>
                <w:b/>
                <w:bCs/>
                <w:color w:val="333333"/>
                <w:sz w:val="15"/>
                <w:szCs w:val="15"/>
              </w:rPr>
              <w:t>4959.072</w:t>
            </w:r>
          </w:p>
        </w:tc>
        <w:tc>
          <w:tcPr>
            <w:tcW w:w="1162" w:type="dxa"/>
            <w:hideMark/>
          </w:tcPr>
          <w:p w14:paraId="7E5A54E8" w14:textId="77777777" w:rsidR="009C154B" w:rsidRPr="000318D3" w:rsidRDefault="009C154B" w:rsidP="00EB7E22">
            <w:pPr>
              <w:jc w:val="center"/>
              <w:rPr>
                <w:rFonts w:ascii="Verdana" w:eastAsia="Times New Roman" w:hAnsi="Verdana" w:cs="Times New Roman"/>
                <w:b/>
                <w:bCs/>
                <w:color w:val="333333"/>
                <w:sz w:val="15"/>
                <w:szCs w:val="15"/>
              </w:rPr>
            </w:pPr>
            <w:r w:rsidRPr="000318D3">
              <w:rPr>
                <w:rFonts w:ascii="Verdana" w:eastAsia="Times New Roman" w:hAnsi="Verdana" w:cs="Times New Roman"/>
                <w:b/>
                <w:bCs/>
                <w:color w:val="333333"/>
                <w:sz w:val="15"/>
                <w:szCs w:val="15"/>
              </w:rPr>
              <w:t>38,035.490</w:t>
            </w:r>
          </w:p>
        </w:tc>
        <w:tc>
          <w:tcPr>
            <w:tcW w:w="960" w:type="dxa"/>
            <w:hideMark/>
          </w:tcPr>
          <w:p w14:paraId="6A784E1A" w14:textId="77777777" w:rsidR="009C154B" w:rsidRPr="000318D3" w:rsidRDefault="009C154B" w:rsidP="00EB7E22">
            <w:pPr>
              <w:jc w:val="center"/>
              <w:rPr>
                <w:rFonts w:ascii="Verdana" w:eastAsia="Times New Roman" w:hAnsi="Verdana" w:cs="Times New Roman"/>
                <w:b/>
                <w:bCs/>
                <w:color w:val="333333"/>
                <w:sz w:val="15"/>
                <w:szCs w:val="15"/>
              </w:rPr>
            </w:pPr>
            <w:r w:rsidRPr="000318D3">
              <w:rPr>
                <w:rFonts w:ascii="Verdana" w:eastAsia="Times New Roman" w:hAnsi="Verdana" w:cs="Times New Roman"/>
                <w:b/>
                <w:bCs/>
                <w:color w:val="333333"/>
                <w:sz w:val="15"/>
                <w:szCs w:val="15"/>
              </w:rPr>
              <w:t>135.0335</w:t>
            </w:r>
          </w:p>
        </w:tc>
        <w:tc>
          <w:tcPr>
            <w:tcW w:w="1047" w:type="dxa"/>
            <w:hideMark/>
          </w:tcPr>
          <w:p w14:paraId="2459252C" w14:textId="77777777" w:rsidR="009C154B" w:rsidRPr="000318D3" w:rsidRDefault="009C154B" w:rsidP="00EB7E22">
            <w:pPr>
              <w:jc w:val="center"/>
              <w:rPr>
                <w:rFonts w:ascii="Verdana" w:eastAsia="Times New Roman" w:hAnsi="Verdana" w:cs="Times New Roman"/>
                <w:b/>
                <w:bCs/>
                <w:color w:val="333333"/>
                <w:sz w:val="15"/>
                <w:szCs w:val="15"/>
              </w:rPr>
            </w:pPr>
            <w:r w:rsidRPr="000318D3">
              <w:rPr>
                <w:rFonts w:ascii="Verdana" w:eastAsia="Times New Roman" w:hAnsi="Verdana" w:cs="Times New Roman"/>
                <w:b/>
                <w:bCs/>
                <w:color w:val="333333"/>
                <w:sz w:val="15"/>
                <w:szCs w:val="15"/>
              </w:rPr>
              <w:t>0.153</w:t>
            </w:r>
          </w:p>
        </w:tc>
        <w:tc>
          <w:tcPr>
            <w:tcW w:w="1065" w:type="dxa"/>
          </w:tcPr>
          <w:p w14:paraId="0AF3C7C7" w14:textId="77777777" w:rsidR="009C154B" w:rsidRPr="00EB7E22" w:rsidRDefault="009C154B" w:rsidP="00EB7E22">
            <w:pPr>
              <w:jc w:val="center"/>
              <w:rPr>
                <w:rFonts w:ascii="Verdana" w:eastAsia="Times New Roman" w:hAnsi="Verdana" w:cs="Times New Roman"/>
                <w:b/>
                <w:bCs/>
                <w:color w:val="333333"/>
                <w:sz w:val="15"/>
                <w:szCs w:val="15"/>
              </w:rPr>
            </w:pPr>
            <w:r w:rsidRPr="000318D3">
              <w:rPr>
                <w:rFonts w:ascii="Verdana" w:eastAsia="Times New Roman" w:hAnsi="Verdana" w:cs="Times New Roman"/>
                <w:b/>
                <w:bCs/>
                <w:color w:val="333333"/>
                <w:sz w:val="15"/>
                <w:szCs w:val="15"/>
              </w:rPr>
              <w:t>5198.402</w:t>
            </w:r>
          </w:p>
        </w:tc>
      </w:tr>
      <w:tr w:rsidR="00EB7E22" w:rsidRPr="00EB7E22" w14:paraId="1D3F0615" w14:textId="77777777" w:rsidTr="00EB7E22">
        <w:trPr>
          <w:trHeight w:val="350"/>
        </w:trPr>
        <w:tc>
          <w:tcPr>
            <w:tcW w:w="1225" w:type="dxa"/>
            <w:hideMark/>
          </w:tcPr>
          <w:p w14:paraId="56E91903" w14:textId="77777777" w:rsidR="009C154B" w:rsidRPr="000318D3" w:rsidRDefault="009C154B" w:rsidP="00EB7E22">
            <w:pPr>
              <w:jc w:val="center"/>
              <w:rPr>
                <w:rFonts w:ascii="Verdana" w:eastAsia="Times New Roman" w:hAnsi="Verdana" w:cs="Times New Roman"/>
                <w:b/>
                <w:bCs/>
                <w:color w:val="333333"/>
                <w:sz w:val="15"/>
                <w:szCs w:val="15"/>
              </w:rPr>
            </w:pPr>
            <w:r w:rsidRPr="000318D3">
              <w:rPr>
                <w:rFonts w:ascii="Verdana" w:eastAsia="Times New Roman" w:hAnsi="Verdana" w:cs="Times New Roman"/>
                <w:b/>
                <w:bCs/>
                <w:color w:val="333333"/>
                <w:sz w:val="15"/>
                <w:szCs w:val="15"/>
              </w:rPr>
              <w:t>Central Grants</w:t>
            </w:r>
          </w:p>
        </w:tc>
        <w:tc>
          <w:tcPr>
            <w:tcW w:w="2993" w:type="dxa"/>
            <w:hideMark/>
          </w:tcPr>
          <w:p w14:paraId="47716886" w14:textId="77777777" w:rsidR="009C154B" w:rsidRPr="000318D3" w:rsidRDefault="009C154B" w:rsidP="00EB7E22">
            <w:pPr>
              <w:jc w:val="center"/>
              <w:rPr>
                <w:rFonts w:ascii="Verdana" w:eastAsia="Times New Roman" w:hAnsi="Verdana" w:cs="Times New Roman"/>
                <w:b/>
                <w:bCs/>
                <w:color w:val="333333"/>
                <w:sz w:val="15"/>
                <w:szCs w:val="15"/>
              </w:rPr>
            </w:pPr>
            <w:r w:rsidRPr="000318D3">
              <w:rPr>
                <w:rFonts w:ascii="Verdana" w:eastAsia="Times New Roman" w:hAnsi="Verdana" w:cs="Times New Roman"/>
                <w:b/>
                <w:bCs/>
                <w:color w:val="333333"/>
                <w:sz w:val="15"/>
                <w:szCs w:val="15"/>
              </w:rPr>
              <w:t>Central grant-in aid to states (Crores)</w:t>
            </w:r>
          </w:p>
        </w:tc>
        <w:tc>
          <w:tcPr>
            <w:tcW w:w="1065" w:type="dxa"/>
            <w:hideMark/>
          </w:tcPr>
          <w:p w14:paraId="64C3ADC0" w14:textId="77777777" w:rsidR="009C154B" w:rsidRPr="000318D3" w:rsidRDefault="009C154B" w:rsidP="00EB7E22">
            <w:pPr>
              <w:jc w:val="center"/>
              <w:rPr>
                <w:rFonts w:ascii="Verdana" w:eastAsia="Times New Roman" w:hAnsi="Verdana" w:cs="Times New Roman"/>
                <w:b/>
                <w:bCs/>
                <w:color w:val="333333"/>
                <w:sz w:val="15"/>
                <w:szCs w:val="15"/>
              </w:rPr>
            </w:pPr>
            <w:r w:rsidRPr="000318D3">
              <w:rPr>
                <w:rFonts w:ascii="Verdana" w:eastAsia="Times New Roman" w:hAnsi="Verdana" w:cs="Times New Roman"/>
                <w:b/>
                <w:bCs/>
                <w:color w:val="333333"/>
                <w:sz w:val="15"/>
                <w:szCs w:val="15"/>
              </w:rPr>
              <w:t>2930.936</w:t>
            </w:r>
          </w:p>
        </w:tc>
        <w:tc>
          <w:tcPr>
            <w:tcW w:w="1162" w:type="dxa"/>
            <w:hideMark/>
          </w:tcPr>
          <w:p w14:paraId="41ED8D1F" w14:textId="77777777" w:rsidR="009C154B" w:rsidRPr="000318D3" w:rsidRDefault="009C154B" w:rsidP="00EB7E22">
            <w:pPr>
              <w:jc w:val="center"/>
              <w:rPr>
                <w:rFonts w:ascii="Verdana" w:eastAsia="Times New Roman" w:hAnsi="Verdana" w:cs="Times New Roman"/>
                <w:b/>
                <w:bCs/>
                <w:color w:val="333333"/>
                <w:sz w:val="15"/>
                <w:szCs w:val="15"/>
              </w:rPr>
            </w:pPr>
            <w:r w:rsidRPr="000318D3">
              <w:rPr>
                <w:rFonts w:ascii="Verdana" w:eastAsia="Times New Roman" w:hAnsi="Verdana" w:cs="Times New Roman"/>
                <w:b/>
                <w:bCs/>
                <w:color w:val="333333"/>
                <w:sz w:val="15"/>
                <w:szCs w:val="15"/>
              </w:rPr>
              <w:t>25,034.630</w:t>
            </w:r>
          </w:p>
        </w:tc>
        <w:tc>
          <w:tcPr>
            <w:tcW w:w="960" w:type="dxa"/>
            <w:hideMark/>
          </w:tcPr>
          <w:p w14:paraId="514BA717" w14:textId="77777777" w:rsidR="009C154B" w:rsidRPr="000318D3" w:rsidRDefault="009C154B" w:rsidP="00EB7E22">
            <w:pPr>
              <w:jc w:val="center"/>
              <w:rPr>
                <w:rFonts w:ascii="Verdana" w:eastAsia="Times New Roman" w:hAnsi="Verdana" w:cs="Times New Roman"/>
                <w:b/>
                <w:bCs/>
                <w:color w:val="333333"/>
                <w:sz w:val="15"/>
                <w:szCs w:val="15"/>
              </w:rPr>
            </w:pPr>
            <w:r w:rsidRPr="000318D3">
              <w:rPr>
                <w:rFonts w:ascii="Verdana" w:eastAsia="Times New Roman" w:hAnsi="Verdana" w:cs="Times New Roman"/>
                <w:b/>
                <w:bCs/>
                <w:color w:val="333333"/>
                <w:sz w:val="15"/>
                <w:szCs w:val="15"/>
              </w:rPr>
              <w:t>57.0344</w:t>
            </w:r>
          </w:p>
        </w:tc>
        <w:tc>
          <w:tcPr>
            <w:tcW w:w="1047" w:type="dxa"/>
            <w:hideMark/>
          </w:tcPr>
          <w:p w14:paraId="5E560C79" w14:textId="77777777" w:rsidR="009C154B" w:rsidRPr="000318D3" w:rsidRDefault="009C154B" w:rsidP="00EB7E22">
            <w:pPr>
              <w:jc w:val="center"/>
              <w:rPr>
                <w:rFonts w:ascii="Verdana" w:eastAsia="Times New Roman" w:hAnsi="Verdana" w:cs="Times New Roman"/>
                <w:b/>
                <w:bCs/>
                <w:color w:val="333333"/>
                <w:sz w:val="15"/>
                <w:szCs w:val="15"/>
              </w:rPr>
            </w:pPr>
            <w:r w:rsidRPr="000318D3">
              <w:rPr>
                <w:rFonts w:ascii="Verdana" w:eastAsia="Times New Roman" w:hAnsi="Verdana" w:cs="Times New Roman"/>
                <w:b/>
                <w:bCs/>
                <w:color w:val="333333"/>
                <w:sz w:val="15"/>
                <w:szCs w:val="15"/>
              </w:rPr>
              <w:t>0.040</w:t>
            </w:r>
          </w:p>
        </w:tc>
        <w:tc>
          <w:tcPr>
            <w:tcW w:w="1065" w:type="dxa"/>
          </w:tcPr>
          <w:p w14:paraId="2629661C" w14:textId="77777777" w:rsidR="009C154B" w:rsidRPr="00EB7E22" w:rsidRDefault="009C154B" w:rsidP="00EB7E22">
            <w:pPr>
              <w:jc w:val="center"/>
              <w:rPr>
                <w:rFonts w:ascii="Verdana" w:eastAsia="Times New Roman" w:hAnsi="Verdana" w:cs="Times New Roman"/>
                <w:b/>
                <w:bCs/>
                <w:color w:val="333333"/>
                <w:sz w:val="15"/>
                <w:szCs w:val="15"/>
              </w:rPr>
            </w:pPr>
            <w:r w:rsidRPr="000318D3">
              <w:rPr>
                <w:rFonts w:ascii="Verdana" w:eastAsia="Times New Roman" w:hAnsi="Verdana" w:cs="Times New Roman"/>
                <w:b/>
                <w:bCs/>
                <w:color w:val="333333"/>
                <w:sz w:val="15"/>
                <w:szCs w:val="15"/>
              </w:rPr>
              <w:t>2860.301</w:t>
            </w:r>
          </w:p>
        </w:tc>
      </w:tr>
    </w:tbl>
    <w:p w14:paraId="310951BA" w14:textId="4D912BBB" w:rsidR="00EB7E22" w:rsidRDefault="0072309B" w:rsidP="00D14F8C">
      <w:pPr>
        <w:spacing w:before="240" w:after="240" w:line="240" w:lineRule="auto"/>
        <w:rPr>
          <w:rFonts w:ascii="Arial" w:eastAsia="Times New Roman" w:hAnsi="Arial" w:cs="Arial"/>
          <w:color w:val="333333"/>
          <w:sz w:val="26"/>
          <w:szCs w:val="26"/>
        </w:rPr>
      </w:pPr>
      <w:r>
        <w:rPr>
          <w:rFonts w:ascii="Arial" w:eastAsia="Times New Roman" w:hAnsi="Arial" w:cs="Arial"/>
          <w:color w:val="333333"/>
          <w:sz w:val="26"/>
          <w:szCs w:val="26"/>
        </w:rPr>
        <w:t>Considering m</w:t>
      </w:r>
      <w:r w:rsidR="00D14F8C" w:rsidRPr="00D14F8C">
        <w:rPr>
          <w:rFonts w:ascii="Arial" w:eastAsia="Times New Roman" w:hAnsi="Arial" w:cs="Arial"/>
          <w:color w:val="333333"/>
          <w:sz w:val="26"/>
          <w:szCs w:val="26"/>
        </w:rPr>
        <w:t>ajor states</w:t>
      </w:r>
      <w:r>
        <w:rPr>
          <w:rFonts w:ascii="Arial" w:eastAsia="Times New Roman" w:hAnsi="Arial" w:cs="Arial"/>
          <w:color w:val="333333"/>
          <w:sz w:val="26"/>
          <w:szCs w:val="26"/>
        </w:rPr>
        <w:t xml:space="preserve"> </w:t>
      </w:r>
      <w:r w:rsidR="00D14F8C" w:rsidRPr="00D14F8C">
        <w:rPr>
          <w:rFonts w:ascii="Arial" w:eastAsia="Times New Roman" w:hAnsi="Arial" w:cs="Arial"/>
          <w:color w:val="333333"/>
          <w:sz w:val="26"/>
          <w:szCs w:val="26"/>
        </w:rPr>
        <w:t xml:space="preserve">of </w:t>
      </w:r>
      <w:r w:rsidRPr="00D14F8C">
        <w:rPr>
          <w:rFonts w:ascii="Arial" w:eastAsia="Times New Roman" w:hAnsi="Arial" w:cs="Arial"/>
          <w:color w:val="333333"/>
          <w:sz w:val="26"/>
          <w:szCs w:val="26"/>
        </w:rPr>
        <w:t>India,</w:t>
      </w:r>
      <w:r>
        <w:rPr>
          <w:rFonts w:ascii="Arial" w:eastAsia="Times New Roman" w:hAnsi="Arial" w:cs="Arial"/>
          <w:color w:val="333333"/>
          <w:sz w:val="26"/>
          <w:szCs w:val="26"/>
        </w:rPr>
        <w:t xml:space="preserve"> such </w:t>
      </w:r>
      <w:r w:rsidR="00A87792">
        <w:rPr>
          <w:rFonts w:ascii="Arial" w:eastAsia="Times New Roman" w:hAnsi="Arial" w:cs="Arial"/>
          <w:color w:val="333333"/>
          <w:sz w:val="26"/>
          <w:szCs w:val="26"/>
        </w:rPr>
        <w:t xml:space="preserve">as </w:t>
      </w:r>
      <w:r w:rsidR="00A87792" w:rsidRPr="00D14F8C">
        <w:rPr>
          <w:rFonts w:ascii="Arial" w:eastAsia="Times New Roman" w:hAnsi="Arial" w:cs="Arial"/>
          <w:color w:val="333333"/>
          <w:sz w:val="26"/>
          <w:szCs w:val="26"/>
        </w:rPr>
        <w:t>Andhra</w:t>
      </w:r>
      <w:r w:rsidR="00D14F8C" w:rsidRPr="00D14F8C">
        <w:rPr>
          <w:rFonts w:ascii="Arial" w:eastAsia="Times New Roman" w:hAnsi="Arial" w:cs="Arial"/>
          <w:color w:val="333333"/>
          <w:sz w:val="26"/>
          <w:szCs w:val="26"/>
        </w:rPr>
        <w:t xml:space="preserve"> Pradesh, Bihar, Goa, Gujarat, Haryana, Karnataka, Kerala, Madhya Pradesh, Maharashtra, Odisha, Punjab, Rajasthan, Tamil Nadu, Uttar Pradesh, and West Bengal, for the period</w:t>
      </w:r>
      <w:r>
        <w:rPr>
          <w:rFonts w:ascii="Arial" w:eastAsia="Times New Roman" w:hAnsi="Arial" w:cs="Arial"/>
          <w:color w:val="333333"/>
          <w:sz w:val="26"/>
          <w:szCs w:val="26"/>
        </w:rPr>
        <w:t xml:space="preserve"> of</w:t>
      </w:r>
      <w:r w:rsidR="00D14F8C" w:rsidRPr="00D14F8C">
        <w:rPr>
          <w:rFonts w:ascii="Arial" w:eastAsia="Times New Roman" w:hAnsi="Arial" w:cs="Arial"/>
          <w:color w:val="333333"/>
          <w:sz w:val="26"/>
          <w:szCs w:val="26"/>
        </w:rPr>
        <w:t xml:space="preserve"> 1990–2014. </w:t>
      </w:r>
      <w:r w:rsidR="00A87792">
        <w:rPr>
          <w:rFonts w:ascii="Arial" w:eastAsia="Times New Roman" w:hAnsi="Arial" w:cs="Arial"/>
          <w:color w:val="333333"/>
          <w:sz w:val="26"/>
          <w:szCs w:val="26"/>
        </w:rPr>
        <w:t xml:space="preserve">The table given below shows the </w:t>
      </w:r>
      <w:r w:rsidR="00D14F8C" w:rsidRPr="00D14F8C">
        <w:rPr>
          <w:rFonts w:ascii="Arial" w:eastAsia="Times New Roman" w:hAnsi="Arial" w:cs="Arial"/>
          <w:color w:val="333333"/>
          <w:sz w:val="26"/>
          <w:szCs w:val="26"/>
        </w:rPr>
        <w:t>statistics of variables that have been used in the empirical estimation</w:t>
      </w:r>
      <w:r w:rsidR="0041218C">
        <w:rPr>
          <w:rFonts w:ascii="Arial" w:eastAsia="Times New Roman" w:hAnsi="Arial" w:cs="Arial"/>
          <w:color w:val="333333"/>
          <w:sz w:val="26"/>
          <w:szCs w:val="26"/>
        </w:rPr>
        <w:t>.</w:t>
      </w:r>
    </w:p>
    <w:p w14:paraId="771D038C" w14:textId="77777777" w:rsidR="00EB7E22" w:rsidRDefault="00EB7E22" w:rsidP="009C154B">
      <w:pPr>
        <w:shd w:val="clear" w:color="auto" w:fill="FFFFFF"/>
        <w:spacing w:before="240" w:after="240" w:line="240" w:lineRule="auto"/>
        <w:jc w:val="center"/>
        <w:rPr>
          <w:rFonts w:ascii="Arial" w:eastAsia="Times New Roman" w:hAnsi="Arial" w:cs="Arial"/>
          <w:color w:val="333333"/>
          <w:sz w:val="26"/>
          <w:szCs w:val="26"/>
        </w:rPr>
      </w:pPr>
    </w:p>
    <w:p w14:paraId="789F319E" w14:textId="554772A2" w:rsidR="00A87792" w:rsidRDefault="00A87792" w:rsidP="00EB7E22">
      <w:pPr>
        <w:shd w:val="clear" w:color="auto" w:fill="FFFFFF"/>
        <w:spacing w:before="240" w:after="240" w:line="240" w:lineRule="auto"/>
        <w:jc w:val="center"/>
        <w:rPr>
          <w:rFonts w:ascii="Arial" w:eastAsia="Times New Roman" w:hAnsi="Arial" w:cs="Arial"/>
          <w:color w:val="333333"/>
          <w:sz w:val="26"/>
          <w:szCs w:val="26"/>
        </w:rPr>
      </w:pPr>
      <w:r w:rsidRPr="00A87792">
        <w:rPr>
          <w:rFonts w:ascii="Arial" w:eastAsia="Times New Roman" w:hAnsi="Arial" w:cs="Arial"/>
          <w:color w:val="333333"/>
          <w:sz w:val="26"/>
          <w:szCs w:val="26"/>
        </w:rPr>
        <w:t>Source: State finance budget report (</w:t>
      </w:r>
      <w:hyperlink r:id="rId4" w:history="1">
        <w:r w:rsidRPr="00A87792">
          <w:rPr>
            <w:rFonts w:ascii="Arial" w:eastAsia="Times New Roman" w:hAnsi="Arial" w:cs="Arial"/>
            <w:color w:val="10147E"/>
            <w:sz w:val="26"/>
            <w:szCs w:val="26"/>
            <w:u w:val="single"/>
          </w:rPr>
          <w:t>2015</w:t>
        </w:r>
      </w:hyperlink>
      <w:r w:rsidRPr="00A87792">
        <w:rPr>
          <w:rFonts w:ascii="Arial" w:eastAsia="Times New Roman" w:hAnsi="Arial" w:cs="Arial"/>
          <w:color w:val="333333"/>
          <w:sz w:val="26"/>
          <w:szCs w:val="26"/>
        </w:rPr>
        <w:t>)</w:t>
      </w:r>
      <w:r w:rsidR="009C154B">
        <w:rPr>
          <w:rFonts w:ascii="Arial" w:eastAsia="Times New Roman" w:hAnsi="Arial" w:cs="Arial"/>
          <w:color w:val="333333"/>
          <w:sz w:val="26"/>
          <w:szCs w:val="26"/>
        </w:rPr>
        <w:t>-</w:t>
      </w:r>
      <w:r w:rsidRPr="00A87792">
        <w:rPr>
          <w:rFonts w:ascii="Arial" w:eastAsia="Times New Roman" w:hAnsi="Arial" w:cs="Arial"/>
          <w:color w:val="333333"/>
          <w:sz w:val="26"/>
          <w:szCs w:val="26"/>
        </w:rPr>
        <w:t xml:space="preserve"> Reserve Bank of India.</w:t>
      </w:r>
    </w:p>
    <w:p w14:paraId="0A4B9A5E" w14:textId="6BE4D3EC" w:rsidR="00EB7E22" w:rsidRDefault="000C0774" w:rsidP="00E17272">
      <w:pPr>
        <w:spacing w:before="240" w:after="240" w:line="240" w:lineRule="auto"/>
        <w:rPr>
          <w:rFonts w:ascii="Arial" w:eastAsia="Times New Roman" w:hAnsi="Arial" w:cs="Arial"/>
          <w:color w:val="333333"/>
          <w:sz w:val="26"/>
          <w:szCs w:val="26"/>
        </w:rPr>
      </w:pPr>
      <w:r>
        <w:rPr>
          <w:rFonts w:ascii="Arial" w:eastAsia="Times New Roman" w:hAnsi="Arial" w:cs="Arial"/>
          <w:color w:val="333333"/>
          <w:sz w:val="26"/>
          <w:szCs w:val="26"/>
        </w:rPr>
        <w:t>Here t</w:t>
      </w:r>
      <w:r w:rsidR="00D14F8C" w:rsidRPr="00D14F8C">
        <w:rPr>
          <w:rFonts w:ascii="Arial" w:eastAsia="Times New Roman" w:hAnsi="Arial" w:cs="Arial"/>
          <w:color w:val="333333"/>
          <w:sz w:val="26"/>
          <w:szCs w:val="26"/>
        </w:rPr>
        <w:t xml:space="preserve">he mean of PHE is 0.86% while the mean of tax revenue is 6.93%. There is a huge difference in the maximum and minimum value of tax revenue and PHE, respectively. It shows that most of the tax revenue of states is derived from the low contribution of direct taxes to the state’s own domestic revenue. Table 1 also exhibits the correlation of PHE with other explanatory variables. It shows that PHE is positively correlated with the fiscal balance, domestic debt, state’s revenue, and central government transfer (tax devolution and central grants), while PHE is adversely affected by per capita Gross State Domestic Product (GSDP) and direct taxes. The data have been collected from the state finance budget report published by Reserve Bank of India (RBI) in 2015. All the </w:t>
      </w:r>
    </w:p>
    <w:p w14:paraId="44A2EF6F" w14:textId="39C841FA" w:rsidR="00E17272" w:rsidRDefault="00E17272" w:rsidP="00E17272">
      <w:pPr>
        <w:spacing w:before="240" w:after="240" w:line="240" w:lineRule="auto"/>
        <w:rPr>
          <w:rFonts w:ascii="Arial" w:eastAsia="Times New Roman" w:hAnsi="Arial" w:cs="Arial"/>
          <w:color w:val="333333"/>
          <w:sz w:val="26"/>
          <w:szCs w:val="26"/>
        </w:rPr>
      </w:pPr>
    </w:p>
    <w:p w14:paraId="32767AB1" w14:textId="38978DFE" w:rsidR="000C0774" w:rsidRDefault="00E17272" w:rsidP="000C0774">
      <w:pPr>
        <w:spacing w:before="240" w:after="240" w:line="240" w:lineRule="auto"/>
        <w:rPr>
          <w:rFonts w:ascii="Arial" w:eastAsia="Times New Roman" w:hAnsi="Arial" w:cs="Arial"/>
          <w:color w:val="333333"/>
          <w:sz w:val="26"/>
          <w:szCs w:val="26"/>
        </w:rPr>
      </w:pPr>
      <w:r>
        <w:rPr>
          <w:rFonts w:ascii="Arial" w:eastAsia="Times New Roman" w:hAnsi="Arial" w:cs="Arial"/>
          <w:color w:val="333333"/>
          <w:sz w:val="26"/>
          <w:szCs w:val="26"/>
        </w:rPr>
        <w:t xml:space="preserve">According to the table the mean of the PHE is 0.86% and the mean of the tax income(revenue) is 9.93%.The difference of maximum and minimum values of tax revenue and the PHE has a huge difference </w:t>
      </w:r>
      <w:r w:rsidR="000B14A6">
        <w:rPr>
          <w:rFonts w:ascii="Arial" w:eastAsia="Times New Roman" w:hAnsi="Arial" w:cs="Arial"/>
          <w:color w:val="333333"/>
          <w:sz w:val="26"/>
          <w:szCs w:val="26"/>
        </w:rPr>
        <w:t>,</w:t>
      </w:r>
      <w:r>
        <w:rPr>
          <w:rFonts w:ascii="Arial" w:eastAsia="Times New Roman" w:hAnsi="Arial" w:cs="Arial"/>
          <w:color w:val="333333"/>
          <w:sz w:val="26"/>
          <w:szCs w:val="26"/>
        </w:rPr>
        <w:t xml:space="preserve">so that it implies that , most of the tax revenue of states earned by giving low contribution of the direct taxes </w:t>
      </w:r>
      <w:r w:rsidR="000B14A6">
        <w:rPr>
          <w:rFonts w:ascii="Arial" w:eastAsia="Times New Roman" w:hAnsi="Arial" w:cs="Arial"/>
          <w:color w:val="333333"/>
          <w:sz w:val="26"/>
          <w:szCs w:val="26"/>
        </w:rPr>
        <w:t>to the state’s own domestic revenue</w:t>
      </w:r>
      <w:r w:rsidR="000B14A6" w:rsidRPr="005231C7">
        <w:rPr>
          <w:rFonts w:ascii="Arial" w:eastAsia="Times New Roman" w:hAnsi="Arial" w:cs="Arial"/>
          <w:color w:val="FF0000"/>
          <w:sz w:val="26"/>
          <w:szCs w:val="26"/>
        </w:rPr>
        <w:t>.</w:t>
      </w:r>
      <w:r w:rsidR="005231C7" w:rsidRPr="005231C7">
        <w:rPr>
          <w:rFonts w:ascii="Arial" w:eastAsia="Times New Roman" w:hAnsi="Arial" w:cs="Arial"/>
          <w:color w:val="FF0000"/>
          <w:sz w:val="26"/>
          <w:szCs w:val="26"/>
        </w:rPr>
        <w:t>********&lt;from here edit&gt;</w:t>
      </w:r>
      <w:r w:rsidR="005231C7" w:rsidRPr="00D14F8C">
        <w:rPr>
          <w:rFonts w:ascii="Arial" w:eastAsia="Times New Roman" w:hAnsi="Arial" w:cs="Arial"/>
          <w:color w:val="333333"/>
          <w:sz w:val="26"/>
          <w:szCs w:val="26"/>
        </w:rPr>
        <w:t xml:space="preserve">Table 1 also exhibits the correlation of PHE with other explanatory variables. It shows that PHE is </w:t>
      </w:r>
      <w:bookmarkStart w:id="0" w:name="_GoBack"/>
      <w:bookmarkEnd w:id="0"/>
      <w:r w:rsidR="005231C7" w:rsidRPr="00D14F8C">
        <w:rPr>
          <w:rFonts w:ascii="Arial" w:eastAsia="Times New Roman" w:hAnsi="Arial" w:cs="Arial"/>
          <w:color w:val="333333"/>
          <w:sz w:val="26"/>
          <w:szCs w:val="26"/>
        </w:rPr>
        <w:t xml:space="preserve">positively correlated with the fiscal balance, domestic debt, state’s revenue, and central government transfer (tax devolution and central grants), while PHE is adversely affected by per capita Gross State Domestic Product (GSDP) and direct taxes. The data have been collected from the state finance budget report published by Reserve Bank of India (RBI) in 2015. All the </w:t>
      </w:r>
      <w:r w:rsidR="00D14F8C" w:rsidRPr="00D14F8C">
        <w:rPr>
          <w:rFonts w:ascii="Arial" w:eastAsia="Times New Roman" w:hAnsi="Arial" w:cs="Arial"/>
          <w:color w:val="333333"/>
          <w:sz w:val="26"/>
          <w:szCs w:val="26"/>
        </w:rPr>
        <w:t>variables are constant prices (INR) in the 2004–2005 base year. The definition of the variables is described in Table </w:t>
      </w:r>
      <w:hyperlink r:id="rId5" w:anchor="APP0001" w:history="1">
        <w:r w:rsidR="00D14F8C" w:rsidRPr="00D14F8C">
          <w:rPr>
            <w:rFonts w:ascii="Arial" w:eastAsia="Times New Roman" w:hAnsi="Arial" w:cs="Arial"/>
            <w:color w:val="10147E"/>
            <w:sz w:val="26"/>
            <w:szCs w:val="26"/>
            <w:u w:val="single"/>
          </w:rPr>
          <w:t>A1</w:t>
        </w:r>
      </w:hyperlink>
      <w:r w:rsidR="00D14F8C" w:rsidRPr="00D14F8C">
        <w:rPr>
          <w:rFonts w:ascii="Arial" w:eastAsia="Times New Roman" w:hAnsi="Arial" w:cs="Arial"/>
          <w:color w:val="333333"/>
          <w:sz w:val="26"/>
          <w:szCs w:val="26"/>
        </w:rPr>
        <w:t> (Appendix).</w:t>
      </w:r>
    </w:p>
    <w:p w14:paraId="76ACC933" w14:textId="064D9F7D" w:rsidR="00D14F8C" w:rsidRPr="000C0774" w:rsidRDefault="000C0774" w:rsidP="000C0774">
      <w:pPr>
        <w:spacing w:before="240" w:after="240" w:line="240" w:lineRule="auto"/>
        <w:rPr>
          <w:rFonts w:ascii="Arial" w:eastAsia="Times New Roman" w:hAnsi="Arial" w:cs="Arial"/>
          <w:color w:val="333333"/>
          <w:sz w:val="26"/>
          <w:szCs w:val="26"/>
        </w:rPr>
      </w:pPr>
      <w:r>
        <w:rPr>
          <w:rFonts w:ascii="Arial" w:eastAsia="Times New Roman" w:hAnsi="Arial" w:cs="Arial"/>
          <w:color w:val="333333"/>
          <w:sz w:val="26"/>
          <w:szCs w:val="26"/>
        </w:rPr>
        <w:t xml:space="preserve"> </w:t>
      </w:r>
      <w:r w:rsidR="00D14F8C" w:rsidRPr="00D14F8C">
        <w:rPr>
          <w:rFonts w:ascii="Droid Serif" w:eastAsia="Times New Roman" w:hAnsi="Droid Serif" w:cs="Arial"/>
          <w:b/>
          <w:bCs/>
          <w:color w:val="333333"/>
          <w:sz w:val="31"/>
          <w:szCs w:val="31"/>
        </w:rPr>
        <w:t>3.2. Empirical methods</w:t>
      </w:r>
    </w:p>
    <w:p w14:paraId="5DAFA3E2" w14:textId="77777777" w:rsidR="00D14F8C" w:rsidRPr="00D14F8C" w:rsidRDefault="00D14F8C" w:rsidP="00D14F8C">
      <w:pPr>
        <w:spacing w:before="240" w:after="240" w:line="240" w:lineRule="auto"/>
        <w:rPr>
          <w:rFonts w:ascii="Arial" w:eastAsia="Times New Roman" w:hAnsi="Arial" w:cs="Times New Roman"/>
          <w:sz w:val="36"/>
          <w:szCs w:val="36"/>
        </w:rPr>
      </w:pPr>
      <w:r w:rsidRPr="00D14F8C">
        <w:rPr>
          <w:rFonts w:ascii="Arial" w:eastAsia="Times New Roman" w:hAnsi="Arial" w:cs="Arial"/>
          <w:color w:val="333333"/>
          <w:sz w:val="26"/>
          <w:szCs w:val="26"/>
        </w:rPr>
        <w:t>This study examines the impact of macroeconomic factors on the growth of PHE in 15 major states of India using panel dynamic bias-corrected-least-squared-dummy-variable (LSDVC) model proposed by Bruno (</w:t>
      </w:r>
      <w:hyperlink r:id="rId6" w:history="1">
        <w:r w:rsidRPr="00D14F8C">
          <w:rPr>
            <w:rFonts w:ascii="Arial" w:eastAsia="Times New Roman" w:hAnsi="Arial" w:cs="Arial"/>
            <w:color w:val="10147E"/>
            <w:sz w:val="26"/>
            <w:szCs w:val="26"/>
            <w:u w:val="single"/>
          </w:rPr>
          <w:t>2005</w:t>
        </w:r>
      </w:hyperlink>
      <w:r w:rsidRPr="00D14F8C">
        <w:rPr>
          <w:rFonts w:ascii="Arial" w:eastAsia="Times New Roman" w:hAnsi="Arial" w:cs="Arial"/>
          <w:color w:val="333333"/>
          <w:sz w:val="26"/>
          <w:szCs w:val="26"/>
        </w:rPr>
        <w:t>). This model is more robust when T is moderately large compared to more traditional models such as generalized method of moment (GMM) estimates in which N only moderately large. The traditional models with moderately large N are severely biased with moderately large T samples. This biased corrected LSDVC model provides the bootstrap standard errors that are robust toward heteroscedasticity and autocorrelation. We used Blundell and Bond (</w:t>
      </w:r>
      <w:hyperlink r:id="rId7" w:history="1">
        <w:r w:rsidRPr="00D14F8C">
          <w:rPr>
            <w:rFonts w:ascii="Arial" w:eastAsia="Times New Roman" w:hAnsi="Arial" w:cs="Arial"/>
            <w:color w:val="10147E"/>
            <w:sz w:val="26"/>
            <w:szCs w:val="26"/>
            <w:u w:val="single"/>
          </w:rPr>
          <w:t>1998</w:t>
        </w:r>
      </w:hyperlink>
      <w:r w:rsidRPr="00D14F8C">
        <w:rPr>
          <w:rFonts w:ascii="Arial" w:eastAsia="Times New Roman" w:hAnsi="Arial" w:cs="Arial"/>
          <w:color w:val="333333"/>
          <w:sz w:val="26"/>
          <w:szCs w:val="26"/>
        </w:rPr>
        <w:t>) estimator to initialize the bias correction. We undertake 100 repetitions of the procedure to bootstrap the estimated standard errors. The baseline estimation model is as follows:</w:t>
      </w:r>
    </w:p>
    <w:p w14:paraId="362F06C5" w14:textId="77777777" w:rsidR="00D14F8C" w:rsidRPr="00D14F8C" w:rsidRDefault="00D14F8C" w:rsidP="00D14F8C">
      <w:pPr>
        <w:spacing w:line="240" w:lineRule="auto"/>
        <w:jc w:val="center"/>
        <w:rPr>
          <w:rFonts w:ascii="Times New Roman" w:eastAsia="Times New Roman" w:hAnsi="Times New Roman" w:cs="Times New Roman"/>
          <w:sz w:val="24"/>
          <w:szCs w:val="24"/>
        </w:rPr>
      </w:pPr>
      <w:proofErr w:type="spellStart"/>
      <w:r w:rsidRPr="00D14F8C">
        <w:rPr>
          <w:rFonts w:ascii="MathJax_Math-italic" w:eastAsia="Times New Roman" w:hAnsi="MathJax_Math-italic" w:cs="Arial"/>
          <w:color w:val="333333"/>
          <w:sz w:val="32"/>
          <w:szCs w:val="32"/>
          <w:bdr w:val="none" w:sz="0" w:space="0" w:color="auto" w:frame="1"/>
        </w:rPr>
        <w:t>Y</w:t>
      </w:r>
      <w:r w:rsidRPr="00D14F8C">
        <w:rPr>
          <w:rFonts w:ascii="MathJax_Main" w:eastAsia="Times New Roman" w:hAnsi="MathJax_Main" w:cs="Arial"/>
          <w:color w:val="333333"/>
          <w:sz w:val="23"/>
          <w:szCs w:val="23"/>
          <w:bdr w:val="none" w:sz="0" w:space="0" w:color="auto" w:frame="1"/>
        </w:rPr>
        <w:t>it</w:t>
      </w:r>
      <w:proofErr w:type="spellEnd"/>
      <w:r w:rsidRPr="00D14F8C">
        <w:rPr>
          <w:rFonts w:ascii="MathJax_Main" w:eastAsia="Times New Roman" w:hAnsi="MathJax_Main" w:cs="Arial"/>
          <w:color w:val="333333"/>
          <w:sz w:val="32"/>
          <w:szCs w:val="32"/>
          <w:bdr w:val="none" w:sz="0" w:space="0" w:color="auto" w:frame="1"/>
        </w:rPr>
        <w:t>=</w:t>
      </w:r>
      <w:proofErr w:type="spellStart"/>
      <w:r w:rsidRPr="00D14F8C">
        <w:rPr>
          <w:rFonts w:ascii="MathJax_Math-italic" w:eastAsia="Times New Roman" w:hAnsi="MathJax_Math-italic" w:cs="Arial"/>
          <w:color w:val="333333"/>
          <w:sz w:val="32"/>
          <w:szCs w:val="32"/>
          <w:bdr w:val="none" w:sz="0" w:space="0" w:color="auto" w:frame="1"/>
        </w:rPr>
        <w:t>γY</w:t>
      </w:r>
      <w:r w:rsidRPr="00D14F8C">
        <w:rPr>
          <w:rFonts w:ascii="MathJax_Main" w:eastAsia="Times New Roman" w:hAnsi="MathJax_Main" w:cs="Arial"/>
          <w:color w:val="333333"/>
          <w:sz w:val="23"/>
          <w:szCs w:val="23"/>
          <w:bdr w:val="none" w:sz="0" w:space="0" w:color="auto" w:frame="1"/>
        </w:rPr>
        <w:t>i</w:t>
      </w:r>
      <w:proofErr w:type="spellEnd"/>
      <w:r w:rsidRPr="00D14F8C">
        <w:rPr>
          <w:rFonts w:ascii="MathJax_Main" w:eastAsia="Times New Roman" w:hAnsi="MathJax_Main" w:cs="Arial"/>
          <w:color w:val="333333"/>
          <w:sz w:val="23"/>
          <w:szCs w:val="23"/>
          <w:bdr w:val="none" w:sz="0" w:space="0" w:color="auto" w:frame="1"/>
        </w:rPr>
        <w:t>, t−1</w:t>
      </w:r>
      <w:r w:rsidRPr="00D14F8C">
        <w:rPr>
          <w:rFonts w:ascii="MathJax_Main" w:eastAsia="Times New Roman" w:hAnsi="MathJax_Main" w:cs="Arial"/>
          <w:color w:val="333333"/>
          <w:sz w:val="32"/>
          <w:szCs w:val="32"/>
          <w:bdr w:val="none" w:sz="0" w:space="0" w:color="auto" w:frame="1"/>
        </w:rPr>
        <w:t>+</w:t>
      </w:r>
      <w:r w:rsidRPr="00D14F8C">
        <w:rPr>
          <w:rFonts w:ascii="MathJax_Math-italic" w:eastAsia="Times New Roman" w:hAnsi="MathJax_Math-italic" w:cs="Arial"/>
          <w:color w:val="333333"/>
          <w:sz w:val="32"/>
          <w:szCs w:val="32"/>
          <w:bdr w:val="none" w:sz="0" w:space="0" w:color="auto" w:frame="1"/>
        </w:rPr>
        <w:t>x</w:t>
      </w:r>
      <w:r w:rsidRPr="00D14F8C">
        <w:rPr>
          <w:rFonts w:ascii="MathJax_Main" w:eastAsia="Times New Roman" w:hAnsi="MathJax_Main" w:cs="Arial"/>
          <w:color w:val="333333"/>
          <w:sz w:val="23"/>
          <w:szCs w:val="23"/>
          <w:bdr w:val="none" w:sz="0" w:space="0" w:color="auto" w:frame="1"/>
        </w:rPr>
        <w:t>′it</w:t>
      </w:r>
      <w:r w:rsidRPr="00D14F8C">
        <w:rPr>
          <w:rFonts w:ascii="MathJax_Math-italic" w:eastAsia="Times New Roman" w:hAnsi="MathJax_Math-italic" w:cs="Arial"/>
          <w:color w:val="333333"/>
          <w:sz w:val="32"/>
          <w:szCs w:val="32"/>
          <w:bdr w:val="none" w:sz="0" w:space="0" w:color="auto" w:frame="1"/>
        </w:rPr>
        <w:t>β</w:t>
      </w:r>
      <w:r w:rsidRPr="00D14F8C">
        <w:rPr>
          <w:rFonts w:ascii="MathJax_Main" w:eastAsia="Times New Roman" w:hAnsi="MathJax_Main" w:cs="Arial"/>
          <w:color w:val="333333"/>
          <w:sz w:val="32"/>
          <w:szCs w:val="32"/>
          <w:bdr w:val="none" w:sz="0" w:space="0" w:color="auto" w:frame="1"/>
        </w:rPr>
        <w:t>+</w:t>
      </w:r>
      <w:proofErr w:type="spellStart"/>
      <w:r w:rsidRPr="00D14F8C">
        <w:rPr>
          <w:rFonts w:ascii="MathJax_Math-italic" w:eastAsia="Times New Roman" w:hAnsi="MathJax_Math-italic" w:cs="Arial"/>
          <w:color w:val="333333"/>
          <w:sz w:val="32"/>
          <w:szCs w:val="32"/>
          <w:bdr w:val="none" w:sz="0" w:space="0" w:color="auto" w:frame="1"/>
        </w:rPr>
        <w:t>μ</w:t>
      </w:r>
      <w:r w:rsidRPr="00D14F8C">
        <w:rPr>
          <w:rFonts w:ascii="MathJax_Main" w:eastAsia="Times New Roman" w:hAnsi="MathJax_Main" w:cs="Arial"/>
          <w:color w:val="333333"/>
          <w:sz w:val="23"/>
          <w:szCs w:val="23"/>
          <w:bdr w:val="none" w:sz="0" w:space="0" w:color="auto" w:frame="1"/>
        </w:rPr>
        <w:t>i</w:t>
      </w:r>
      <w:r w:rsidRPr="00D14F8C">
        <w:rPr>
          <w:rFonts w:ascii="MathJax_Main" w:eastAsia="Times New Roman" w:hAnsi="MathJax_Main" w:cs="Arial"/>
          <w:color w:val="333333"/>
          <w:sz w:val="32"/>
          <w:szCs w:val="32"/>
          <w:bdr w:val="none" w:sz="0" w:space="0" w:color="auto" w:frame="1"/>
        </w:rPr>
        <w:t>+</w:t>
      </w:r>
      <w:r w:rsidRPr="00D14F8C">
        <w:rPr>
          <w:rFonts w:ascii="MathJax_Math-italic" w:eastAsia="Times New Roman" w:hAnsi="MathJax_Math-italic" w:cs="Arial"/>
          <w:color w:val="333333"/>
          <w:sz w:val="32"/>
          <w:szCs w:val="32"/>
          <w:bdr w:val="none" w:sz="0" w:space="0" w:color="auto" w:frame="1"/>
        </w:rPr>
        <w:t>λ</w:t>
      </w:r>
      <w:proofErr w:type="spellEnd"/>
      <w:r w:rsidRPr="00D14F8C">
        <w:rPr>
          <w:rFonts w:ascii="MathJax_Main" w:eastAsia="Times New Roman" w:hAnsi="MathJax_Main" w:cs="Arial"/>
          <w:color w:val="333333"/>
          <w:sz w:val="32"/>
          <w:szCs w:val="32"/>
          <w:bdr w:val="none" w:sz="0" w:space="0" w:color="auto" w:frame="1"/>
        </w:rPr>
        <w:t>(</w:t>
      </w:r>
      <w:r w:rsidRPr="00D14F8C">
        <w:rPr>
          <w:rFonts w:ascii="MathJax_Math-italic" w:eastAsia="Times New Roman" w:hAnsi="MathJax_Math-italic" w:cs="Arial"/>
          <w:color w:val="333333"/>
          <w:sz w:val="32"/>
          <w:szCs w:val="32"/>
          <w:bdr w:val="none" w:sz="0" w:space="0" w:color="auto" w:frame="1"/>
        </w:rPr>
        <w:t>t</w:t>
      </w:r>
      <w:r w:rsidRPr="00D14F8C">
        <w:rPr>
          <w:rFonts w:ascii="MathJax_Main" w:eastAsia="Times New Roman" w:hAnsi="MathJax_Main" w:cs="Arial"/>
          <w:color w:val="333333"/>
          <w:sz w:val="32"/>
          <w:szCs w:val="32"/>
          <w:bdr w:val="none" w:sz="0" w:space="0" w:color="auto" w:frame="1"/>
        </w:rPr>
        <w:t>)+</w:t>
      </w:r>
      <w:proofErr w:type="spellStart"/>
      <w:r w:rsidRPr="00D14F8C">
        <w:rPr>
          <w:rFonts w:ascii="MathJax_Math-italic" w:eastAsia="Times New Roman" w:hAnsi="MathJax_Math-italic" w:cs="Arial"/>
          <w:color w:val="333333"/>
          <w:sz w:val="32"/>
          <w:szCs w:val="32"/>
          <w:bdr w:val="none" w:sz="0" w:space="0" w:color="auto" w:frame="1"/>
        </w:rPr>
        <w:t>ε</w:t>
      </w:r>
      <w:r w:rsidRPr="00D14F8C">
        <w:rPr>
          <w:rFonts w:ascii="MathJax_Main" w:eastAsia="Times New Roman" w:hAnsi="MathJax_Main" w:cs="Arial"/>
          <w:color w:val="333333"/>
          <w:sz w:val="23"/>
          <w:szCs w:val="23"/>
          <w:bdr w:val="none" w:sz="0" w:space="0" w:color="auto" w:frame="1"/>
        </w:rPr>
        <w:t>it</w:t>
      </w:r>
      <w:r w:rsidRPr="00D14F8C">
        <w:rPr>
          <w:rFonts w:ascii="Arial" w:eastAsia="Times New Roman" w:hAnsi="Arial" w:cs="Arial"/>
          <w:color w:val="333333"/>
          <w:sz w:val="37"/>
          <w:szCs w:val="37"/>
          <w:bdr w:val="none" w:sz="0" w:space="0" w:color="auto" w:frame="1"/>
        </w:rPr>
        <w:t>Yit</w:t>
      </w:r>
      <w:proofErr w:type="spellEnd"/>
      <w:r w:rsidRPr="00D14F8C">
        <w:rPr>
          <w:rFonts w:ascii="Arial" w:eastAsia="Times New Roman" w:hAnsi="Arial" w:cs="Arial"/>
          <w:color w:val="333333"/>
          <w:sz w:val="37"/>
          <w:szCs w:val="37"/>
          <w:bdr w:val="none" w:sz="0" w:space="0" w:color="auto" w:frame="1"/>
        </w:rPr>
        <w:t>=</w:t>
      </w:r>
      <w:proofErr w:type="spellStart"/>
      <w:r w:rsidRPr="00D14F8C">
        <w:rPr>
          <w:rFonts w:ascii="Arial" w:eastAsia="Times New Roman" w:hAnsi="Arial" w:cs="Arial"/>
          <w:color w:val="333333"/>
          <w:sz w:val="37"/>
          <w:szCs w:val="37"/>
          <w:bdr w:val="none" w:sz="0" w:space="0" w:color="auto" w:frame="1"/>
        </w:rPr>
        <w:t>γYi</w:t>
      </w:r>
      <w:proofErr w:type="spellEnd"/>
      <w:r w:rsidRPr="00D14F8C">
        <w:rPr>
          <w:rFonts w:ascii="Arial" w:eastAsia="Times New Roman" w:hAnsi="Arial" w:cs="Arial"/>
          <w:color w:val="333333"/>
          <w:sz w:val="37"/>
          <w:szCs w:val="37"/>
          <w:bdr w:val="none" w:sz="0" w:space="0" w:color="auto" w:frame="1"/>
        </w:rPr>
        <w:t>, t-1+xit′β+</w:t>
      </w:r>
      <w:proofErr w:type="spellStart"/>
      <w:r w:rsidRPr="00D14F8C">
        <w:rPr>
          <w:rFonts w:ascii="Arial" w:eastAsia="Times New Roman" w:hAnsi="Arial" w:cs="Arial"/>
          <w:color w:val="333333"/>
          <w:sz w:val="37"/>
          <w:szCs w:val="37"/>
          <w:bdr w:val="none" w:sz="0" w:space="0" w:color="auto" w:frame="1"/>
        </w:rPr>
        <w:t>μi+λ</w:t>
      </w:r>
      <w:proofErr w:type="spellEnd"/>
      <w:r w:rsidRPr="00D14F8C">
        <w:rPr>
          <w:rFonts w:ascii="Arial" w:eastAsia="Times New Roman" w:hAnsi="Arial" w:cs="Arial"/>
          <w:color w:val="333333"/>
          <w:sz w:val="37"/>
          <w:szCs w:val="37"/>
          <w:bdr w:val="none" w:sz="0" w:space="0" w:color="auto" w:frame="1"/>
        </w:rPr>
        <w:t>(t)+</w:t>
      </w:r>
      <w:proofErr w:type="spellStart"/>
      <w:r w:rsidRPr="00D14F8C">
        <w:rPr>
          <w:rFonts w:ascii="Arial" w:eastAsia="Times New Roman" w:hAnsi="Arial" w:cs="Arial"/>
          <w:color w:val="333333"/>
          <w:sz w:val="37"/>
          <w:szCs w:val="37"/>
          <w:bdr w:val="none" w:sz="0" w:space="0" w:color="auto" w:frame="1"/>
        </w:rPr>
        <w:t>εit</w:t>
      </w:r>
      <w:proofErr w:type="spellEnd"/>
    </w:p>
    <w:p w14:paraId="45237C19" w14:textId="70BC1EF2" w:rsidR="00D14F8C" w:rsidRPr="00D14F8C" w:rsidRDefault="009A3ED7" w:rsidP="00D14F8C">
      <w:pPr>
        <w:spacing w:after="0" w:line="240" w:lineRule="auto"/>
        <w:rPr>
          <w:rFonts w:ascii="Arial" w:eastAsia="Times New Roman" w:hAnsi="Arial" w:cs="Arial"/>
          <w:color w:val="333333"/>
          <w:sz w:val="26"/>
          <w:szCs w:val="26"/>
        </w:rPr>
      </w:pPr>
      <w:r>
        <w:rPr>
          <w:rFonts w:ascii="Arial" w:eastAsia="Times New Roman" w:hAnsi="Arial" w:cs="Arial"/>
          <w:color w:val="333333"/>
          <w:sz w:val="36"/>
          <w:szCs w:val="36"/>
        </w:rPr>
        <w:t xml:space="preserve"> </w:t>
      </w:r>
    </w:p>
    <w:p w14:paraId="7D5C9E53" w14:textId="77777777" w:rsidR="00D14F8C" w:rsidRPr="00D14F8C" w:rsidRDefault="00D14F8C" w:rsidP="00D14F8C">
      <w:pPr>
        <w:spacing w:after="0" w:line="240" w:lineRule="auto"/>
        <w:rPr>
          <w:rFonts w:ascii="Arial" w:eastAsia="Times New Roman" w:hAnsi="Arial" w:cs="Arial"/>
          <w:color w:val="333333"/>
          <w:sz w:val="26"/>
          <w:szCs w:val="26"/>
        </w:rPr>
      </w:pPr>
      <w:r w:rsidRPr="00D14F8C">
        <w:rPr>
          <w:rFonts w:ascii="Arial" w:eastAsia="Times New Roman" w:hAnsi="Arial" w:cs="Arial"/>
          <w:color w:val="333333"/>
          <w:sz w:val="26"/>
          <w:szCs w:val="26"/>
        </w:rPr>
        <w:t>where </w:t>
      </w:r>
      <w:proofErr w:type="spellStart"/>
      <w:r w:rsidRPr="00D14F8C">
        <w:rPr>
          <w:rFonts w:ascii="MathJax_Main" w:eastAsia="Times New Roman" w:hAnsi="MathJax_Main" w:cs="Arial"/>
          <w:color w:val="333333"/>
          <w:sz w:val="32"/>
          <w:szCs w:val="32"/>
          <w:bdr w:val="none" w:sz="0" w:space="0" w:color="auto" w:frame="1"/>
        </w:rPr>
        <w:t>y</w:t>
      </w:r>
      <w:r w:rsidRPr="00D14F8C">
        <w:rPr>
          <w:rFonts w:ascii="MathJax_Main" w:eastAsia="Times New Roman" w:hAnsi="MathJax_Main" w:cs="Arial"/>
          <w:color w:val="333333"/>
          <w:sz w:val="23"/>
          <w:szCs w:val="23"/>
          <w:bdr w:val="none" w:sz="0" w:space="0" w:color="auto" w:frame="1"/>
        </w:rPr>
        <w:t>it</w:t>
      </w:r>
      <w:r w:rsidRPr="00D14F8C">
        <w:rPr>
          <w:rFonts w:ascii="Arial" w:eastAsia="Times New Roman" w:hAnsi="Arial" w:cs="Arial"/>
          <w:color w:val="333333"/>
          <w:sz w:val="37"/>
          <w:szCs w:val="37"/>
          <w:bdr w:val="none" w:sz="0" w:space="0" w:color="auto" w:frame="1"/>
        </w:rPr>
        <w:t>yit</w:t>
      </w:r>
      <w:proofErr w:type="spellEnd"/>
      <w:r w:rsidRPr="00D14F8C">
        <w:rPr>
          <w:rFonts w:ascii="Arial" w:eastAsia="Times New Roman" w:hAnsi="Arial" w:cs="Arial"/>
          <w:color w:val="333333"/>
          <w:sz w:val="26"/>
          <w:szCs w:val="26"/>
        </w:rPr>
        <w:t> is the dependent variables; </w:t>
      </w:r>
      <w:proofErr w:type="spellStart"/>
      <w:r w:rsidRPr="00D14F8C">
        <w:rPr>
          <w:rFonts w:ascii="MathJax_Main" w:eastAsia="Times New Roman" w:hAnsi="MathJax_Main" w:cs="Arial"/>
          <w:color w:val="333333"/>
          <w:sz w:val="32"/>
          <w:szCs w:val="32"/>
          <w:bdr w:val="none" w:sz="0" w:space="0" w:color="auto" w:frame="1"/>
        </w:rPr>
        <w:t>x</w:t>
      </w:r>
      <w:r w:rsidRPr="00D14F8C">
        <w:rPr>
          <w:rFonts w:ascii="MathJax_Main" w:eastAsia="Times New Roman" w:hAnsi="MathJax_Main" w:cs="Arial"/>
          <w:color w:val="333333"/>
          <w:sz w:val="23"/>
          <w:szCs w:val="23"/>
          <w:bdr w:val="none" w:sz="0" w:space="0" w:color="auto" w:frame="1"/>
        </w:rPr>
        <w:t>it</w:t>
      </w:r>
      <w:r w:rsidRPr="00D14F8C">
        <w:rPr>
          <w:rFonts w:ascii="Arial" w:eastAsia="Times New Roman" w:hAnsi="Arial" w:cs="Arial"/>
          <w:color w:val="333333"/>
          <w:sz w:val="37"/>
          <w:szCs w:val="37"/>
          <w:bdr w:val="none" w:sz="0" w:space="0" w:color="auto" w:frame="1"/>
        </w:rPr>
        <w:t>xit</w:t>
      </w:r>
      <w:r w:rsidRPr="00D14F8C">
        <w:rPr>
          <w:rFonts w:ascii="Arial" w:eastAsia="Times New Roman" w:hAnsi="Arial" w:cs="Arial"/>
          <w:color w:val="333333"/>
          <w:sz w:val="26"/>
          <w:szCs w:val="26"/>
        </w:rPr>
        <w:t>is</w:t>
      </w:r>
      <w:proofErr w:type="spellEnd"/>
      <w:r w:rsidRPr="00D14F8C">
        <w:rPr>
          <w:rFonts w:ascii="Arial" w:eastAsia="Times New Roman" w:hAnsi="Arial" w:cs="Arial"/>
          <w:color w:val="333333"/>
          <w:sz w:val="26"/>
          <w:szCs w:val="26"/>
        </w:rPr>
        <w:t xml:space="preserve"> the ((</w:t>
      </w:r>
      <w:r w:rsidRPr="00D14F8C">
        <w:rPr>
          <w:rFonts w:ascii="Arial" w:eastAsia="Times New Roman" w:hAnsi="Arial" w:cs="Arial"/>
          <w:i/>
          <w:iCs/>
          <w:color w:val="333333"/>
          <w:sz w:val="26"/>
          <w:szCs w:val="26"/>
        </w:rPr>
        <w:t>k</w:t>
      </w:r>
      <w:r w:rsidRPr="00D14F8C">
        <w:rPr>
          <w:rFonts w:ascii="Arial" w:eastAsia="Times New Roman" w:hAnsi="Arial" w:cs="Arial"/>
          <w:color w:val="333333"/>
          <w:sz w:val="26"/>
          <w:szCs w:val="26"/>
        </w:rPr>
        <w:t> − 1) × 1) vector of strictly exogenous explanatory variables; </w:t>
      </w:r>
      <w:proofErr w:type="spellStart"/>
      <w:r w:rsidRPr="00D14F8C">
        <w:rPr>
          <w:rFonts w:ascii="MathJax_Math-italic" w:eastAsia="Times New Roman" w:hAnsi="MathJax_Math-italic" w:cs="Arial"/>
          <w:color w:val="333333"/>
          <w:sz w:val="32"/>
          <w:szCs w:val="32"/>
          <w:bdr w:val="none" w:sz="0" w:space="0" w:color="auto" w:frame="1"/>
        </w:rPr>
        <w:t>μ</w:t>
      </w:r>
      <w:r w:rsidRPr="00D14F8C">
        <w:rPr>
          <w:rFonts w:ascii="MathJax_Main" w:eastAsia="Times New Roman" w:hAnsi="MathJax_Main" w:cs="Arial"/>
          <w:color w:val="333333"/>
          <w:sz w:val="23"/>
          <w:szCs w:val="23"/>
          <w:bdr w:val="none" w:sz="0" w:space="0" w:color="auto" w:frame="1"/>
        </w:rPr>
        <w:t>i</w:t>
      </w:r>
      <w:r w:rsidRPr="00D14F8C">
        <w:rPr>
          <w:rFonts w:ascii="Arial" w:eastAsia="Times New Roman" w:hAnsi="Arial" w:cs="Arial"/>
          <w:color w:val="333333"/>
          <w:sz w:val="37"/>
          <w:szCs w:val="37"/>
          <w:bdr w:val="none" w:sz="0" w:space="0" w:color="auto" w:frame="1"/>
        </w:rPr>
        <w:t>μi</w:t>
      </w:r>
      <w:r w:rsidRPr="00D14F8C">
        <w:rPr>
          <w:rFonts w:ascii="Arial" w:eastAsia="Times New Roman" w:hAnsi="Arial" w:cs="Arial"/>
          <w:color w:val="333333"/>
          <w:sz w:val="26"/>
          <w:szCs w:val="26"/>
        </w:rPr>
        <w:t>is</w:t>
      </w:r>
      <w:proofErr w:type="spellEnd"/>
      <w:r w:rsidRPr="00D14F8C">
        <w:rPr>
          <w:rFonts w:ascii="Arial" w:eastAsia="Times New Roman" w:hAnsi="Arial" w:cs="Arial"/>
          <w:color w:val="333333"/>
          <w:sz w:val="26"/>
          <w:szCs w:val="26"/>
        </w:rPr>
        <w:t xml:space="preserve"> the time-invariant state-specific effects; </w:t>
      </w:r>
      <w:proofErr w:type="spellStart"/>
      <w:r w:rsidRPr="00D14F8C">
        <w:rPr>
          <w:rFonts w:ascii="MathJax_Math-italic" w:eastAsia="Times New Roman" w:hAnsi="MathJax_Math-italic" w:cs="Arial"/>
          <w:color w:val="333333"/>
          <w:sz w:val="32"/>
          <w:szCs w:val="32"/>
          <w:bdr w:val="none" w:sz="0" w:space="0" w:color="auto" w:frame="1"/>
        </w:rPr>
        <w:t>ε</w:t>
      </w:r>
      <w:r w:rsidRPr="00D14F8C">
        <w:rPr>
          <w:rFonts w:ascii="MathJax_Main" w:eastAsia="Times New Roman" w:hAnsi="MathJax_Main" w:cs="Arial"/>
          <w:color w:val="333333"/>
          <w:sz w:val="23"/>
          <w:szCs w:val="23"/>
          <w:bdr w:val="none" w:sz="0" w:space="0" w:color="auto" w:frame="1"/>
        </w:rPr>
        <w:t>it</w:t>
      </w:r>
      <w:r w:rsidRPr="00D14F8C">
        <w:rPr>
          <w:rFonts w:ascii="Arial" w:eastAsia="Times New Roman" w:hAnsi="Arial" w:cs="Arial"/>
          <w:color w:val="333333"/>
          <w:sz w:val="37"/>
          <w:szCs w:val="37"/>
          <w:bdr w:val="none" w:sz="0" w:space="0" w:color="auto" w:frame="1"/>
        </w:rPr>
        <w:t>εit</w:t>
      </w:r>
      <w:r w:rsidRPr="00D14F8C">
        <w:rPr>
          <w:rFonts w:ascii="Arial" w:eastAsia="Times New Roman" w:hAnsi="Arial" w:cs="Arial"/>
          <w:color w:val="333333"/>
          <w:sz w:val="26"/>
          <w:szCs w:val="26"/>
        </w:rPr>
        <w:t>is</w:t>
      </w:r>
      <w:proofErr w:type="spellEnd"/>
      <w:r w:rsidRPr="00D14F8C">
        <w:rPr>
          <w:rFonts w:ascii="Arial" w:eastAsia="Times New Roman" w:hAnsi="Arial" w:cs="Arial"/>
          <w:color w:val="333333"/>
          <w:sz w:val="26"/>
          <w:szCs w:val="26"/>
        </w:rPr>
        <w:t xml:space="preserve"> an unobserved white noise disturbance. Also, we added time-specific effects </w:t>
      </w:r>
      <w:r w:rsidRPr="00D14F8C">
        <w:rPr>
          <w:rFonts w:ascii="MathJax_Math-italic" w:eastAsia="Times New Roman" w:hAnsi="MathJax_Math-italic" w:cs="Arial"/>
          <w:color w:val="333333"/>
          <w:sz w:val="32"/>
          <w:szCs w:val="32"/>
          <w:bdr w:val="none" w:sz="0" w:space="0" w:color="auto" w:frame="1"/>
        </w:rPr>
        <w:t>λ</w:t>
      </w:r>
      <w:r w:rsidRPr="00D14F8C">
        <w:rPr>
          <w:rFonts w:ascii="MathJax_Main" w:eastAsia="Times New Roman" w:hAnsi="MathJax_Main" w:cs="Arial"/>
          <w:color w:val="333333"/>
          <w:sz w:val="32"/>
          <w:szCs w:val="32"/>
          <w:bdr w:val="none" w:sz="0" w:space="0" w:color="auto" w:frame="1"/>
        </w:rPr>
        <w:t>(</w:t>
      </w:r>
      <w:r w:rsidRPr="00D14F8C">
        <w:rPr>
          <w:rFonts w:ascii="MathJax_Math-italic" w:eastAsia="Times New Roman" w:hAnsi="MathJax_Math-italic" w:cs="Arial"/>
          <w:color w:val="333333"/>
          <w:sz w:val="32"/>
          <w:szCs w:val="32"/>
          <w:bdr w:val="none" w:sz="0" w:space="0" w:color="auto" w:frame="1"/>
        </w:rPr>
        <w:t>t</w:t>
      </w:r>
      <w:r w:rsidRPr="00D14F8C">
        <w:rPr>
          <w:rFonts w:ascii="MathJax_Main" w:eastAsia="Times New Roman" w:hAnsi="MathJax_Main" w:cs="Arial"/>
          <w:color w:val="333333"/>
          <w:sz w:val="32"/>
          <w:szCs w:val="32"/>
          <w:bdr w:val="none" w:sz="0" w:space="0" w:color="auto" w:frame="1"/>
        </w:rPr>
        <w:t>)</w:t>
      </w:r>
      <w:r w:rsidRPr="00D14F8C">
        <w:rPr>
          <w:rFonts w:ascii="Arial" w:eastAsia="Times New Roman" w:hAnsi="Arial" w:cs="Arial"/>
          <w:color w:val="333333"/>
          <w:sz w:val="37"/>
          <w:szCs w:val="37"/>
          <w:bdr w:val="none" w:sz="0" w:space="0" w:color="auto" w:frame="1"/>
        </w:rPr>
        <w:t>λ(t)</w:t>
      </w:r>
      <w:r w:rsidRPr="00D14F8C">
        <w:rPr>
          <w:rFonts w:ascii="Arial" w:eastAsia="Times New Roman" w:hAnsi="Arial" w:cs="Arial"/>
          <w:color w:val="333333"/>
          <w:sz w:val="26"/>
          <w:szCs w:val="26"/>
        </w:rPr>
        <w:t>in order to examine the effects of macroeconomic policies on health expenditure at the state level since 1990’s.</w:t>
      </w:r>
    </w:p>
    <w:p w14:paraId="743BE82F" w14:textId="77777777" w:rsidR="00D14F8C" w:rsidRDefault="00D14F8C"/>
    <w:sectPr w:rsidR="00D14F8C" w:rsidSect="001858E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Droid Serif">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F8C"/>
    <w:rsid w:val="000B14A6"/>
    <w:rsid w:val="000C0774"/>
    <w:rsid w:val="001858E0"/>
    <w:rsid w:val="0041218C"/>
    <w:rsid w:val="005231C7"/>
    <w:rsid w:val="0072309B"/>
    <w:rsid w:val="009A3ED7"/>
    <w:rsid w:val="009C154B"/>
    <w:rsid w:val="00A87792"/>
    <w:rsid w:val="00CD39AF"/>
    <w:rsid w:val="00D14F8C"/>
    <w:rsid w:val="00E17272"/>
    <w:rsid w:val="00EB7E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7FACA"/>
  <w15:chartTrackingRefBased/>
  <w15:docId w15:val="{F4A5BF72-8A9E-465B-9701-3196472BB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14F8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14F8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14F8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14F8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14F8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f-lnk">
    <w:name w:val="ref-lnk"/>
    <w:basedOn w:val="DefaultParagraphFont"/>
    <w:rsid w:val="00D14F8C"/>
  </w:style>
  <w:style w:type="character" w:styleId="Hyperlink">
    <w:name w:val="Hyperlink"/>
    <w:basedOn w:val="DefaultParagraphFont"/>
    <w:uiPriority w:val="99"/>
    <w:semiHidden/>
    <w:unhideWhenUsed/>
    <w:rsid w:val="00D14F8C"/>
    <w:rPr>
      <w:color w:val="0000FF"/>
      <w:u w:val="single"/>
    </w:rPr>
  </w:style>
  <w:style w:type="character" w:customStyle="1" w:styleId="nlmdisp-formula">
    <w:name w:val="nlm_disp-formula"/>
    <w:basedOn w:val="DefaultParagraphFont"/>
    <w:rsid w:val="00D14F8C"/>
  </w:style>
  <w:style w:type="character" w:customStyle="1" w:styleId="mi">
    <w:name w:val="mi"/>
    <w:basedOn w:val="DefaultParagraphFont"/>
    <w:rsid w:val="00D14F8C"/>
  </w:style>
  <w:style w:type="character" w:customStyle="1" w:styleId="mtext">
    <w:name w:val="mtext"/>
    <w:basedOn w:val="DefaultParagraphFont"/>
    <w:rsid w:val="00D14F8C"/>
  </w:style>
  <w:style w:type="character" w:customStyle="1" w:styleId="mo">
    <w:name w:val="mo"/>
    <w:basedOn w:val="DefaultParagraphFont"/>
    <w:rsid w:val="00D14F8C"/>
  </w:style>
  <w:style w:type="character" w:customStyle="1" w:styleId="mn">
    <w:name w:val="mn"/>
    <w:basedOn w:val="DefaultParagraphFont"/>
    <w:rsid w:val="00D14F8C"/>
  </w:style>
  <w:style w:type="character" w:customStyle="1" w:styleId="mjxassistivemathml">
    <w:name w:val="mjx_assistive_mathml"/>
    <w:basedOn w:val="DefaultParagraphFont"/>
    <w:rsid w:val="00D14F8C"/>
  </w:style>
  <w:style w:type="character" w:customStyle="1" w:styleId="disp-formula-label">
    <w:name w:val="disp-formula-label"/>
    <w:basedOn w:val="DefaultParagraphFont"/>
    <w:rsid w:val="00D14F8C"/>
  </w:style>
  <w:style w:type="table" w:styleId="TableGridLight">
    <w:name w:val="Grid Table Light"/>
    <w:basedOn w:val="TableNormal"/>
    <w:uiPriority w:val="40"/>
    <w:rsid w:val="00A8779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A8779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A8779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
    <w:name w:val="Table Grid"/>
    <w:basedOn w:val="TableNormal"/>
    <w:uiPriority w:val="39"/>
    <w:rsid w:val="00A877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EB7E2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HTMLPreformatted">
    <w:name w:val="HTML Preformatted"/>
    <w:basedOn w:val="Normal"/>
    <w:link w:val="HTMLPreformattedChar"/>
    <w:uiPriority w:val="99"/>
    <w:semiHidden/>
    <w:unhideWhenUsed/>
    <w:rsid w:val="00EB7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B7E2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417654">
      <w:bodyDiv w:val="1"/>
      <w:marLeft w:val="0"/>
      <w:marRight w:val="0"/>
      <w:marTop w:val="0"/>
      <w:marBottom w:val="0"/>
      <w:divBdr>
        <w:top w:val="none" w:sz="0" w:space="0" w:color="auto"/>
        <w:left w:val="none" w:sz="0" w:space="0" w:color="auto"/>
        <w:bottom w:val="none" w:sz="0" w:space="0" w:color="auto"/>
        <w:right w:val="none" w:sz="0" w:space="0" w:color="auto"/>
      </w:divBdr>
      <w:divsChild>
        <w:div w:id="1614434115">
          <w:marLeft w:val="30"/>
          <w:marRight w:val="30"/>
          <w:marTop w:val="105"/>
          <w:marBottom w:val="300"/>
          <w:divBdr>
            <w:top w:val="none" w:sz="0" w:space="0" w:color="auto"/>
            <w:left w:val="none" w:sz="0" w:space="0" w:color="auto"/>
            <w:bottom w:val="none" w:sz="0" w:space="0" w:color="auto"/>
            <w:right w:val="none" w:sz="0" w:space="0" w:color="auto"/>
          </w:divBdr>
        </w:div>
        <w:div w:id="1959099057">
          <w:marLeft w:val="0"/>
          <w:marRight w:val="0"/>
          <w:marTop w:val="0"/>
          <w:marBottom w:val="0"/>
          <w:divBdr>
            <w:top w:val="none" w:sz="0" w:space="0" w:color="auto"/>
            <w:left w:val="none" w:sz="0" w:space="0" w:color="auto"/>
            <w:bottom w:val="none" w:sz="0" w:space="0" w:color="auto"/>
            <w:right w:val="none" w:sz="0" w:space="0" w:color="auto"/>
          </w:divBdr>
          <w:divsChild>
            <w:div w:id="318582372">
              <w:marLeft w:val="0"/>
              <w:marRight w:val="0"/>
              <w:marTop w:val="0"/>
              <w:marBottom w:val="0"/>
              <w:divBdr>
                <w:top w:val="none" w:sz="0" w:space="0" w:color="auto"/>
                <w:left w:val="none" w:sz="0" w:space="0" w:color="auto"/>
                <w:bottom w:val="none" w:sz="0" w:space="0" w:color="auto"/>
                <w:right w:val="none" w:sz="0" w:space="0" w:color="auto"/>
              </w:divBdr>
            </w:div>
            <w:div w:id="103311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54733">
      <w:bodyDiv w:val="1"/>
      <w:marLeft w:val="0"/>
      <w:marRight w:val="0"/>
      <w:marTop w:val="0"/>
      <w:marBottom w:val="0"/>
      <w:divBdr>
        <w:top w:val="none" w:sz="0" w:space="0" w:color="auto"/>
        <w:left w:val="none" w:sz="0" w:space="0" w:color="auto"/>
        <w:bottom w:val="none" w:sz="0" w:space="0" w:color="auto"/>
        <w:right w:val="none" w:sz="0" w:space="0" w:color="auto"/>
      </w:divBdr>
      <w:divsChild>
        <w:div w:id="123239338">
          <w:marLeft w:val="0"/>
          <w:marRight w:val="0"/>
          <w:marTop w:val="0"/>
          <w:marBottom w:val="0"/>
          <w:divBdr>
            <w:top w:val="single" w:sz="6" w:space="0" w:color="CCCCCC"/>
            <w:left w:val="single" w:sz="6" w:space="0" w:color="CCCCCC"/>
            <w:bottom w:val="single" w:sz="6" w:space="0" w:color="CCCCCC"/>
            <w:right w:val="single" w:sz="6" w:space="0" w:color="CCCCCC"/>
          </w:divBdr>
          <w:divsChild>
            <w:div w:id="1371765532">
              <w:marLeft w:val="0"/>
              <w:marRight w:val="0"/>
              <w:marTop w:val="0"/>
              <w:marBottom w:val="0"/>
              <w:divBdr>
                <w:top w:val="none" w:sz="0" w:space="0" w:color="auto"/>
                <w:left w:val="none" w:sz="0" w:space="0" w:color="auto"/>
                <w:bottom w:val="none" w:sz="0" w:space="0" w:color="auto"/>
                <w:right w:val="none" w:sz="0" w:space="0" w:color="auto"/>
              </w:divBdr>
              <w:divsChild>
                <w:div w:id="430471879">
                  <w:marLeft w:val="0"/>
                  <w:marRight w:val="0"/>
                  <w:marTop w:val="0"/>
                  <w:marBottom w:val="0"/>
                  <w:divBdr>
                    <w:top w:val="none" w:sz="0" w:space="0" w:color="auto"/>
                    <w:left w:val="none" w:sz="0" w:space="0" w:color="auto"/>
                    <w:bottom w:val="none" w:sz="0" w:space="0" w:color="auto"/>
                    <w:right w:val="none" w:sz="0" w:space="0" w:color="auto"/>
                  </w:divBdr>
                </w:div>
              </w:divsChild>
            </w:div>
            <w:div w:id="130097144">
              <w:marLeft w:val="0"/>
              <w:marRight w:val="0"/>
              <w:marTop w:val="0"/>
              <w:marBottom w:val="0"/>
              <w:divBdr>
                <w:top w:val="none" w:sz="0" w:space="0" w:color="auto"/>
                <w:left w:val="none" w:sz="0" w:space="0" w:color="auto"/>
                <w:bottom w:val="none" w:sz="0" w:space="0" w:color="auto"/>
                <w:right w:val="none" w:sz="0" w:space="0" w:color="auto"/>
              </w:divBdr>
            </w:div>
          </w:divsChild>
        </w:div>
        <w:div w:id="1377778754">
          <w:marLeft w:val="0"/>
          <w:marRight w:val="0"/>
          <w:marTop w:val="240"/>
          <w:marBottom w:val="240"/>
          <w:divBdr>
            <w:top w:val="none" w:sz="0" w:space="0" w:color="auto"/>
            <w:left w:val="none" w:sz="0" w:space="0" w:color="auto"/>
            <w:bottom w:val="none" w:sz="0" w:space="0" w:color="auto"/>
            <w:right w:val="none" w:sz="0" w:space="0" w:color="auto"/>
          </w:divBdr>
        </w:div>
      </w:divsChild>
    </w:div>
    <w:div w:id="1716737663">
      <w:bodyDiv w:val="1"/>
      <w:marLeft w:val="0"/>
      <w:marRight w:val="0"/>
      <w:marTop w:val="0"/>
      <w:marBottom w:val="0"/>
      <w:divBdr>
        <w:top w:val="none" w:sz="0" w:space="0" w:color="auto"/>
        <w:left w:val="none" w:sz="0" w:space="0" w:color="auto"/>
        <w:bottom w:val="none" w:sz="0" w:space="0" w:color="auto"/>
        <w:right w:val="none" w:sz="0" w:space="0" w:color="auto"/>
      </w:divBdr>
    </w:div>
    <w:div w:id="1794664670">
      <w:bodyDiv w:val="1"/>
      <w:marLeft w:val="0"/>
      <w:marRight w:val="0"/>
      <w:marTop w:val="0"/>
      <w:marBottom w:val="0"/>
      <w:divBdr>
        <w:top w:val="none" w:sz="0" w:space="0" w:color="auto"/>
        <w:left w:val="none" w:sz="0" w:space="0" w:color="auto"/>
        <w:bottom w:val="none" w:sz="0" w:space="0" w:color="auto"/>
        <w:right w:val="none" w:sz="0" w:space="0" w:color="auto"/>
      </w:divBdr>
      <w:divsChild>
        <w:div w:id="446776508">
          <w:marLeft w:val="30"/>
          <w:marRight w:val="30"/>
          <w:marTop w:val="105"/>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tandfonline.com/doi/full/10.1080/23322039.2018.143544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andfonline.com/doi/full/10.1080/23322039.2018.1435443" TargetMode="External"/><Relationship Id="rId5" Type="http://schemas.openxmlformats.org/officeDocument/2006/relationships/hyperlink" Target="https://www.tandfonline.com/doi/full/10.1080/23322039.2018.1435443" TargetMode="External"/><Relationship Id="rId4" Type="http://schemas.openxmlformats.org/officeDocument/2006/relationships/hyperlink" Target="https://www.tandfonline.com/doi/full/10.1080/23322039.2018.1435443"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TotalTime>
  <Pages>2</Pages>
  <Words>734</Words>
  <Characters>4190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Sandeepa Ranathunga</dc:creator>
  <cp:keywords/>
  <dc:description/>
  <cp:lastModifiedBy>Sandeepa Ranathunga</cp:lastModifiedBy>
  <cp:revision>2</cp:revision>
  <dcterms:created xsi:type="dcterms:W3CDTF">2020-01-24T03:13:00Z</dcterms:created>
  <dcterms:modified xsi:type="dcterms:W3CDTF">2020-01-24T08:16:00Z</dcterms:modified>
</cp:coreProperties>
</file>