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Kubernetes Components &amp; Architecture</w:t>
      </w:r>
    </w:p>
    <w:p>
      <w:pPr>
        <w:spacing w:after="400"/>
      </w:pPr>
      <w:r>
        <w:rPr>
          <w:i/>
          <w:iCs/>
          <w:color w:val="444444"/>
          <w:sz w:val="26"/>
          <w:szCs w:val="26"/>
        </w:rPr>
        <w:t xml:space="preserve">Study Notes: Control Plane, Nodes, MetalLB, Longhorn, Gateway API, and AWX-Driven Automation</w:t>
      </w:r>
    </w:p>
    <w:p>
      <w:pPr>
        <w:spacing w:after="160"/>
      </w:pPr>
      <w:r>
        <w:t xml:space="preserve">These notes build up from the core Kubernetes control plane and worker node model to the components that turn a bare cluster into a production platform: MetalLB for load balancing, Longhorn for storage, Gateway API for traffic routing, and Ansible AWX for automating it all across multiple control planes and worker nodes.</w:t>
      </w:r>
    </w:p>
    <w:p>
      <w:r>
        <w:br w:type="page"/>
      </w:r>
    </w:p>
    <w:p>
      <w:pPr>
        <w:pStyle w:val="Heading1"/>
      </w:pPr>
      <w:r>
        <w:t xml:space="preserve">Contents</w:t>
      </w:r>
    </w:p>
    <w:p>
      <w:pPr>
        <w:pStyle w:val="ListParagraph"/>
        <w:numPr>
          <w:ilvl w:val="0"/>
          <w:numId w:val="2"/>
        </w:numPr>
        <w:spacing w:after="90"/>
      </w:pPr>
      <w:r>
        <w:t xml:space="preserve">Part 1 — Kubernetes Fundamentals</w:t>
      </w:r>
    </w:p>
    <w:p>
      <w:pPr>
        <w:pStyle w:val="ListParagraph"/>
        <w:numPr>
          <w:ilvl w:val="0"/>
          <w:numId w:val="2"/>
        </w:numPr>
        <w:spacing w:after="90"/>
      </w:pPr>
      <w:r>
        <w:t xml:space="preserve">Part 2 — The Control Plane: The Cluster’s Brain</w:t>
      </w:r>
    </w:p>
    <w:p>
      <w:pPr>
        <w:pStyle w:val="ListParagraph"/>
        <w:numPr>
          <w:ilvl w:val="0"/>
          <w:numId w:val="2"/>
        </w:numPr>
        <w:spacing w:after="90"/>
      </w:pPr>
      <w:r>
        <w:t xml:space="preserve">Part 3 — Worker Nodes: The Cluster’s Muscle</w:t>
      </w:r>
    </w:p>
    <w:p>
      <w:pPr>
        <w:pStyle w:val="ListParagraph"/>
        <w:numPr>
          <w:ilvl w:val="0"/>
          <w:numId w:val="2"/>
        </w:numPr>
        <w:spacing w:after="90"/>
      </w:pPr>
      <w:r>
        <w:t xml:space="preserve">Part 4 — Load Balancing on Bare Metal: MetalLB</w:t>
      </w:r>
    </w:p>
    <w:p>
      <w:pPr>
        <w:pStyle w:val="ListParagraph"/>
        <w:numPr>
          <w:ilvl w:val="0"/>
          <w:numId w:val="2"/>
        </w:numPr>
        <w:spacing w:after="90"/>
      </w:pPr>
      <w:r>
        <w:t xml:space="preserve">Part 5 — Persistent Storage: Longhorn</w:t>
      </w:r>
    </w:p>
    <w:p>
      <w:pPr>
        <w:pStyle w:val="ListParagraph"/>
        <w:numPr>
          <w:ilvl w:val="0"/>
          <w:numId w:val="2"/>
        </w:numPr>
        <w:spacing w:after="90"/>
      </w:pPr>
      <w:r>
        <w:t xml:space="preserve">Part 6 — Ingress and the Gateway API</w:t>
      </w:r>
    </w:p>
    <w:p>
      <w:pPr>
        <w:pStyle w:val="ListParagraph"/>
        <w:numPr>
          <w:ilvl w:val="0"/>
          <w:numId w:val="2"/>
        </w:numPr>
        <w:spacing w:after="90"/>
      </w:pPr>
      <w:r>
        <w:t xml:space="preserve">Part 7 — Multi-Control-Plane (HA) Architecture in Practice</w:t>
      </w:r>
    </w:p>
    <w:p>
      <w:pPr>
        <w:pStyle w:val="ListParagraph"/>
        <w:numPr>
          <w:ilvl w:val="0"/>
          <w:numId w:val="2"/>
        </w:numPr>
        <w:spacing w:after="90"/>
      </w:pPr>
      <w:r>
        <w:t xml:space="preserve">Part 8 — Multi-Worker Node Architecture in Practice</w:t>
      </w:r>
    </w:p>
    <w:p>
      <w:pPr>
        <w:pStyle w:val="ListParagraph"/>
        <w:numPr>
          <w:ilvl w:val="0"/>
          <w:numId w:val="2"/>
        </w:numPr>
        <w:spacing w:after="90"/>
      </w:pPr>
      <w:r>
        <w:t xml:space="preserve">Part 9 — Ansible AWX on Kubernetes: Automating the Infrastructure</w:t>
      </w:r>
    </w:p>
    <w:p>
      <w:pPr>
        <w:pStyle w:val="ListParagraph"/>
        <w:numPr>
          <w:ilvl w:val="0"/>
          <w:numId w:val="2"/>
        </w:numPr>
        <w:spacing w:after="90"/>
      </w:pPr>
      <w:r>
        <w:t xml:space="preserve">Quick-Reference Glossary</w:t>
      </w:r>
    </w:p>
    <w:p>
      <w:r>
        <w:br w:type="page"/>
      </w:r>
    </w:p>
    <w:p>
      <w:pPr>
        <w:pStyle w:val="Heading1"/>
        <w:spacing w:after="200" w:before="400"/>
      </w:pPr>
      <w:r>
        <w:t xml:space="preserve">Part 1 — Kubernetes Fundamentals</w:t>
      </w:r>
    </w:p>
    <w:p>
      <w:pPr>
        <w:pStyle w:val="Heading2"/>
        <w:spacing w:after="150" w:before="300"/>
      </w:pPr>
      <w:r>
        <w:t xml:space="preserve">1.1 What Kubernetes Actually Is</w:t>
      </w:r>
    </w:p>
    <w:p>
      <w:pPr>
        <w:spacing w:after="160"/>
      </w:pPr>
      <w:r>
        <w:t xml:space="preserve">Kubernetes is the system that runs and manages your applications across one or more servers. It can be a single machine (fine for learning) or a large fleet of physical or virtual servers working together (the normal case in production). Whatever the scale, the goal is the same: keep your applications running, restart them if they fail, place them on the right hardware, and let you control all of it through one consistent interface.</w:t>
      </w:r>
    </w:p>
    <w:p>
      <w:pPr>
        <w:spacing w:after="160"/>
      </w:pPr>
      <w:r>
        <w:t xml:space="preserve">You will see it abbreviated as “K8s” in writing and documentation — the “8” simply stands for the eight letters between the K and the S. Spoken, it is almost always just “Kubernetes,” occasionally shortened to “Kube.” Both refer to the same system.</w:t>
      </w:r>
    </w:p>
    <w:p>
      <w:pPr>
        <w:pStyle w:val="Heading2"/>
        <w:spacing w:after="150" w:before="300"/>
      </w:pPr>
      <w:r>
        <w:t xml:space="preserve">1.2 Talking to the Cluster: kubectl</w:t>
      </w:r>
    </w:p>
    <w:p>
      <w:pPr>
        <w:spacing w:after="160"/>
      </w:pPr>
      <w:r>
        <w:t xml:space="preserve">Kubernetes exposes everything through an API, and kubectl is the official command-line tool for talking to that API. You will hear it pronounced several different ways (“kube-cuddle,” “kube-control,” “kube-C-T-L”) — there is no official pronunciation, so don’t worry about which one you use. What matters is that kubectl is your primary way of issuing instructions to the cluster: creating resources, checking status, and reading logs.</w:t>
      </w:r>
    </w:p>
    <w:p>
      <w:pPr>
        <w:pStyle w:val="Heading2"/>
        <w:spacing w:after="150" w:before="300"/>
      </w:pPr>
      <w:r>
        <w:t xml:space="preserve">1.3 The Two Halves of Every Cluster</w:t>
      </w:r>
    </w:p>
    <w:p>
      <w:pPr>
        <w:spacing w:after="160"/>
      </w:pPr>
      <w:r>
        <w:t xml:space="preserve">Every Kubernetes cluster, no matter its size, splits into two conceptual halves:</w:t>
      </w:r>
    </w:p>
    <w:p>
      <w:pPr>
        <w:pStyle w:val="ListParagraph"/>
        <w:numPr>
          <w:ilvl w:val="0"/>
          <w:numId w:val="2"/>
        </w:numPr>
        <w:spacing w:after="90"/>
      </w:pPr>
      <w:r>
        <w:t xml:space="preserve">The control plane (historically called the “master”) — the decision-making layer. It watches the state of the cluster, stores configuration, and decides what should run where.</w:t>
      </w:r>
    </w:p>
    <w:p>
      <w:pPr>
        <w:pStyle w:val="ListParagraph"/>
        <w:numPr>
          <w:ilvl w:val="0"/>
          <w:numId w:val="2"/>
        </w:numPr>
        <w:spacing w:after="90"/>
      </w:pPr>
      <w:r>
        <w:t xml:space="preserve">The worker nodes (often just called “nodes”) — the machines that actually run your application containers, inside objects called Pods.</w:t>
      </w:r>
    </w:p>
    <w:p>
      <w:pPr>
        <w:spacing w:after="160"/>
      </w:pPr>
      <w:r>
        <w:t xml:space="preserve">On a laptop-scale setup (Minikube, Docker Desktop, a single-node k3s box) every one of these pieces runs on one machine as a pile of containers. In the real world, you deliberately split control-plane responsibilities away from worker responsibilities — for reliability, for security, and so a busy application can’t starve the components that keep the cluster itself alive.</w:t>
      </w:r>
    </w:p>
    <w:p>
      <w:pPr>
        <w:pBdr>
          <w:left w:val="single" w:color="AAAAAA" w:sz="12" w:space="8"/>
        </w:pBdr>
        <w:spacing w:after="200" w:before="100"/>
        <w:ind w:left="200"/>
      </w:pPr>
      <w:r>
        <w:rPr>
          <w:b/>
          <w:bCs/>
          <w:i/>
          <w:iCs/>
          <w:color w:val="555555"/>
        </w:rPr>
        <w:t xml:space="preserve">Note: </w:t>
      </w:r>
      <w:r>
        <w:rPr>
          <w:i/>
          <w:iCs/>
          <w:color w:val="555555"/>
        </w:rPr>
        <w:t xml:space="preserve">Kubernetes' own documentation has moved away from the term “master” in favor of “control plane,” though you will still see “master” in a lot of older material, diagrams, and casual conversation. They mean the same thing.</w:t>
      </w:r>
    </w:p>
    <w:p>
      <w:pPr>
        <w:pStyle w:val="Heading1"/>
        <w:spacing w:after="200" w:before="400"/>
      </w:pPr>
      <w:r>
        <w:t xml:space="preserve">Part 2 — The Control Plane: The Cluster’s Brain</w:t>
      </w:r>
    </w:p>
    <w:p>
      <w:pPr>
        <w:spacing w:after="160"/>
      </w:pPr>
      <w:r>
        <w:t xml:space="preserve">The control plane isn’t one process — it’s a small group of cooperating components, each doing one job well (the same Unix philosophy you’ll recognize from other infrastructure tooling). That separation keeps each piece simple to develop, but it does mean there is more to stand up and reason about when you build the platform yourself.</w:t>
      </w:r>
    </w:p>
    <w:p>
      <w:pPr>
        <w:pStyle w:val="Heading2"/>
        <w:spacing w:after="150" w:before="300"/>
      </w:pPr>
      <w:r>
        <w:t xml:space="preserve">2.1 kube-apiserver</w:t>
      </w:r>
    </w:p>
    <w:p>
      <w:pPr>
        <w:spacing w:after="160"/>
      </w:pPr>
      <w:r>
        <w:t xml:space="preserve">The API server is the front door to the cluster. Every request — from kubectl, from a controller, from another component — goes through it. It validates requests, enforces access control, and is the only component that talks directly to etcd. Nothing else in the cluster is allowed to read or write cluster state except through the API server.</w:t>
      </w:r>
    </w:p>
    <w:p>
      <w:pPr>
        <w:pStyle w:val="Heading2"/>
        <w:spacing w:after="150" w:before="300"/>
      </w:pPr>
      <w:r>
        <w:t xml:space="preserve">2.2 etcd</w:t>
      </w:r>
    </w:p>
    <w:p>
      <w:pPr>
        <w:spacing w:after="160"/>
      </w:pPr>
      <w:r>
        <w:t xml:space="preserve">etcd is a distributed key-value store, and it is where the entire state of your cluster actually lives — every Deployment, every Service, every Secret, every node’s status. It uses the RAFT consensus protocol to keep multiple copies of that data in agreement, which is why etcd (and control planes in general) are typically run in odd numbers: 1, 3, or 5. An odd count lets the group form a majority (quorum) even if some members are unreachable; an even count only adds a member that can create a tie without adding fault tolerance.</w:t>
      </w:r>
    </w:p>
    <w:p>
      <w:pPr>
        <w:spacing w:after="160"/>
      </w:pPr>
      <w:r>
        <w:t xml:space="preserve">You can run etcd as its own standalone service outside of Kubernetes — it’s a general-purpose configuration store — but on most clusters it runs as one of the control-plane components, often colocated with the other control-plane containers on the same nodes.</w:t>
      </w:r>
    </w:p>
    <w:p>
      <w:pPr>
        <w:pStyle w:val="Heading2"/>
        <w:spacing w:after="150" w:before="300"/>
      </w:pPr>
      <w:r>
        <w:t xml:space="preserve">2.3 kube-scheduler</w:t>
      </w:r>
    </w:p>
    <w:p>
      <w:pPr>
        <w:spacing w:after="160"/>
      </w:pPr>
      <w:r>
        <w:t xml:space="preserve">The scheduler decides which node a new Pod should run on. It looks at resource requests, hardware constraints, affinity/anti-affinity rules, taints and tolerations, and available capacity across every node, then assigns the Pod. It only makes the decision — the actual starting of the container is the worker node’s job (specifically, kubelet’s job, covered in Part 3).</w:t>
      </w:r>
    </w:p>
    <w:p>
      <w:pPr>
        <w:pStyle w:val="Heading2"/>
        <w:spacing w:after="150" w:before="300"/>
      </w:pPr>
      <w:r>
        <w:t xml:space="preserve">2.4 kube-controller-manager</w:t>
      </w:r>
    </w:p>
    <w:p>
      <w:pPr>
        <w:spacing w:after="160"/>
      </w:pPr>
      <w:r>
        <w:t xml:space="preserve">This is the component that keeps reality matching your intent. It continuously compares the desired state you’ve declared (“I want 3 replicas of this app running”) against the actual state of the cluster, and if they differ, it takes action through the API server to close the gap — restarting a crashed Pod, replacing a failed one, and so on. This reconciliation loop pattern (observe → compare → act) is the same underlying idea behind almost every Kubernetes controller and every operator you’ll later install, including the Longhorn and MetalLB controllers covered further down.</w:t>
      </w:r>
    </w:p>
    <w:p>
      <w:pPr>
        <w:pStyle w:val="Heading2"/>
        <w:spacing w:after="150" w:before="300"/>
      </w:pPr>
      <w:r>
        <w:t xml:space="preserve">2.5 CoreDNS</w:t>
      </w:r>
    </w:p>
    <w:p>
      <w:pPr>
        <w:spacing w:after="160"/>
      </w:pPr>
      <w:r>
        <w:t xml:space="preserve">Kubernetes doesn’t include DNS resolution as a built-in core function — it’s added on top, and CoreDNS is the default choice for that job. It gives Pods and Services stable, resolvable names inside the cluster (so app-a can reach app-b by name instead of by an ever-changing IP address). Depending on which other add-ons you install — networking (CNI), storage, ingress — you will end up running quite a few more containers in the control-plane namespace beyond this baseline set.</w:t>
      </w:r>
    </w:p>
    <w:p>
      <w:pPr>
        <w:pStyle w:val="Heading2"/>
        <w:spacing w:after="150" w:before="300"/>
      </w:pPr>
      <w:r>
        <w:t xml:space="preserve">2.6 Single-Node vs. Multi-Node Control Plane</w:t>
      </w:r>
    </w:p>
    <w:p>
      <w:pPr>
        <w:spacing w:after="160"/>
      </w:pPr>
      <w:r>
        <w:t xml:space="preserve">On a single learning cluster, every one of the above runs as a handful of containers on one machine, and there is nothing to fail over to. In production, you run the control plane on multiple nodes for high availability:</w:t>
      </w:r>
    </w:p>
    <w:p>
      <w:pPr>
        <w:pStyle w:val="ListParagraph"/>
        <w:numPr>
          <w:ilvl w:val="0"/>
          <w:numId w:val="2"/>
        </w:numPr>
        <w:spacing w:after="90"/>
      </w:pPr>
      <w:r>
        <w:t xml:space="preserve">etcd runs as a cluster of (usually) 3 members across 3 separate control-plane nodes, so it can tolerate losing one member and still keep quorum.</w:t>
      </w:r>
    </w:p>
    <w:p>
      <w:pPr>
        <w:pStyle w:val="ListParagraph"/>
        <w:numPr>
          <w:ilvl w:val="0"/>
          <w:numId w:val="2"/>
        </w:numPr>
        <w:spacing w:after="90"/>
      </w:pPr>
      <w:r>
        <w:t xml:space="preserve">kube-apiserver runs on every control-plane node, and a load balancer or virtual IP (VIP) sits in front of all of them so clients (including kubectl and kubelet on the workers) always have a reachable endpoint even if one control-plane node goes down.</w:t>
      </w:r>
    </w:p>
    <w:p>
      <w:pPr>
        <w:pStyle w:val="ListParagraph"/>
        <w:numPr>
          <w:ilvl w:val="0"/>
          <w:numId w:val="2"/>
        </w:numPr>
        <w:spacing w:after="90"/>
      </w:pPr>
      <w:r>
        <w:t xml:space="preserve">kube-scheduler and kube-controller-manager run on every control-plane node too, but only one instance of each is actively “leading” at a time (leader election) — the others sit on standby, ready to take over instantly if the leader disappears.</w:t>
      </w:r>
    </w:p>
    <w:p>
      <w:pPr>
        <w:pBdr>
          <w:left w:val="single" w:color="AAAAAA" w:sz="12" w:space="8"/>
        </w:pBdr>
        <w:spacing w:after="200" w:before="100"/>
        <w:ind w:left="200"/>
      </w:pPr>
      <w:r>
        <w:rPr>
          <w:b/>
          <w:bCs/>
          <w:i/>
          <w:iCs/>
          <w:color w:val="555555"/>
        </w:rPr>
        <w:t xml:space="preserve">Note: </w:t>
      </w:r>
      <w:r>
        <w:rPr>
          <w:i/>
          <w:iCs/>
          <w:color w:val="555555"/>
        </w:rPr>
        <w:t xml:space="preserve">This is exactly the pattern used for a 9-VM RKE2 topology with dual HAProxy/Keepalived in front for the API server VIP: three control-plane nodes for etcd/API quorum, dedicated disks for etcd I/O, and the remaining nodes as workers running Longhorn.</w:t>
      </w:r>
    </w:p>
    <w:p>
      <w:r>
        <w:br w:type="page"/>
      </w:r>
    </w:p>
    <w:p>
      <w:pPr>
        <w:pStyle w:val="Heading1"/>
        <w:spacing w:after="200" w:before="400"/>
      </w:pPr>
      <w:r>
        <w:t xml:space="preserve">Part 3 — Worker Nodes: The Cluster’s Muscle</w:t>
      </w:r>
    </w:p>
    <w:p>
      <w:pPr>
        <w:spacing w:after="160"/>
      </w:pPr>
      <w:r>
        <w:t xml:space="preserve">Worker nodes are where your applications actually run. Each one needs two things to participate in the cluster: an agent that lets it talk to the control plane, and a way to actually run containers.</w:t>
      </w:r>
    </w:p>
    <w:p>
      <w:pPr>
        <w:pStyle w:val="Heading2"/>
        <w:spacing w:after="150" w:before="300"/>
      </w:pPr>
      <w:r>
        <w:t xml:space="preserve">3.1 kubelet</w:t>
      </w:r>
    </w:p>
    <w:p>
      <w:pPr>
        <w:spacing w:after="160"/>
      </w:pPr>
      <w:r>
        <w:t xml:space="preserve">kubelet is the agent that runs on every node (control-plane nodes included, if they’re allowed to also run workloads). It registers the node with the control plane, receives Pod specifications from the API server, and makes sure the containers described in those specs are actually running and healthy on that node — talking to the local container runtime to start, stop, and monitor them. Where the scheduler decides where a Pod should go, kubelet is what makes it real on that specific machine.</w:t>
      </w:r>
    </w:p>
    <w:p>
      <w:pPr>
        <w:pStyle w:val="Heading2"/>
        <w:spacing w:after="150" w:before="300"/>
      </w:pPr>
      <w:r>
        <w:t xml:space="preserve">3.2 kube-proxy</w:t>
      </w:r>
    </w:p>
    <w:p>
      <w:pPr>
        <w:spacing w:after="160"/>
      </w:pPr>
      <w:r>
        <w:t xml:space="preserve">kube-proxy handles the networking rules that let traffic reach the right Pod, no matter which node it’s running on or how many replicas exist. It maintains the routing rules (traditionally via iptables or IPVS) that implement Kubernetes Services — the abstraction that gives a moving, scaling set of Pods one stable address.</w:t>
      </w:r>
    </w:p>
    <w:p>
      <w:pPr>
        <w:pStyle w:val="Heading2"/>
        <w:spacing w:after="150" w:before="300"/>
      </w:pPr>
      <w:r>
        <w:t xml:space="preserve">3.3 Container Runtime</w:t>
      </w:r>
    </w:p>
    <w:p>
      <w:pPr>
        <w:spacing w:after="160"/>
      </w:pPr>
      <w:r>
        <w:t xml:space="preserve">Underneath kubelet sits the actual engine that runs containers — containerd and CRI-O are the two most common choices today. Kubernetes talks to whichever runtime is installed through a standard interface (the Container Runtime Interface, or CRI), so the rest of the system doesn’t need to care which one you’ve chosen.</w:t>
      </w:r>
    </w:p>
    <w:p>
      <w:pPr>
        <w:pStyle w:val="Heading2"/>
        <w:spacing w:after="150" w:before="300"/>
      </w:pPr>
      <w:r>
        <w:t xml:space="preserve">3.4 Single Worker vs. Multi-Worker Environments</w:t>
      </w:r>
    </w:p>
    <w:p>
      <w:pPr>
        <w:spacing w:after="160"/>
      </w:pPr>
      <w:r>
        <w:t xml:space="preserve">With one worker node, every Pod you deploy lands there by definition — there’s no real scheduling decision to make, and no resilience if that node goes down. The moment you add more worker nodes, several things start to matter:</w:t>
      </w:r>
    </w:p>
    <w:p>
      <w:pPr>
        <w:pStyle w:val="ListParagraph"/>
        <w:numPr>
          <w:ilvl w:val="0"/>
          <w:numId w:val="2"/>
        </w:numPr>
        <w:spacing w:after="90"/>
      </w:pPr>
      <w:r>
        <w:t xml:space="preserve">Spread: the scheduler can distribute replicas of an app across different nodes so a single node failure doesn’t take the whole app down.</w:t>
      </w:r>
    </w:p>
    <w:p>
      <w:pPr>
        <w:pStyle w:val="ListParagraph"/>
        <w:numPr>
          <w:ilvl w:val="0"/>
          <w:numId w:val="2"/>
        </w:numPr>
        <w:spacing w:after="90"/>
      </w:pPr>
      <w:r>
        <w:t xml:space="preserve">Capacity: more nodes mean more aggregate CPU/RAM/disk for the scheduler to place workloads against.</w:t>
      </w:r>
    </w:p>
    <w:p>
      <w:pPr>
        <w:pStyle w:val="ListParagraph"/>
        <w:numPr>
          <w:ilvl w:val="0"/>
          <w:numId w:val="2"/>
        </w:numPr>
        <w:spacing w:after="90"/>
      </w:pPr>
      <w:r>
        <w:t xml:space="preserve">Specialization: you can label and taint nodes for specific roles — for example, tagging nodes that have fast local disks for storage-heavy workloads, or keeping GPU nodes reserved for ML jobs.</w:t>
      </w:r>
    </w:p>
    <w:p>
      <w:pPr>
        <w:pStyle w:val="ListParagraph"/>
        <w:numPr>
          <w:ilvl w:val="0"/>
          <w:numId w:val="2"/>
        </w:numPr>
        <w:spacing w:after="90"/>
      </w:pPr>
      <w:r>
        <w:t xml:space="preserve">Rolling maintenance: with multiple nodes, you can drain and patch one at a time without taking the application offline.</w:t>
      </w:r>
    </w:p>
    <w:p>
      <w:pPr>
        <w:spacing w:after="160"/>
      </w:pPr>
      <w:r>
        <w:t xml:space="preserve">This is also the point where add-ons like MetalLB and Longhorn (below) start to matter, because both of them lean on having multiple nodes to spread load and replicate data across.</w:t>
      </w:r>
    </w:p>
    <w:p>
      <w:pPr>
        <w:pStyle w:val="Heading1"/>
        <w:spacing w:after="200" w:before="400"/>
      </w:pPr>
      <w:r>
        <w:t xml:space="preserve">Part 4 — Load Balancing on Bare Metal: MetalLB</w:t>
      </w:r>
    </w:p>
    <w:p>
      <w:pPr>
        <w:pStyle w:val="Heading2"/>
        <w:spacing w:after="150" w:before="300"/>
      </w:pPr>
      <w:r>
        <w:t xml:space="preserve">4.1 The Problem It Solves</w:t>
      </w:r>
    </w:p>
    <w:p>
      <w:pPr>
        <w:spacing w:after="160"/>
      </w:pPr>
      <w:r>
        <w:t xml:space="preserve">In a cloud environment, creating a Kubernetes Service of type LoadBalancer automatically provisions a cloud load balancer with a real external IP. On bare-metal or self-hosted infrastructure (VMware, on-prem racks, home lab), there is no cloud API to call — LoadBalancer Services would otherwise sit forever in a “pending” state with no external IP assigned. MetalLB fills that gap: it is a load-balancer implementation for bare-metal clusters that hands out real, routable IP addresses from pools you define, using standard networking protocols instead of a cloud provider's proprietary API.</w:t>
      </w:r>
    </w:p>
    <w:p>
      <w:pPr>
        <w:pStyle w:val="Heading2"/>
        <w:spacing w:after="150" w:before="300"/>
      </w:pPr>
      <w:r>
        <w:t xml:space="preserve">4.2 Controller vs. Speaker</w:t>
      </w:r>
    </w:p>
    <w:p>
      <w:pPr>
        <w:spacing w:after="160"/>
      </w:pPr>
      <w:r>
        <w:t xml:space="preserve">MetalLB is made of two cooperating components, and understanding the split between them is the key to understanding how it behaves in a multi-node cluster:</w:t>
      </w:r>
    </w:p>
    <w:p>
      <w:pPr>
        <w:pStyle w:val="ListParagraph"/>
        <w:numPr>
          <w:ilvl w:val="0"/>
          <w:numId w:val="2"/>
        </w:numPr>
        <w:spacing w:after="90"/>
      </w:pPr>
      <w:r>
        <w:t xml:space="preserve">The controller runs as a single Deployment. Its job is IP address management: when a new LoadBalancer Service appears, the controller picks a free IP from the configured address pool and assigns it.</w:t>
      </w:r>
    </w:p>
    <w:p>
      <w:pPr>
        <w:pStyle w:val="ListParagraph"/>
        <w:numPr>
          <w:ilvl w:val="0"/>
          <w:numId w:val="2"/>
        </w:numPr>
        <w:spacing w:after="90"/>
      </w:pPr>
      <w:r>
        <w:t xml:space="preserve">The speaker runs as a DaemonSet — meaning one Pod on every eligible node. Its job is to actually announce that IP to the network so traffic finds its way in.</w:t>
      </w:r>
    </w:p>
    <w:p>
      <w:pPr>
        <w:pStyle w:val="Heading2"/>
        <w:spacing w:after="150" w:before="300"/>
      </w:pPr>
      <w:r>
        <w:t xml:space="preserve">4.3 Layer 2 Mode vs. BGP Mode</w:t>
      </w:r>
    </w:p>
    <w:p>
      <w:pPr>
        <w:spacing w:after="160"/>
      </w:pPr>
      <w:r>
        <w:t xml:space="preserve">How the speaker announces an IP depends on which mode you configure: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E5395" w:val="clear"/>
            <w:tcMar>
              <w:top w:type="dxa" w:w="80"/>
              <w:left w:type="dxa" w:w="120"/>
              <w:bottom w:type="dxa" w:w="80"/>
              <w:right w:type="dxa" w:w="120"/>
            </w:tcMar>
          </w:tcPr>
          <w:p>
            <w:r>
              <w:rPr>
                <w:b/>
                <w:bCs/>
                <w:color w:val="FFFFFF"/>
                <w:sz w:val="20"/>
                <w:szCs w:val="20"/>
              </w:rPr>
              <w:t xml:space="preserve">Aspect</w:t>
            </w:r>
          </w:p>
        </w:tc>
        <w:tc>
          <w:tcPr>
            <w:tcW w:type="dxa" w:w="3400"/>
            <w:shd w:fill="2E5395" w:val="clear"/>
            <w:tcMar>
              <w:top w:type="dxa" w:w="80"/>
              <w:left w:type="dxa" w:w="120"/>
              <w:bottom w:type="dxa" w:w="80"/>
              <w:right w:type="dxa" w:w="120"/>
            </w:tcMar>
          </w:tcPr>
          <w:p>
            <w:r>
              <w:rPr>
                <w:b/>
                <w:bCs/>
                <w:color w:val="FFFFFF"/>
                <w:sz w:val="20"/>
                <w:szCs w:val="20"/>
              </w:rPr>
              <w:t xml:space="preserve">Layer 2 mode</w:t>
            </w:r>
          </w:p>
        </w:tc>
        <w:tc>
          <w:tcPr>
            <w:tcW w:type="dxa" w:w="3400"/>
            <w:shd w:fill="2E5395" w:val="clear"/>
            <w:tcMar>
              <w:top w:type="dxa" w:w="80"/>
              <w:left w:type="dxa" w:w="120"/>
              <w:bottom w:type="dxa" w:w="80"/>
              <w:right w:type="dxa" w:w="120"/>
            </w:tcMar>
          </w:tcPr>
          <w:p>
            <w:r>
              <w:rPr>
                <w:b/>
                <w:bCs/>
                <w:color w:val="FFFFFF"/>
                <w:sz w:val="20"/>
                <w:szCs w:val="20"/>
              </w:rPr>
              <w:t xml:space="preserve">BGP mode</w:t>
            </w:r>
          </w:p>
        </w:tc>
      </w:tr>
      <w:tr>
        <w:tc>
          <w:tcPr>
            <w:tcW w:type="dxa" w:w="2600"/>
            <w:tcMar>
              <w:top w:type="dxa" w:w="80"/>
              <w:left w:type="dxa" w:w="120"/>
              <w:bottom w:type="dxa" w:w="80"/>
              <w:right w:type="dxa" w:w="120"/>
            </w:tcMar>
          </w:tcPr>
          <w:p>
            <w:r>
              <w:rPr>
                <w:b w:val="false"/>
                <w:bCs w:val="false"/>
                <w:color w:val="000000"/>
                <w:sz w:val="20"/>
                <w:szCs w:val="20"/>
              </w:rPr>
              <w:t xml:space="preserve">How it announces</w:t>
            </w:r>
          </w:p>
        </w:tc>
        <w:tc>
          <w:tcPr>
            <w:tcW w:type="dxa" w:w="3400"/>
            <w:tcMar>
              <w:top w:type="dxa" w:w="80"/>
              <w:left w:type="dxa" w:w="120"/>
              <w:bottom w:type="dxa" w:w="80"/>
              <w:right w:type="dxa" w:w="120"/>
            </w:tcMar>
          </w:tcPr>
          <w:p>
            <w:r>
              <w:rPr>
                <w:b w:val="false"/>
                <w:bCs w:val="false"/>
                <w:color w:val="000000"/>
                <w:sz w:val="20"/>
                <w:szCs w:val="20"/>
              </w:rPr>
              <w:t xml:space="preserve">One speaker Pod is elected per service and answers ARP (IPv4) / NDP (IPv6) requests for that IP, as if it owned it.</w:t>
            </w:r>
          </w:p>
        </w:tc>
        <w:tc>
          <w:tcPr>
            <w:tcW w:type="dxa" w:w="3400"/>
            <w:tcMar>
              <w:top w:type="dxa" w:w="80"/>
              <w:left w:type="dxa" w:w="120"/>
              <w:bottom w:type="dxa" w:w="80"/>
              <w:right w:type="dxa" w:w="120"/>
            </w:tcMar>
          </w:tcPr>
          <w:p>
            <w:r>
              <w:rPr>
                <w:b w:val="false"/>
                <w:bCs w:val="false"/>
                <w:color w:val="000000"/>
                <w:sz w:val="20"/>
                <w:szCs w:val="20"/>
              </w:rPr>
              <w:t xml:space="preserve">Every speaker Pod establishes a BGP session with your upstream routers and advertises the service IP as a route.</w:t>
            </w:r>
          </w:p>
        </w:tc>
      </w:tr>
      <w:tr>
        <w:tc>
          <w:tcPr>
            <w:tcW w:type="dxa" w:w="2600"/>
            <w:tcMar>
              <w:top w:type="dxa" w:w="80"/>
              <w:left w:type="dxa" w:w="120"/>
              <w:bottom w:type="dxa" w:w="80"/>
              <w:right w:type="dxa" w:w="120"/>
            </w:tcMar>
          </w:tcPr>
          <w:p>
            <w:r>
              <w:rPr>
                <w:b w:val="false"/>
                <w:bCs w:val="false"/>
                <w:color w:val="000000"/>
                <w:sz w:val="20"/>
                <w:szCs w:val="20"/>
              </w:rPr>
              <w:t xml:space="preserve">Failover</w:t>
            </w:r>
          </w:p>
        </w:tc>
        <w:tc>
          <w:tcPr>
            <w:tcW w:type="dxa" w:w="3400"/>
            <w:tcMar>
              <w:top w:type="dxa" w:w="80"/>
              <w:left w:type="dxa" w:w="120"/>
              <w:bottom w:type="dxa" w:w="80"/>
              <w:right w:type="dxa" w:w="120"/>
            </w:tcMar>
          </w:tcPr>
          <w:p>
            <w:r>
              <w:rPr>
                <w:b w:val="false"/>
                <w:bCs w:val="false"/>
                <w:color w:val="000000"/>
                <w:sz w:val="20"/>
                <w:szCs w:val="20"/>
              </w:rPr>
              <w:t xml:space="preserve">Slower — relies on cluster membership detection to notice a node is gone and re-elect a new announcer.</w:t>
            </w:r>
          </w:p>
        </w:tc>
        <w:tc>
          <w:tcPr>
            <w:tcW w:type="dxa" w:w="3400"/>
            <w:tcMar>
              <w:top w:type="dxa" w:w="80"/>
              <w:left w:type="dxa" w:w="120"/>
              <w:bottom w:type="dxa" w:w="80"/>
              <w:right w:type="dxa" w:w="120"/>
            </w:tcMar>
          </w:tcPr>
          <w:p>
            <w:r>
              <w:rPr>
                <w:b w:val="false"/>
                <w:bCs w:val="false"/>
                <w:color w:val="000000"/>
                <w:sz w:val="20"/>
                <w:szCs w:val="20"/>
              </w:rPr>
              <w:t xml:space="preserve">Faster — routers can react to a withdrawn BGP route almost immediately, and can even load-balance across several nodes at once (ECMP).</w:t>
            </w:r>
          </w:p>
        </w:tc>
      </w:tr>
      <w:tr>
        <w:tc>
          <w:tcPr>
            <w:tcW w:type="dxa" w:w="2600"/>
            <w:tcMar>
              <w:top w:type="dxa" w:w="80"/>
              <w:left w:type="dxa" w:w="120"/>
              <w:bottom w:type="dxa" w:w="80"/>
              <w:right w:type="dxa" w:w="120"/>
            </w:tcMar>
          </w:tcPr>
          <w:p>
            <w:r>
              <w:rPr>
                <w:b w:val="false"/>
                <w:bCs w:val="false"/>
                <w:color w:val="000000"/>
                <w:sz w:val="20"/>
                <w:szCs w:val="20"/>
              </w:rPr>
              <w:t xml:space="preserve">Traffic path</w:t>
            </w:r>
          </w:p>
        </w:tc>
        <w:tc>
          <w:tcPr>
            <w:tcW w:type="dxa" w:w="3400"/>
            <w:tcMar>
              <w:top w:type="dxa" w:w="80"/>
              <w:left w:type="dxa" w:w="120"/>
              <w:bottom w:type="dxa" w:w="80"/>
              <w:right w:type="dxa" w:w="120"/>
            </w:tcMar>
          </w:tcPr>
          <w:p>
            <w:r>
              <w:rPr>
                <w:b w:val="false"/>
                <w:bCs w:val="false"/>
                <w:color w:val="000000"/>
                <w:sz w:val="20"/>
                <w:szCs w:val="20"/>
              </w:rPr>
              <w:t xml:space="preserve">All traffic for a given service funnels through whichever single node is currently announcing it.</w:t>
            </w:r>
          </w:p>
        </w:tc>
        <w:tc>
          <w:tcPr>
            <w:tcW w:type="dxa" w:w="3400"/>
            <w:tcMar>
              <w:top w:type="dxa" w:w="80"/>
              <w:left w:type="dxa" w:w="120"/>
              <w:bottom w:type="dxa" w:w="80"/>
              <w:right w:type="dxa" w:w="120"/>
            </w:tcMar>
          </w:tcPr>
          <w:p>
            <w:r>
              <w:rPr>
                <w:b w:val="false"/>
                <w:bCs w:val="false"/>
                <w:color w:val="000000"/>
                <w:sz w:val="20"/>
                <w:szCs w:val="20"/>
              </w:rPr>
              <w:t xml:space="preserve">Traffic can be spread across multiple nodes simultaneously via your router's routing table.</w:t>
            </w:r>
          </w:p>
        </w:tc>
      </w:tr>
      <w:tr>
        <w:tc>
          <w:tcPr>
            <w:tcW w:type="dxa" w:w="2600"/>
            <w:tcMar>
              <w:top w:type="dxa" w:w="80"/>
              <w:left w:type="dxa" w:w="120"/>
              <w:bottom w:type="dxa" w:w="80"/>
              <w:right w:type="dxa" w:w="120"/>
            </w:tcMar>
          </w:tcPr>
          <w:p>
            <w:r>
              <w:rPr>
                <w:b w:val="false"/>
                <w:bCs w:val="false"/>
                <w:color w:val="000000"/>
                <w:sz w:val="20"/>
                <w:szCs w:val="20"/>
              </w:rPr>
              <w:t xml:space="preserve">Complexity</w:t>
            </w:r>
          </w:p>
        </w:tc>
        <w:tc>
          <w:tcPr>
            <w:tcW w:type="dxa" w:w="3400"/>
            <w:tcMar>
              <w:top w:type="dxa" w:w="80"/>
              <w:left w:type="dxa" w:w="120"/>
              <w:bottom w:type="dxa" w:w="80"/>
              <w:right w:type="dxa" w:w="120"/>
            </w:tcMar>
          </w:tcPr>
          <w:p>
            <w:r>
              <w:rPr>
                <w:b w:val="false"/>
                <w:bCs w:val="false"/>
                <w:color w:val="000000"/>
                <w:sz w:val="20"/>
                <w:szCs w:val="20"/>
              </w:rPr>
              <w:t xml:space="preserve">Simple — works on any flat L2 network, no router configuration needed.</w:t>
            </w:r>
          </w:p>
        </w:tc>
        <w:tc>
          <w:tcPr>
            <w:tcW w:type="dxa" w:w="3400"/>
            <w:tcMar>
              <w:top w:type="dxa" w:w="80"/>
              <w:left w:type="dxa" w:w="120"/>
              <w:bottom w:type="dxa" w:w="80"/>
              <w:right w:type="dxa" w:w="120"/>
            </w:tcMar>
          </w:tcPr>
          <w:p>
            <w:r>
              <w:rPr>
                <w:b w:val="false"/>
                <w:bCs w:val="false"/>
                <w:color w:val="000000"/>
                <w:sz w:val="20"/>
                <w:szCs w:val="20"/>
              </w:rPr>
              <w:t xml:space="preserve">More setup — requires BGP peering configuration with real network hardware (or FRR/FRR-K8s as MetalLB's own BGP speaker).</w:t>
            </w:r>
          </w:p>
        </w:tc>
      </w:tr>
    </w:tbl>
    <w:p>
      <w:pPr>
        <w:spacing w:after="160"/>
      </w:pPr>
      <w:r>
        <w:t xml:space="preserve">As of recent MetalLB releases, the default BGP backend shipped in the Helm chart is FRR-K8s (a separate DaemonSet dedicated to the BGP session), rather than the older approach of running FRR as a sidecar inside the speaker Pod itself — worth knowing if you’re comparing an older deployment against a fresh install.</w:t>
      </w:r>
    </w:p>
    <w:p>
      <w:pPr>
        <w:pStyle w:val="Heading2"/>
        <w:spacing w:after="150" w:before="300"/>
      </w:pPr>
      <w:r>
        <w:t xml:space="preserve">4.4 Replica Count Configurations</w:t>
      </w:r>
    </w:p>
    <w:p>
      <w:pPr>
        <w:spacing w:after="160"/>
      </w:pPr>
      <w:r>
        <w:t xml:space="preserve">MetalLB’s two components scale very differently, and getting this right is the difference between a load balancer that fails over cleanly and one that has a single point of failure hiding in plain sight: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500"/>
      </w:tblGrid>
      <w:tr>
        <w:trPr>
          <w:tblHeader/>
        </w:trPr>
        <w:tc>
          <w:tcPr>
            <w:tcW w:type="dxa" w:w="2200"/>
            <w:shd w:fill="2E5395" w:val="clear"/>
            <w:tcMar>
              <w:top w:type="dxa" w:w="80"/>
              <w:left w:type="dxa" w:w="120"/>
              <w:bottom w:type="dxa" w:w="80"/>
              <w:right w:type="dxa" w:w="120"/>
            </w:tcMar>
          </w:tcPr>
          <w:p>
            <w:r>
              <w:rPr>
                <w:b/>
                <w:bCs/>
                <w:color w:val="FFFFFF"/>
                <w:sz w:val="20"/>
                <w:szCs w:val="20"/>
              </w:rPr>
              <w:t xml:space="preserve">Component</w:t>
            </w:r>
          </w:p>
        </w:tc>
        <w:tc>
          <w:tcPr>
            <w:tcW w:type="dxa" w:w="3700"/>
            <w:shd w:fill="2E5395" w:val="clear"/>
            <w:tcMar>
              <w:top w:type="dxa" w:w="80"/>
              <w:left w:type="dxa" w:w="120"/>
              <w:bottom w:type="dxa" w:w="80"/>
              <w:right w:type="dxa" w:w="120"/>
            </w:tcMar>
          </w:tcPr>
          <w:p>
            <w:r>
              <w:rPr>
                <w:b/>
                <w:bCs/>
                <w:color w:val="FFFFFF"/>
                <w:sz w:val="20"/>
                <w:szCs w:val="20"/>
              </w:rPr>
              <w:t xml:space="preserve">Default replica behavior</w:t>
            </w:r>
          </w:p>
        </w:tc>
        <w:tc>
          <w:tcPr>
            <w:tcW w:type="dxa" w:w="3500"/>
            <w:shd w:fill="2E5395" w:val="clear"/>
            <w:tcMar>
              <w:top w:type="dxa" w:w="80"/>
              <w:left w:type="dxa" w:w="120"/>
              <w:bottom w:type="dxa" w:w="80"/>
              <w:right w:type="dxa" w:w="120"/>
            </w:tcMar>
          </w:tcPr>
          <w:p>
            <w:r>
              <w:rPr>
                <w:b/>
                <w:bCs/>
                <w:color w:val="FFFFFF"/>
                <w:sz w:val="20"/>
                <w:szCs w:val="20"/>
              </w:rPr>
              <w:t xml:space="preserve">Recommended for HA</w:t>
            </w:r>
          </w:p>
        </w:tc>
      </w:tr>
      <w:tr>
        <w:tc>
          <w:tcPr>
            <w:tcW w:type="dxa" w:w="2200"/>
            <w:tcMar>
              <w:top w:type="dxa" w:w="80"/>
              <w:left w:type="dxa" w:w="120"/>
              <w:bottom w:type="dxa" w:w="80"/>
              <w:right w:type="dxa" w:w="120"/>
            </w:tcMar>
          </w:tcPr>
          <w:p>
            <w:r>
              <w:rPr>
                <w:b w:val="false"/>
                <w:bCs w:val="false"/>
                <w:color w:val="000000"/>
                <w:sz w:val="20"/>
                <w:szCs w:val="20"/>
              </w:rPr>
              <w:t xml:space="preserve">controller</w:t>
            </w:r>
          </w:p>
        </w:tc>
        <w:tc>
          <w:tcPr>
            <w:tcW w:type="dxa" w:w="3700"/>
            <w:tcMar>
              <w:top w:type="dxa" w:w="80"/>
              <w:left w:type="dxa" w:w="120"/>
              <w:bottom w:type="dxa" w:w="80"/>
              <w:right w:type="dxa" w:w="120"/>
            </w:tcMar>
          </w:tcPr>
          <w:p>
            <w:r>
              <w:rPr>
                <w:b w:val="false"/>
                <w:bCs w:val="false"/>
                <w:color w:val="000000"/>
                <w:sz w:val="20"/>
                <w:szCs w:val="20"/>
              </w:rPr>
              <w:t xml:space="preserve">Runs as a Deployment with 1 replica by default.</w:t>
            </w:r>
          </w:p>
        </w:tc>
        <w:tc>
          <w:tcPr>
            <w:tcW w:type="dxa" w:w="3500"/>
            <w:tcMar>
              <w:top w:type="dxa" w:w="80"/>
              <w:left w:type="dxa" w:w="120"/>
              <w:bottom w:type="dxa" w:w="80"/>
              <w:right w:type="dxa" w:w="120"/>
            </w:tcMar>
          </w:tcPr>
          <w:p>
            <w:r>
              <w:rPr>
                <w:b w:val="false"/>
                <w:bCs w:val="false"/>
                <w:color w:val="000000"/>
                <w:sz w:val="20"/>
                <w:szCs w:val="20"/>
              </w:rPr>
              <w:t xml:space="preserve">Increase to 2–3 replicas with pod anti-affinity rules so replicas land on different nodes; only one is ever active leader, but this removes the single point of failure if that node goes down.</w:t>
            </w:r>
          </w:p>
        </w:tc>
      </w:tr>
      <w:tr>
        <w:tc>
          <w:tcPr>
            <w:tcW w:type="dxa" w:w="2200"/>
            <w:tcMar>
              <w:top w:type="dxa" w:w="80"/>
              <w:left w:type="dxa" w:w="120"/>
              <w:bottom w:type="dxa" w:w="80"/>
              <w:right w:type="dxa" w:w="120"/>
            </w:tcMar>
          </w:tcPr>
          <w:p>
            <w:r>
              <w:rPr>
                <w:b w:val="false"/>
                <w:bCs w:val="false"/>
                <w:color w:val="000000"/>
                <w:sz w:val="20"/>
                <w:szCs w:val="20"/>
              </w:rPr>
              <w:t xml:space="preserve">speaker</w:t>
            </w:r>
          </w:p>
        </w:tc>
        <w:tc>
          <w:tcPr>
            <w:tcW w:type="dxa" w:w="3700"/>
            <w:tcMar>
              <w:top w:type="dxa" w:w="80"/>
              <w:left w:type="dxa" w:w="120"/>
              <w:bottom w:type="dxa" w:w="80"/>
              <w:right w:type="dxa" w:w="120"/>
            </w:tcMar>
          </w:tcPr>
          <w:p>
            <w:r>
              <w:rPr>
                <w:b w:val="false"/>
                <w:bCs w:val="false"/>
                <w:color w:val="000000"/>
                <w:sz w:val="20"/>
                <w:szCs w:val="20"/>
              </w:rPr>
              <w:t xml:space="preserve">Runs as a DaemonSet — one Pod per eligible node automatically, no “replica count” to set.</w:t>
            </w:r>
          </w:p>
        </w:tc>
        <w:tc>
          <w:tcPr>
            <w:tcW w:type="dxa" w:w="3500"/>
            <w:tcMar>
              <w:top w:type="dxa" w:w="80"/>
              <w:left w:type="dxa" w:w="120"/>
              <w:bottom w:type="dxa" w:w="80"/>
              <w:right w:type="dxa" w:w="120"/>
            </w:tcMar>
          </w:tcPr>
          <w:p>
            <w:r>
              <w:rPr>
                <w:b w:val="false"/>
                <w:bCs w:val="false"/>
                <w:color w:val="000000"/>
                <w:sz w:val="20"/>
                <w:szCs w:val="20"/>
              </w:rPr>
              <w:t xml:space="preserve">Make sure enough nodes are eligible to run the speaker (control-plane nodes are sometimes excluded via tolerations) so that losing one node still leaves others able to announce service IPs.</w:t>
            </w:r>
          </w:p>
        </w:tc>
      </w:tr>
    </w:tbl>
    <w:p>
      <w:pPr>
        <w:pBdr>
          <w:left w:val="single" w:color="AAAAAA" w:sz="12" w:space="8"/>
        </w:pBdr>
        <w:spacing w:after="200" w:before="100"/>
        <w:ind w:left="200"/>
      </w:pPr>
      <w:r>
        <w:rPr>
          <w:b/>
          <w:bCs/>
          <w:i/>
          <w:iCs/>
          <w:color w:val="555555"/>
        </w:rPr>
        <w:t xml:space="preserve">Note: </w:t>
      </w:r>
      <w:r>
        <w:rPr>
          <w:i/>
          <w:iCs/>
          <w:color w:val="555555"/>
        </w:rPr>
        <w:t xml:space="preserve">A LoadBalancer Service using a workload with only one replica can undermine MetalLB's own failover — if the service’s own backend Pod only exists on one node, MetalLB can correctly move the announcement, but there’s nothing healthy to send traffic to on the new node. HA at the load-balancer layer and HA at the application layer are two separate things you need to configure together.</w:t>
      </w:r>
    </w:p>
    <w:p>
      <w:r>
        <w:br w:type="page"/>
      </w:r>
    </w:p>
    <w:p>
      <w:pPr>
        <w:pStyle w:val="Heading1"/>
        <w:spacing w:after="200" w:before="400"/>
      </w:pPr>
      <w:r>
        <w:t xml:space="preserve">Part 5 — Persistent Storage: Longhorn</w:t>
      </w:r>
    </w:p>
    <w:p>
      <w:pPr>
        <w:pStyle w:val="Heading2"/>
        <w:spacing w:after="150" w:before="300"/>
      </w:pPr>
      <w:r>
        <w:t xml:space="preserve">5.1 The Problem It Solves</w:t>
      </w:r>
    </w:p>
    <w:p>
      <w:pPr>
        <w:spacing w:after="160"/>
      </w:pPr>
      <w:r>
        <w:t xml:space="preserve">Containers are ephemeral by design — when a Pod is rescheduled to a different node, anything written to its local filesystem is gone. Stateful applications (databases, message queues, file stores) need storage that survives Pod restarts and can follow the Pod if it moves to a different node. Longhorn is a distributed block storage system built specifically for Kubernetes: it turns the local disks already attached to your worker nodes into a replicated, cluster-wide storage pool, without requiring a separate SAN or NAS appliance.</w:t>
      </w:r>
    </w:p>
    <w:p>
      <w:pPr>
        <w:pStyle w:val="Heading2"/>
        <w:spacing w:after="150" w:before="300"/>
      </w:pPr>
      <w:r>
        <w:t xml:space="preserve">5.2 Manager vs. Engine vs. Replica</w:t>
      </w:r>
    </w:p>
    <w:p>
      <w:pPr>
        <w:spacing w:after="160"/>
      </w:pPr>
      <w:r>
        <w:t xml:space="preserve">Longhorn follows the same control-plane / data-plane split you’ve already seen in core Kubernetes:</w:t>
      </w:r>
    </w:p>
    <w:p>
      <w:pPr>
        <w:pStyle w:val="ListParagraph"/>
        <w:numPr>
          <w:ilvl w:val="0"/>
          <w:numId w:val="2"/>
        </w:numPr>
        <w:spacing w:after="90"/>
      </w:pPr>
      <w:r>
        <w:t xml:space="preserve">Longhorn Manager is the control plane. It runs as a DaemonSet (one Pod per node) and handles orchestration — creating volumes, scheduling replicas onto nodes, and reacting to failures.</w:t>
      </w:r>
    </w:p>
    <w:p>
      <w:pPr>
        <w:pStyle w:val="ListParagraph"/>
        <w:numPr>
          <w:ilvl w:val="0"/>
          <w:numId w:val="2"/>
        </w:numPr>
        <w:spacing w:after="90"/>
      </w:pPr>
      <w:r>
        <w:t xml:space="preserve">Longhorn Engine is the data plane for a single volume. When a volume is attached to a Pod, the Manager creates one Engine instance on that Pod's node. The Engine is what the Pod actually talks to (exposed as a block device via iSCSI).</w:t>
      </w:r>
    </w:p>
    <w:p>
      <w:pPr>
        <w:pStyle w:val="ListParagraph"/>
        <w:numPr>
          <w:ilvl w:val="0"/>
          <w:numId w:val="2"/>
        </w:numPr>
        <w:spacing w:after="90"/>
      </w:pPr>
      <w:r>
        <w:t xml:space="preserve">Replicas are where the actual data lives. Each replica holds a full copy of the volume's data on a different node's disk. Every write is sent by the Engine to every replica; reads are served from whichever replica is healthy and available.</w:t>
      </w:r>
    </w:p>
    <w:p>
      <w:pPr>
        <w:spacing w:after="160"/>
      </w:pPr>
      <w:r>
        <w:t xml:space="preserve">So for one Longhorn volume with 3 replicas, you end up with: one Engine instance (on the node running the Pod that mounted the volume) talking over the network to three Replica instances spread across different nodes.</w:t>
      </w:r>
    </w:p>
    <w:p>
      <w:pPr>
        <w:pStyle w:val="Heading2"/>
        <w:spacing w:after="150" w:before="300"/>
      </w:pPr>
      <w:r>
        <w:t xml:space="preserve">5.3 Replica Count Configurations &amp; Fault Tolerance</w:t>
      </w:r>
    </w:p>
    <w:p>
      <w:pPr>
        <w:spacing w:after="160"/>
      </w:pPr>
      <w:r>
        <w:t xml:space="preserve">The replica count is the single most important Longhorn setting, and it's configurable at three levels — a global default, per-StorageClass, and per-volume — with the more specific setting winning.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2E5395" w:val="clear"/>
            <w:tcMar>
              <w:top w:type="dxa" w:w="80"/>
              <w:left w:type="dxa" w:w="120"/>
              <w:bottom w:type="dxa" w:w="80"/>
              <w:right w:type="dxa" w:w="120"/>
            </w:tcMar>
          </w:tcPr>
          <w:p>
            <w:r>
              <w:rPr>
                <w:b/>
                <w:bCs/>
                <w:color w:val="FFFFFF"/>
                <w:sz w:val="20"/>
                <w:szCs w:val="20"/>
              </w:rPr>
              <w:t xml:space="preserve">Replica count</w:t>
            </w:r>
          </w:p>
        </w:tc>
        <w:tc>
          <w:tcPr>
            <w:tcW w:type="dxa" w:w="3400"/>
            <w:shd w:fill="2E5395" w:val="clear"/>
            <w:tcMar>
              <w:top w:type="dxa" w:w="80"/>
              <w:left w:type="dxa" w:w="120"/>
              <w:bottom w:type="dxa" w:w="80"/>
              <w:right w:type="dxa" w:w="120"/>
            </w:tcMar>
          </w:tcPr>
          <w:p>
            <w:r>
              <w:rPr>
                <w:b/>
                <w:bCs/>
                <w:color w:val="FFFFFF"/>
                <w:sz w:val="20"/>
                <w:szCs w:val="20"/>
              </w:rPr>
              <w:t xml:space="preserve">Tolerates losing</w:t>
            </w:r>
          </w:p>
        </w:tc>
        <w:tc>
          <w:tcPr>
            <w:tcW w:type="dxa" w:w="3800"/>
            <w:shd w:fill="2E5395" w:val="clear"/>
            <w:tcMar>
              <w:top w:type="dxa" w:w="80"/>
              <w:left w:type="dxa" w:w="120"/>
              <w:bottom w:type="dxa" w:w="80"/>
              <w:right w:type="dxa" w:w="120"/>
            </w:tcMar>
          </w:tcPr>
          <w:p>
            <w:r>
              <w:rPr>
                <w:b/>
                <w:bCs/>
                <w:color w:val="FFFFFF"/>
                <w:sz w:val="20"/>
                <w:szCs w:val="20"/>
              </w:rPr>
              <w:t xml:space="preserve">Typical use</w:t>
            </w:r>
          </w:p>
        </w:tc>
      </w:tr>
      <w:tr>
        <w:tc>
          <w:tcPr>
            <w:tcW w:type="dxa" w:w="2200"/>
            <w:tcMar>
              <w:top w:type="dxa" w:w="80"/>
              <w:left w:type="dxa" w:w="120"/>
              <w:bottom w:type="dxa" w:w="80"/>
              <w:right w:type="dxa" w:w="120"/>
            </w:tcMar>
          </w:tcPr>
          <w:p>
            <w:r>
              <w:rPr>
                <w:b w:val="false"/>
                <w:bCs w:val="false"/>
                <w:color w:val="000000"/>
                <w:sz w:val="20"/>
                <w:szCs w:val="20"/>
              </w:rPr>
              <w:t xml:space="preserve">1</w:t>
            </w:r>
          </w:p>
        </w:tc>
        <w:tc>
          <w:tcPr>
            <w:tcW w:type="dxa" w:w="3400"/>
            <w:tcMar>
              <w:top w:type="dxa" w:w="80"/>
              <w:left w:type="dxa" w:w="120"/>
              <w:bottom w:type="dxa" w:w="80"/>
              <w:right w:type="dxa" w:w="120"/>
            </w:tcMar>
          </w:tcPr>
          <w:p>
            <w:r>
              <w:rPr>
                <w:b w:val="false"/>
                <w:bCs w:val="false"/>
                <w:color w:val="000000"/>
                <w:sz w:val="20"/>
                <w:szCs w:val="20"/>
              </w:rPr>
              <w:t xml:space="preserve">0 replicas — no redundancy at all.</w:t>
            </w:r>
          </w:p>
        </w:tc>
        <w:tc>
          <w:tcPr>
            <w:tcW w:type="dxa" w:w="3800"/>
            <w:tcMar>
              <w:top w:type="dxa" w:w="80"/>
              <w:left w:type="dxa" w:w="120"/>
              <w:bottom w:type="dxa" w:w="80"/>
              <w:right w:type="dxa" w:w="120"/>
            </w:tcMar>
          </w:tcPr>
          <w:p>
            <w:r>
              <w:rPr>
                <w:b w:val="false"/>
                <w:bCs w:val="false"/>
                <w:color w:val="000000"/>
                <w:sz w:val="20"/>
                <w:szCs w:val="20"/>
              </w:rPr>
              <w:t xml:space="preserve">Scratch/dev data, or storage-tagged nodes where redundancy is handled another way (e.g. the app itself replicates).</w:t>
            </w:r>
          </w:p>
        </w:tc>
      </w:tr>
      <w:tr>
        <w:tc>
          <w:tcPr>
            <w:tcW w:type="dxa" w:w="2200"/>
            <w:tcMar>
              <w:top w:type="dxa" w:w="80"/>
              <w:left w:type="dxa" w:w="120"/>
              <w:bottom w:type="dxa" w:w="80"/>
              <w:right w:type="dxa" w:w="120"/>
            </w:tcMar>
          </w:tcPr>
          <w:p>
            <w:r>
              <w:rPr>
                <w:b w:val="false"/>
                <w:bCs w:val="false"/>
                <w:color w:val="000000"/>
                <w:sz w:val="20"/>
                <w:szCs w:val="20"/>
              </w:rPr>
              <w:t xml:space="preserve">2</w:t>
            </w:r>
          </w:p>
        </w:tc>
        <w:tc>
          <w:tcPr>
            <w:tcW w:type="dxa" w:w="3400"/>
            <w:tcMar>
              <w:top w:type="dxa" w:w="80"/>
              <w:left w:type="dxa" w:w="120"/>
              <w:bottom w:type="dxa" w:w="80"/>
              <w:right w:type="dxa" w:w="120"/>
            </w:tcMar>
          </w:tcPr>
          <w:p>
            <w:r>
              <w:rPr>
                <w:b w:val="false"/>
                <w:bCs w:val="false"/>
                <w:color w:val="000000"/>
                <w:sz w:val="20"/>
                <w:szCs w:val="20"/>
              </w:rPr>
              <w:t xml:space="preserve">1 replica.</w:t>
            </w:r>
          </w:p>
        </w:tc>
        <w:tc>
          <w:tcPr>
            <w:tcW w:type="dxa" w:w="3800"/>
            <w:tcMar>
              <w:top w:type="dxa" w:w="80"/>
              <w:left w:type="dxa" w:w="120"/>
              <w:bottom w:type="dxa" w:w="80"/>
              <w:right w:type="dxa" w:w="120"/>
            </w:tcMar>
          </w:tcPr>
          <w:p>
            <w:r>
              <w:rPr>
                <w:b w:val="false"/>
                <w:bCs w:val="false"/>
                <w:color w:val="000000"/>
                <w:sz w:val="20"/>
                <w:szCs w:val="20"/>
              </w:rPr>
              <w:t xml:space="preserve">A space-conscious middle ground — still survives one node failure, uses 33% less space than 3 copies.</w:t>
            </w:r>
          </w:p>
        </w:tc>
      </w:tr>
      <w:tr>
        <w:tc>
          <w:tcPr>
            <w:tcW w:type="dxa" w:w="2200"/>
            <w:tcMar>
              <w:top w:type="dxa" w:w="80"/>
              <w:left w:type="dxa" w:w="120"/>
              <w:bottom w:type="dxa" w:w="80"/>
              <w:right w:type="dxa" w:w="120"/>
            </w:tcMar>
          </w:tcPr>
          <w:p>
            <w:r>
              <w:rPr>
                <w:b w:val="false"/>
                <w:bCs w:val="false"/>
                <w:color w:val="000000"/>
                <w:sz w:val="20"/>
                <w:szCs w:val="20"/>
              </w:rPr>
              <w:t xml:space="preserve">3 (Longhorn default)</w:t>
            </w:r>
          </w:p>
        </w:tc>
        <w:tc>
          <w:tcPr>
            <w:tcW w:type="dxa" w:w="3400"/>
            <w:tcMar>
              <w:top w:type="dxa" w:w="80"/>
              <w:left w:type="dxa" w:w="120"/>
              <w:bottom w:type="dxa" w:w="80"/>
              <w:right w:type="dxa" w:w="120"/>
            </w:tcMar>
          </w:tcPr>
          <w:p>
            <w:r>
              <w:rPr>
                <w:b w:val="false"/>
                <w:bCs w:val="false"/>
                <w:color w:val="000000"/>
                <w:sz w:val="20"/>
                <w:szCs w:val="20"/>
              </w:rPr>
              <w:t xml:space="preserve">2 replicas.</w:t>
            </w:r>
          </w:p>
        </w:tc>
        <w:tc>
          <w:tcPr>
            <w:tcW w:type="dxa" w:w="3800"/>
            <w:tcMar>
              <w:top w:type="dxa" w:w="80"/>
              <w:left w:type="dxa" w:w="120"/>
              <w:bottom w:type="dxa" w:w="80"/>
              <w:right w:type="dxa" w:w="120"/>
            </w:tcMar>
          </w:tcPr>
          <w:p>
            <w:r>
              <w:rPr>
                <w:b w:val="false"/>
                <w:bCs w:val="false"/>
                <w:color w:val="000000"/>
                <w:sz w:val="20"/>
                <w:szCs w:val="20"/>
              </w:rPr>
              <w:t xml:space="preserve">The standard production setting: on a cluster of 3+ nodes, the volume survives losing any single node.</w:t>
            </w:r>
          </w:p>
        </w:tc>
      </w:tr>
    </w:tbl>
    <w:p>
      <w:pPr>
        <w:spacing w:after="160"/>
      </w:pPr>
      <w:r>
        <w:t xml:space="preserve">The general rule: with a replica count of N, a volume can tolerate N−1 replica failures and stay online, because at least one healthy replica is always required to keep serving reads and writes. Longhorn needs at least as many eligible nodes (with sufficient disk space) as the replica count, since it tries to place each replica on a separate node.</w:t>
      </w:r>
    </w:p>
    <w:p>
      <w:pPr>
        <w:pBdr>
          <w:left w:val="single" w:color="AAAAAA" w:sz="12" w:space="8"/>
        </w:pBdr>
        <w:spacing w:after="200" w:before="100"/>
        <w:ind w:left="200"/>
      </w:pPr>
      <w:r>
        <w:rPr>
          <w:b/>
          <w:bCs/>
          <w:i/>
          <w:iCs/>
          <w:color w:val="555555"/>
        </w:rPr>
        <w:t xml:space="preserve">Note: </w:t>
      </w:r>
      <w:r>
        <w:rPr>
          <w:i/>
          <w:iCs/>
          <w:color w:val="555555"/>
        </w:rPr>
        <w:t xml:space="preserve">Whether 2 or 3 replicas is “right” is genuinely debated in the Longhorn community. The case for 3 is straightforward redundancy; the case for 2 on a 3-node cluster is that if two of your three nodes die simultaneously, your Kubernetes control-plane quorum is already gone anyway, so the third data copy is protecting against a scenario your cluster likely wouldn't survive regardless. Either is a legitimate, documented choice — pick based on how much of that extra 33% disk space you can spare.</w:t>
      </w:r>
    </w:p>
    <w:p>
      <w:pPr>
        <w:pStyle w:val="Heading2"/>
        <w:spacing w:after="150" w:before="300"/>
      </w:pPr>
      <w:r>
        <w:t xml:space="preserve">5.4 Data Locality</w:t>
      </w:r>
    </w:p>
    <w:p>
      <w:pPr>
        <w:spacing w:after="160"/>
      </w:pPr>
      <w:r>
        <w:t xml:space="preserve">By default, Longhorn schedules replicas purely based on available disk space, with no preference for keeping a copy on the same node as the Pod using the volume. Enabling “best-effort” data locality tells Longhorn to try placing one replica on the Pod's own node when possible, which reduces network hops for reads/writes and can meaningfully help I/O-heavy workloads — at the cost of slightly less even space usage across the cluster.</w:t>
      </w:r>
    </w:p>
    <w:p>
      <w:pPr>
        <w:pStyle w:val="Heading1"/>
        <w:spacing w:after="200" w:before="400"/>
      </w:pPr>
      <w:r>
        <w:t xml:space="preserve">Part 6 — Ingress and the Gateway API</w:t>
      </w:r>
    </w:p>
    <w:p>
      <w:pPr>
        <w:pStyle w:val="Heading2"/>
        <w:spacing w:after="150" w:before="300"/>
      </w:pPr>
      <w:r>
        <w:t xml:space="preserve">6.1 Traditional Ingress and Its Limits</w:t>
      </w:r>
    </w:p>
    <w:p>
      <w:pPr>
        <w:spacing w:after="160"/>
      </w:pPr>
      <w:r>
        <w:t xml:space="preserve">For years, the standard way to route external HTTP/HTTPS traffic into a cluster was the Ingress resource. It works, and every Ingress controller (NGINX Ingress being the best-known example) implements it — but the Ingress API itself is deliberately minimal: host + path based routing and TLS termination, essentially nothing else. Anything beyond that — rewrites, rate limiting, header manipulation, weighted traffic splitting — has to be bolted on through annotations, and every controller's annotation set is different. That makes Ingress configuration hard to port between controllers and hard to reason about with any single, consistent permission model.</w:t>
      </w:r>
    </w:p>
    <w:p>
      <w:pPr>
        <w:pStyle w:val="Heading2"/>
        <w:spacing w:after="150" w:before="300"/>
      </w:pPr>
      <w:r>
        <w:t xml:space="preserve">6.2 Gateway API: A Role-Oriented Redesign</w:t>
      </w:r>
    </w:p>
    <w:p>
      <w:pPr>
        <w:spacing w:after="160"/>
      </w:pPr>
      <w:r>
        <w:t xml:space="preserve">Gateway API is the Kubernetes project's own successor to Ingress — an official, separately-versioned set of APIs (not bundled into core Kubernetes, so its CRDs are installed on top of any cluster) designed around three separate resources and, deliberately, three separate organizational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5395" w:val="clear"/>
            <w:tcMar>
              <w:top w:type="dxa" w:w="80"/>
              <w:left w:type="dxa" w:w="120"/>
              <w:bottom w:type="dxa" w:w="80"/>
              <w:right w:type="dxa" w:w="120"/>
            </w:tcMar>
          </w:tcPr>
          <w:p>
            <w:r>
              <w:rPr>
                <w:b/>
                <w:bCs/>
                <w:color w:val="FFFFFF"/>
                <w:sz w:val="20"/>
                <w:szCs w:val="20"/>
              </w:rPr>
              <w:t xml:space="preserve">Resource</w:t>
            </w:r>
          </w:p>
        </w:tc>
        <w:tc>
          <w:tcPr>
            <w:tcW w:type="dxa" w:w="2600"/>
            <w:shd w:fill="2E5395" w:val="clear"/>
            <w:tcMar>
              <w:top w:type="dxa" w:w="80"/>
              <w:left w:type="dxa" w:w="120"/>
              <w:bottom w:type="dxa" w:w="80"/>
              <w:right w:type="dxa" w:w="120"/>
            </w:tcMar>
          </w:tcPr>
          <w:p>
            <w:r>
              <w:rPr>
                <w:b/>
                <w:bCs/>
                <w:color w:val="FFFFFF"/>
                <w:sz w:val="20"/>
                <w:szCs w:val="20"/>
              </w:rPr>
              <w:t xml:space="preserve">Typically owned by</w:t>
            </w:r>
          </w:p>
        </w:tc>
        <w:tc>
          <w:tcPr>
            <w:tcW w:type="dxa" w:w="4200"/>
            <w:shd w:fill="2E5395" w:val="clear"/>
            <w:tcMar>
              <w:top w:type="dxa" w:w="80"/>
              <w:left w:type="dxa" w:w="120"/>
              <w:bottom w:type="dxa" w:w="80"/>
              <w:right w:type="dxa" w:w="120"/>
            </w:tcMar>
          </w:tcPr>
          <w:p>
            <w:r>
              <w:rPr>
                <w:b/>
                <w:bCs/>
                <w:color w:val="FFFFFF"/>
                <w:sz w:val="20"/>
                <w:szCs w:val="20"/>
              </w:rPr>
              <w:t xml:space="preserve">Purpose</w:t>
            </w:r>
          </w:p>
        </w:tc>
      </w:tr>
      <w:tr>
        <w:tc>
          <w:tcPr>
            <w:tcW w:type="dxa" w:w="2600"/>
            <w:tcMar>
              <w:top w:type="dxa" w:w="80"/>
              <w:left w:type="dxa" w:w="120"/>
              <w:bottom w:type="dxa" w:w="80"/>
              <w:right w:type="dxa" w:w="120"/>
            </w:tcMar>
          </w:tcPr>
          <w:p>
            <w:r>
              <w:rPr>
                <w:b w:val="false"/>
                <w:bCs w:val="false"/>
                <w:color w:val="000000"/>
                <w:sz w:val="20"/>
                <w:szCs w:val="20"/>
              </w:rPr>
              <w:t xml:space="preserve">GatewayClass</w:t>
            </w:r>
          </w:p>
        </w:tc>
        <w:tc>
          <w:tcPr>
            <w:tcW w:type="dxa" w:w="2600"/>
            <w:tcMar>
              <w:top w:type="dxa" w:w="80"/>
              <w:left w:type="dxa" w:w="120"/>
              <w:bottom w:type="dxa" w:w="80"/>
              <w:right w:type="dxa" w:w="120"/>
            </w:tcMar>
          </w:tcPr>
          <w:p>
            <w:r>
              <w:rPr>
                <w:b w:val="false"/>
                <w:bCs w:val="false"/>
                <w:color w:val="000000"/>
                <w:sz w:val="20"/>
                <w:szCs w:val="20"/>
              </w:rPr>
              <w:t xml:space="preserve">Infrastructure provider / platform team</w:t>
            </w:r>
          </w:p>
        </w:tc>
        <w:tc>
          <w:tcPr>
            <w:tcW w:type="dxa" w:w="4200"/>
            <w:tcMar>
              <w:top w:type="dxa" w:w="80"/>
              <w:left w:type="dxa" w:w="120"/>
              <w:bottom w:type="dxa" w:w="80"/>
              <w:right w:type="dxa" w:w="120"/>
            </w:tcMar>
          </w:tcPr>
          <w:p>
            <w:r>
              <w:rPr>
                <w:b w:val="false"/>
                <w:bCs w:val="false"/>
                <w:color w:val="000000"/>
                <w:sz w:val="20"/>
                <w:szCs w:val="20"/>
              </w:rPr>
              <w:t xml:space="preserve">A cluster-scoped template defining which controller implements Gateways created from it (e.g. NGINX Gateway Fabric, Istio, Envoy Gateway).</w:t>
            </w:r>
          </w:p>
        </w:tc>
      </w:tr>
      <w:tr>
        <w:tc>
          <w:tcPr>
            <w:tcW w:type="dxa" w:w="2600"/>
            <w:tcMar>
              <w:top w:type="dxa" w:w="80"/>
              <w:left w:type="dxa" w:w="120"/>
              <w:bottom w:type="dxa" w:w="80"/>
              <w:right w:type="dxa" w:w="120"/>
            </w:tcMar>
          </w:tcPr>
          <w:p>
            <w:r>
              <w:rPr>
                <w:b w:val="false"/>
                <w:bCs w:val="false"/>
                <w:color w:val="000000"/>
                <w:sz w:val="20"/>
                <w:szCs w:val="20"/>
              </w:rPr>
              <w:t xml:space="preserve">Gateway</w:t>
            </w:r>
          </w:p>
        </w:tc>
        <w:tc>
          <w:tcPr>
            <w:tcW w:type="dxa" w:w="2600"/>
            <w:tcMar>
              <w:top w:type="dxa" w:w="80"/>
              <w:left w:type="dxa" w:w="120"/>
              <w:bottom w:type="dxa" w:w="80"/>
              <w:right w:type="dxa" w:w="120"/>
            </w:tcMar>
          </w:tcPr>
          <w:p>
            <w:r>
              <w:rPr>
                <w:b w:val="false"/>
                <w:bCs w:val="false"/>
                <w:color w:val="000000"/>
                <w:sz w:val="20"/>
                <w:szCs w:val="20"/>
              </w:rPr>
              <w:t xml:space="preserve">Cluster operator</w:t>
            </w:r>
          </w:p>
        </w:tc>
        <w:tc>
          <w:tcPr>
            <w:tcW w:type="dxa" w:w="4200"/>
            <w:tcMar>
              <w:top w:type="dxa" w:w="80"/>
              <w:left w:type="dxa" w:w="120"/>
              <w:bottom w:type="dxa" w:w="80"/>
              <w:right w:type="dxa" w:w="120"/>
            </w:tcMar>
          </w:tcPr>
          <w:p>
            <w:r>
              <w:rPr>
                <w:b w:val="false"/>
                <w:bCs w:val="false"/>
                <w:color w:val="000000"/>
                <w:sz w:val="20"/>
                <w:szCs w:val="20"/>
              </w:rPr>
              <w:t xml:space="preserve">A concrete listener — binds to an IP/port, handles TLS termination, and defines where traffic enters the cluster.</w:t>
            </w:r>
          </w:p>
        </w:tc>
      </w:tr>
      <w:tr>
        <w:tc>
          <w:tcPr>
            <w:tcW w:type="dxa" w:w="2600"/>
            <w:tcMar>
              <w:top w:type="dxa" w:w="80"/>
              <w:left w:type="dxa" w:w="120"/>
              <w:bottom w:type="dxa" w:w="80"/>
              <w:right w:type="dxa" w:w="120"/>
            </w:tcMar>
          </w:tcPr>
          <w:p>
            <w:r>
              <w:rPr>
                <w:b w:val="false"/>
                <w:bCs w:val="false"/>
                <w:color w:val="000000"/>
                <w:sz w:val="20"/>
                <w:szCs w:val="20"/>
              </w:rPr>
              <w:t xml:space="preserve">HTTPRoute (and TCPRoute, GRPCRoute, etc.)</w:t>
            </w:r>
          </w:p>
        </w:tc>
        <w:tc>
          <w:tcPr>
            <w:tcW w:type="dxa" w:w="2600"/>
            <w:tcMar>
              <w:top w:type="dxa" w:w="80"/>
              <w:left w:type="dxa" w:w="120"/>
              <w:bottom w:type="dxa" w:w="80"/>
              <w:right w:type="dxa" w:w="120"/>
            </w:tcMar>
          </w:tcPr>
          <w:p>
            <w:r>
              <w:rPr>
                <w:b w:val="false"/>
                <w:bCs w:val="false"/>
                <w:color w:val="000000"/>
                <w:sz w:val="20"/>
                <w:szCs w:val="20"/>
              </w:rPr>
              <w:t xml:space="preserve">Application developer</w:t>
            </w:r>
          </w:p>
        </w:tc>
        <w:tc>
          <w:tcPr>
            <w:tcW w:type="dxa" w:w="4200"/>
            <w:tcMar>
              <w:top w:type="dxa" w:w="80"/>
              <w:left w:type="dxa" w:w="120"/>
              <w:bottom w:type="dxa" w:w="80"/>
              <w:right w:type="dxa" w:w="120"/>
            </w:tcMar>
          </w:tcPr>
          <w:p>
            <w:r>
              <w:rPr>
                <w:b w:val="false"/>
                <w:bCs w:val="false"/>
                <w:color w:val="000000"/>
                <w:sz w:val="20"/>
                <w:szCs w:val="20"/>
              </w:rPr>
              <w:t xml:space="preserve">Routing rules attached to a Gateway — which hostnames/paths go to which backend Service, with native support for header matching, traffic splitting, and more.</w:t>
            </w:r>
          </w:p>
        </w:tc>
      </w:tr>
    </w:tbl>
    <w:p>
      <w:pPr>
        <w:spacing w:after="160"/>
      </w:pPr>
      <w:r>
        <w:t xml:space="preserve">That role split is the real design goal: a platform team can own and lock down the Gateway (the shared entry point and TLS certs) while individual application teams safely own only their own HTTPRoutes, without needing cluster-admin access just to change how their own traffic is routed.</w:t>
      </w:r>
    </w:p>
    <w:p>
      <w:pPr>
        <w:pStyle w:val="Heading2"/>
        <w:spacing w:after="150" w:before="300"/>
      </w:pPr>
      <w:r>
        <w:t xml:space="preserve">6.3 How Gateway API Relates to Ingress</w:t>
      </w:r>
    </w:p>
    <w:p>
      <w:pPr>
        <w:spacing w:after="160"/>
      </w:pPr>
      <w:r>
        <w:t xml:space="preserve">Gateway API does not include an Ingress resource at all — it's a genuinely new, expanded set of typed objects rather than a repackaging of Ingress. It's also a strict superset in capability: everything Ingress could do, Gateway API can do, plus native (not annotation-based) support for more protocols — HTTP, HTTPS, TLS passthrough, TCP, UDP, and gRPC — and portable, controller-independent traffic-splitting and header-matching rules.</w:t>
      </w:r>
    </w:p>
    <w:p>
      <w:pPr>
        <w:spacing w:after="160"/>
      </w:pPr>
      <w:r>
        <w:t xml:space="preserve">Migration is a one-time conversion, not a live upgrade path — existing Ingress objects have to be translated into Gateway/HTTPRoute objects, either by hand or with the community's ingress2gateway tool. In practice, teams typically run a Gateway API controller (such as NGINX Gateway Fabric) alongside an existing Ingress controller during migration, moving one namespace or application at a time rather than cutting everything over at once.</w:t>
      </w:r>
    </w:p>
    <w:p>
      <w:pPr>
        <w:pBdr>
          <w:left w:val="single" w:color="AAAAAA" w:sz="12" w:space="8"/>
        </w:pBdr>
        <w:spacing w:after="200" w:before="100"/>
        <w:ind w:left="200"/>
      </w:pPr>
      <w:r>
        <w:rPr>
          <w:b/>
          <w:bCs/>
          <w:i/>
          <w:iCs/>
          <w:color w:val="555555"/>
        </w:rPr>
        <w:t xml:space="preserve">Note: </w:t>
      </w:r>
      <w:r>
        <w:rPr>
          <w:i/>
          <w:iCs/>
          <w:color w:val="555555"/>
        </w:rPr>
        <w:t xml:space="preserve">This matters operationally too: the community-maintained Ingress-NGINX controller (the classic “ingress-nginx” project, distinct from NGINX's own Gateway API implementation) is on a deprecation path, which is pushing new deployments toward Gateway API implementations like NGINX Gateway Fabric as the forward-looking choice rather than a nice-to-have.</w:t>
      </w:r>
    </w:p>
    <w:p>
      <w:r>
        <w:br w:type="page"/>
      </w:r>
    </w:p>
    <w:p>
      <w:pPr>
        <w:pStyle w:val="Heading1"/>
        <w:spacing w:after="200" w:before="400"/>
      </w:pPr>
      <w:r>
        <w:t xml:space="preserve">Part 7 — Multi-Control-Plane (HA) Architecture in Practice</w:t>
      </w:r>
    </w:p>
    <w:p>
      <w:pPr>
        <w:pStyle w:val="Heading2"/>
        <w:spacing w:after="150" w:before="300"/>
      </w:pPr>
      <w:r>
        <w:t xml:space="preserve">7.1 Why Odd Numbers</w:t>
      </w:r>
    </w:p>
    <w:p>
      <w:pPr>
        <w:spacing w:after="160"/>
      </w:pPr>
      <w:r>
        <w:t xml:space="preserve">Everything in the control plane that needs to agree on a single truth — etcd above all — uses a consensus protocol that requires a majority (quorum) of members to agree before a write is considered committed. With 3 members, the cluster tolerates losing 1 and still has a majority (2 of 3). With 5 members, it tolerates losing 2. An even number like 4 doesn't buy you anything over 3 — you still only tolerate 1 loss, but now you're running (and paying for) an extra node. This is why production control planes are built with 3 or 5 nodes, never 2 or 4.</w:t>
      </w:r>
    </w:p>
    <w:p>
      <w:pPr>
        <w:pStyle w:val="Heading2"/>
        <w:spacing w:after="150" w:before="300"/>
      </w:pPr>
      <w:r>
        <w:t xml:space="preserve">7.2 Load Balancing the API Server</w:t>
      </w:r>
    </w:p>
    <w:p>
      <w:pPr>
        <w:spacing w:after="160"/>
      </w:pPr>
      <w:r>
        <w:t xml:space="preserve">With multiple control-plane nodes, each running its own kube-apiserver, every other component in the cluster (kubelet on every worker, kubectl, CI/CD pipelines, other controllers) needs one stable address to reach “the API server,” not three separate IPs to choose between. The standard pattern is a virtual IP (VIP) in front of the control-plane nodes, managed by something like HAProxy for load balancing plus Keepalived for VIP failover — if the node currently holding the VIP goes down, Keepalived moves it to a surviving node within seconds.</w:t>
      </w:r>
    </w:p>
    <w:p>
      <w:pPr>
        <w:pStyle w:val="Heading2"/>
        <w:spacing w:after="150" w:before="300"/>
      </w:pPr>
      <w:r>
        <w:t xml:space="preserve">7.3 Putting It Together: A 3-Control-Plane Example</w:t>
      </w:r>
    </w:p>
    <w:p>
      <w:pPr>
        <w:spacing w:after="160"/>
      </w:pPr>
      <w:r>
        <w:t xml:space="preserve">A realistic small HA cluster looks like this:</w:t>
      </w:r>
    </w:p>
    <w:p>
      <w:pPr>
        <w:pStyle w:val="ListParagraph"/>
        <w:numPr>
          <w:ilvl w:val="0"/>
          <w:numId w:val="2"/>
        </w:numPr>
        <w:spacing w:after="90"/>
      </w:pPr>
      <w:r>
        <w:t xml:space="preserve">3 control-plane nodes, each running kube-apiserver, kube-scheduler, kube-controller-manager, and an etcd member — etcd often placed on its own dedicated disk for I/O isolation, since it's write-heavy and latency-sensitive.</w:t>
      </w:r>
    </w:p>
    <w:p>
      <w:pPr>
        <w:pStyle w:val="ListParagraph"/>
        <w:numPr>
          <w:ilvl w:val="0"/>
          <w:numId w:val="2"/>
        </w:numPr>
        <w:spacing w:after="90"/>
      </w:pPr>
      <w:r>
        <w:t xml:space="preserve">A dual HAProxy/Keepalived pair (or a cloud/hardware load balancer) fronting the three API servers behind one VIP.</w:t>
      </w:r>
    </w:p>
    <w:p>
      <w:pPr>
        <w:pStyle w:val="ListParagraph"/>
        <w:numPr>
          <w:ilvl w:val="0"/>
          <w:numId w:val="2"/>
        </w:numPr>
        <w:spacing w:after="90"/>
      </w:pPr>
      <w:r>
        <w:t xml:space="preserve">Several worker nodes joined to the cluster through that VIP, running the actual application Pods, plus DaemonSets like MetalLB's speaker and Longhorn's manager and replicas.</w:t>
      </w:r>
    </w:p>
    <w:p>
      <w:pPr>
        <w:spacing w:after="160"/>
      </w:pPr>
      <w:r>
        <w:t xml:space="preserve">This is precisely the shape of a 9-VM RKE2 topology built for production: three control-plane VMs with dedicated etcd disks, a HAProxy/Keepalived pair for the API VIP, and the remaining VMs as workers carrying Longhorn storage. It also directly explains why a single Kubernetes cluster doesn't stretch cleanly across widely separated datacenters (e.g. Las Vegas, Hyderabad, and London): etcd's consensus protocol is latency-sensitive, and intercontinental round-trip times are far higher than etcd's write path tolerates well. The practical answer is running three independent regional clusters and federating or synchronizing at a higher layer (DNS failover, cross-cluster search, application-level replication) rather than trying to stretch one cluster's etcd across continents.</w:t>
      </w:r>
    </w:p>
    <w:p>
      <w:pPr>
        <w:pStyle w:val="Heading1"/>
        <w:spacing w:after="200" w:before="400"/>
      </w:pPr>
      <w:r>
        <w:t xml:space="preserve">Part 8 — Multi-Worker Node Architecture in Practice</w:t>
      </w:r>
    </w:p>
    <w:p>
      <w:pPr>
        <w:pStyle w:val="Heading2"/>
        <w:spacing w:after="150" w:before="300"/>
      </w:pPr>
      <w:r>
        <w:t xml:space="preserve">8.1 Scheduling Across Many Nodes</w:t>
      </w:r>
    </w:p>
    <w:p>
      <w:pPr>
        <w:spacing w:after="160"/>
      </w:pPr>
      <w:r>
        <w:t xml:space="preserve">With many worker nodes available, kube-scheduler has real decisions to make on every Pod: which nodes have enough free CPU/RAM, which nodes satisfy any required node selectors or affinity rules, which nodes are tainted against this workload, and how to spread replicas so a single node failure doesn't take out every copy of an application at once (via topology spread constraints or anti-affinity).</w:t>
      </w:r>
    </w:p>
    <w:p>
      <w:pPr>
        <w:pStyle w:val="Heading2"/>
        <w:spacing w:after="150" w:before="300"/>
      </w:pPr>
      <w:r>
        <w:t xml:space="preserve">8.2 Scaling Out</w:t>
      </w:r>
    </w:p>
    <w:p>
      <w:pPr>
        <w:spacing w:after="160"/>
      </w:pPr>
      <w:r>
        <w:t xml:space="preserve">Adding worker nodes is how you grow the cluster's total capacity. Node pools can be built with different hardware profiles — e.g. a pool of high-disk nodes tagged for Longhorn storage, a pool of standard nodes for general workloads — so the scheduler can be steered toward the right hardware for each workload via labels, taints, and tolerations.</w:t>
      </w:r>
    </w:p>
    <w:p>
      <w:pPr>
        <w:pStyle w:val="Heading2"/>
        <w:spacing w:after="150" w:before="300"/>
      </w:pPr>
      <w:r>
        <w:t xml:space="preserve">8.3 Node Roles and Taints</w:t>
      </w:r>
    </w:p>
    <w:p>
      <w:pPr>
        <w:spacing w:after="160"/>
      </w:pPr>
      <w:r>
        <w:t xml:space="preserve">A taint on a node repels Pods that don't explicitly “tolerate” it. The most common example is the taint control-plane nodes carry by default, which keeps ordinary application Pods off them so they don't compete with etcd and the API server for resources. You can deliberately untaint control-plane nodes to let them run workloads too (common on small clusters to save hardware), or add your own taints — for example, reserving a set of nodes exclusively for storage-heavy or latency-sensitive workloads.</w:t>
      </w:r>
    </w:p>
    <w:p>
      <w:r>
        <w:br w:type="page"/>
      </w:r>
    </w:p>
    <w:p>
      <w:pPr>
        <w:pStyle w:val="Heading1"/>
        <w:spacing w:after="200" w:before="400"/>
      </w:pPr>
      <w:r>
        <w:t xml:space="preserve">Part 9 — Ansible AWX on Kubernetes: Automating the Infrastructure</w:t>
      </w:r>
    </w:p>
    <w:p>
      <w:pPr>
        <w:pStyle w:val="Heading2"/>
        <w:spacing w:after="150" w:before="300"/>
      </w:pPr>
      <w:r>
        <w:t xml:space="preserve">9.1 What AWX Is</w:t>
      </w:r>
    </w:p>
    <w:p>
      <w:pPr>
        <w:spacing w:after="160"/>
      </w:pPr>
      <w:r>
        <w:t xml:space="preserve">AWX is the open-source upstream project behind Red Hat Ansible Automation Platform's controller — a web UI, REST API, and job engine for running Ansible playbooks against your infrastructure on a schedule, on demand, or in response to events, instead of running ansible-playbook by hand from a laptop. Everything described in Parts 1–8 — provisioning control-plane and worker nodes, installing MetalLB and Longhorn, rolling out OS upgrades, rotating certificates — is exactly the kind of repeatable, auditable work AWX is built to orchestrate.</w:t>
      </w:r>
    </w:p>
    <w:p>
      <w:pPr>
        <w:pStyle w:val="Heading2"/>
        <w:spacing w:after="150" w:before="300"/>
      </w:pPr>
      <w:r>
        <w:t xml:space="preserve">9.2 AWX’s Own Components on Kubernetes</w:t>
      </w:r>
    </w:p>
    <w:p>
      <w:pPr>
        <w:spacing w:after="160"/>
      </w:pPr>
      <w:r>
        <w:t xml:space="preserve">When you deploy AWX onto Kubernetes (via the AWX Operator), it's built from its own set of cooperating Pods — the same “do one thing well” pattern you've now seen twice already in this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E5395" w:val="clear"/>
            <w:tcMar>
              <w:top w:type="dxa" w:w="80"/>
              <w:left w:type="dxa" w:w="120"/>
              <w:bottom w:type="dxa" w:w="80"/>
              <w:right w:type="dxa" w:w="120"/>
            </w:tcMar>
          </w:tcPr>
          <w:p>
            <w:r>
              <w:rPr>
                <w:b/>
                <w:bCs/>
                <w:color w:val="FFFFFF"/>
                <w:sz w:val="20"/>
                <w:szCs w:val="20"/>
              </w:rPr>
              <w:t xml:space="preserve">Component</w:t>
            </w:r>
          </w:p>
        </w:tc>
        <w:tc>
          <w:tcPr>
            <w:tcW w:type="dxa" w:w="6600"/>
            <w:shd w:fill="2E5395" w:val="clear"/>
            <w:tcMar>
              <w:top w:type="dxa" w:w="80"/>
              <w:left w:type="dxa" w:w="120"/>
              <w:bottom w:type="dxa" w:w="80"/>
              <w:right w:type="dxa" w:w="120"/>
            </w:tcMar>
          </w:tcPr>
          <w:p>
            <w:r>
              <w:rPr>
                <w:b/>
                <w:bCs/>
                <w:color w:val="FFFFFF"/>
                <w:sz w:val="20"/>
                <w:szCs w:val="20"/>
              </w:rPr>
              <w:t xml:space="preserve">Role</w:t>
            </w:r>
          </w:p>
        </w:tc>
      </w:tr>
      <w:tr>
        <w:tc>
          <w:tcPr>
            <w:tcW w:type="dxa" w:w="2600"/>
            <w:tcMar>
              <w:top w:type="dxa" w:w="80"/>
              <w:left w:type="dxa" w:w="120"/>
              <w:bottom w:type="dxa" w:w="80"/>
              <w:right w:type="dxa" w:w="120"/>
            </w:tcMar>
          </w:tcPr>
          <w:p>
            <w:r>
              <w:rPr>
                <w:b w:val="false"/>
                <w:bCs w:val="false"/>
                <w:color w:val="000000"/>
                <w:sz w:val="20"/>
                <w:szCs w:val="20"/>
              </w:rPr>
              <w:t xml:space="preserve">awx-web</w:t>
            </w:r>
          </w:p>
        </w:tc>
        <w:tc>
          <w:tcPr>
            <w:tcW w:type="dxa" w:w="6600"/>
            <w:tcMar>
              <w:top w:type="dxa" w:w="80"/>
              <w:left w:type="dxa" w:w="120"/>
              <w:bottom w:type="dxa" w:w="80"/>
              <w:right w:type="dxa" w:w="120"/>
            </w:tcMar>
          </w:tcPr>
          <w:p>
            <w:r>
              <w:rPr>
                <w:b w:val="false"/>
                <w:bCs w:val="false"/>
                <w:color w:val="000000"/>
                <w:sz w:val="20"/>
                <w:szCs w:val="20"/>
              </w:rPr>
              <w:t xml:space="preserve">Serves the REST API and web UI, handling all incoming HTTP requests.</w:t>
            </w:r>
          </w:p>
        </w:tc>
      </w:tr>
      <w:tr>
        <w:tc>
          <w:tcPr>
            <w:tcW w:type="dxa" w:w="2600"/>
            <w:tcMar>
              <w:top w:type="dxa" w:w="80"/>
              <w:left w:type="dxa" w:w="120"/>
              <w:bottom w:type="dxa" w:w="80"/>
              <w:right w:type="dxa" w:w="120"/>
            </w:tcMar>
          </w:tcPr>
          <w:p>
            <w:r>
              <w:rPr>
                <w:b w:val="false"/>
                <w:bCs w:val="false"/>
                <w:color w:val="000000"/>
                <w:sz w:val="20"/>
                <w:szCs w:val="20"/>
              </w:rPr>
              <w:t xml:space="preserve">awx-task</w:t>
            </w:r>
          </w:p>
        </w:tc>
        <w:tc>
          <w:tcPr>
            <w:tcW w:type="dxa" w:w="6600"/>
            <w:tcMar>
              <w:top w:type="dxa" w:w="80"/>
              <w:left w:type="dxa" w:w="120"/>
              <w:bottom w:type="dxa" w:w="80"/>
              <w:right w:type="dxa" w:w="120"/>
            </w:tcMar>
          </w:tcPr>
          <w:p>
            <w:r>
              <w:rPr>
                <w:b w:val="false"/>
                <w:bCs w:val="false"/>
                <w:color w:val="000000"/>
                <w:sz w:val="20"/>
                <w:szCs w:val="20"/>
              </w:rPr>
              <w:t xml:space="preserve">Processes background jobs — the component that actually dispatches and tracks playbook runs.</w:t>
            </w:r>
          </w:p>
        </w:tc>
      </w:tr>
      <w:tr>
        <w:tc>
          <w:tcPr>
            <w:tcW w:type="dxa" w:w="2600"/>
            <w:tcMar>
              <w:top w:type="dxa" w:w="80"/>
              <w:left w:type="dxa" w:w="120"/>
              <w:bottom w:type="dxa" w:w="80"/>
              <w:right w:type="dxa" w:w="120"/>
            </w:tcMar>
          </w:tcPr>
          <w:p>
            <w:r>
              <w:rPr>
                <w:b w:val="false"/>
                <w:bCs w:val="false"/>
                <w:color w:val="000000"/>
                <w:sz w:val="20"/>
                <w:szCs w:val="20"/>
              </w:rPr>
              <w:t xml:space="preserve">awx-ee (execution environment)</w:t>
            </w:r>
          </w:p>
        </w:tc>
        <w:tc>
          <w:tcPr>
            <w:tcW w:type="dxa" w:w="6600"/>
            <w:tcMar>
              <w:top w:type="dxa" w:w="80"/>
              <w:left w:type="dxa" w:w="120"/>
              <w:bottom w:type="dxa" w:w="80"/>
              <w:right w:type="dxa" w:w="120"/>
            </w:tcMar>
          </w:tcPr>
          <w:p>
            <w:r>
              <w:rPr>
                <w:b w:val="false"/>
                <w:bCs w:val="false"/>
                <w:color w:val="000000"/>
                <w:sz w:val="20"/>
                <w:szCs w:val="20"/>
              </w:rPr>
              <w:t xml:space="preserve">The containerized environment a job actually runs inside, bundling Ansible plus any collections/dependencies the playbooks need.</w:t>
            </w:r>
          </w:p>
        </w:tc>
      </w:tr>
      <w:tr>
        <w:tc>
          <w:tcPr>
            <w:tcW w:type="dxa" w:w="2600"/>
            <w:tcMar>
              <w:top w:type="dxa" w:w="80"/>
              <w:left w:type="dxa" w:w="120"/>
              <w:bottom w:type="dxa" w:w="80"/>
              <w:right w:type="dxa" w:w="120"/>
            </w:tcMar>
          </w:tcPr>
          <w:p>
            <w:r>
              <w:rPr>
                <w:b w:val="false"/>
                <w:bCs w:val="false"/>
                <w:color w:val="000000"/>
                <w:sz w:val="20"/>
                <w:szCs w:val="20"/>
              </w:rPr>
              <w:t xml:space="preserve">Redis</w:t>
            </w:r>
          </w:p>
        </w:tc>
        <w:tc>
          <w:tcPr>
            <w:tcW w:type="dxa" w:w="6600"/>
            <w:tcMar>
              <w:top w:type="dxa" w:w="80"/>
              <w:left w:type="dxa" w:w="120"/>
              <w:bottom w:type="dxa" w:w="80"/>
              <w:right w:type="dxa" w:w="120"/>
            </w:tcMar>
          </w:tcPr>
          <w:p>
            <w:r>
              <w:rPr>
                <w:b w:val="false"/>
                <w:bCs w:val="false"/>
                <w:color w:val="000000"/>
                <w:sz w:val="20"/>
                <w:szCs w:val="20"/>
              </w:rPr>
              <w:t xml:space="preserve">Message broker connecting the web and task components.</w:t>
            </w:r>
          </w:p>
        </w:tc>
      </w:tr>
      <w:tr>
        <w:tc>
          <w:tcPr>
            <w:tcW w:type="dxa" w:w="2600"/>
            <w:tcMar>
              <w:top w:type="dxa" w:w="80"/>
              <w:left w:type="dxa" w:w="120"/>
              <w:bottom w:type="dxa" w:w="80"/>
              <w:right w:type="dxa" w:w="120"/>
            </w:tcMar>
          </w:tcPr>
          <w:p>
            <w:r>
              <w:rPr>
                <w:b w:val="false"/>
                <w:bCs w:val="false"/>
                <w:color w:val="000000"/>
                <w:sz w:val="20"/>
                <w:szCs w:val="20"/>
              </w:rPr>
              <w:t xml:space="preserve">PostgreSQL</w:t>
            </w:r>
          </w:p>
        </w:tc>
        <w:tc>
          <w:tcPr>
            <w:tcW w:type="dxa" w:w="6600"/>
            <w:tcMar>
              <w:top w:type="dxa" w:w="80"/>
              <w:left w:type="dxa" w:w="120"/>
              <w:bottom w:type="dxa" w:w="80"/>
              <w:right w:type="dxa" w:w="120"/>
            </w:tcMar>
          </w:tcPr>
          <w:p>
            <w:r>
              <w:rPr>
                <w:b w:val="false"/>
                <w:bCs w:val="false"/>
                <w:color w:val="000000"/>
                <w:sz w:val="20"/>
                <w:szCs w:val="20"/>
              </w:rPr>
              <w:t xml:space="preserve">Stores job history, inventories, credentials, and all AWX configuration — CloudNativePG is a common way to run this with HA and streaming standbys, the same pattern used for other stateful workloads on the platform.</w:t>
            </w:r>
          </w:p>
        </w:tc>
      </w:tr>
      <w:tr>
        <w:tc>
          <w:tcPr>
            <w:tcW w:type="dxa" w:w="2600"/>
            <w:tcMar>
              <w:top w:type="dxa" w:w="80"/>
              <w:left w:type="dxa" w:w="120"/>
              <w:bottom w:type="dxa" w:w="80"/>
              <w:right w:type="dxa" w:w="120"/>
            </w:tcMar>
          </w:tcPr>
          <w:p>
            <w:r>
              <w:rPr>
                <w:b w:val="false"/>
                <w:bCs w:val="false"/>
                <w:color w:val="000000"/>
                <w:sz w:val="20"/>
                <w:szCs w:val="20"/>
              </w:rPr>
              <w:t xml:space="preserve">AWX Operator</w:t>
            </w:r>
          </w:p>
        </w:tc>
        <w:tc>
          <w:tcPr>
            <w:tcW w:type="dxa" w:w="6600"/>
            <w:tcMar>
              <w:top w:type="dxa" w:w="80"/>
              <w:left w:type="dxa" w:w="120"/>
              <w:bottom w:type="dxa" w:w="80"/>
              <w:right w:type="dxa" w:w="120"/>
            </w:tcMar>
          </w:tcPr>
          <w:p>
            <w:r>
              <w:rPr>
                <w:b w:val="false"/>
                <w:bCs w:val="false"/>
                <w:color w:val="000000"/>
                <w:sz w:val="20"/>
                <w:szCs w:val="20"/>
              </w:rPr>
              <w:t xml:space="preserve">Manages the lifecycle of all the above — install, upgrade, and configuration — as a Kubernetes-native application.</w:t>
            </w:r>
          </w:p>
        </w:tc>
      </w:tr>
    </w:tbl>
    <w:p>
      <w:pPr>
        <w:pStyle w:val="Heading2"/>
        <w:spacing w:after="150" w:before="300"/>
      </w:pPr>
      <w:r>
        <w:t xml:space="preserve">9.3 Control, Hop, and Execution Nodes — the Automation Mesh</w:t>
      </w:r>
    </w:p>
    <w:p>
      <w:pPr>
        <w:spacing w:after="160"/>
      </w:pPr>
      <w:r>
        <w:t xml:space="preserve">Once AWX needs to reach infrastructure that isn't directly reachable from wherever the AWX Pods happen to run — exactly the situation with multiple datacenters — it uses a mesh networking layer called Receptor to connect three kinds of nodes: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rPr>
          <w:tblHeader/>
        </w:trPr>
        <w:tc>
          <w:tcPr>
            <w:tcW w:type="dxa" w:w="2000"/>
            <w:shd w:fill="2E5395" w:val="clear"/>
            <w:tcMar>
              <w:top w:type="dxa" w:w="80"/>
              <w:left w:type="dxa" w:w="120"/>
              <w:bottom w:type="dxa" w:w="80"/>
              <w:right w:type="dxa" w:w="120"/>
            </w:tcMar>
          </w:tcPr>
          <w:p>
            <w:r>
              <w:rPr>
                <w:b/>
                <w:bCs/>
                <w:color w:val="FFFFFF"/>
                <w:sz w:val="20"/>
                <w:szCs w:val="20"/>
              </w:rPr>
              <w:t xml:space="preserve">Node type</w:t>
            </w:r>
          </w:p>
        </w:tc>
        <w:tc>
          <w:tcPr>
            <w:tcW w:type="dxa" w:w="3400"/>
            <w:shd w:fill="2E5395" w:val="clear"/>
            <w:tcMar>
              <w:top w:type="dxa" w:w="80"/>
              <w:left w:type="dxa" w:w="120"/>
              <w:bottom w:type="dxa" w:w="80"/>
              <w:right w:type="dxa" w:w="120"/>
            </w:tcMar>
          </w:tcPr>
          <w:p>
            <w:r>
              <w:rPr>
                <w:b/>
                <w:bCs/>
                <w:color w:val="FFFFFF"/>
                <w:sz w:val="20"/>
                <w:szCs w:val="20"/>
              </w:rPr>
              <w:t xml:space="preserve">Runs where</w:t>
            </w:r>
          </w:p>
        </w:tc>
        <w:tc>
          <w:tcPr>
            <w:tcW w:type="dxa" w:w="3800"/>
            <w:shd w:fill="2E5395" w:val="clear"/>
            <w:tcMar>
              <w:top w:type="dxa" w:w="80"/>
              <w:left w:type="dxa" w:w="120"/>
              <w:bottom w:type="dxa" w:w="80"/>
              <w:right w:type="dxa" w:w="120"/>
            </w:tcMar>
          </w:tcPr>
          <w:p>
            <w:r>
              <w:rPr>
                <w:b/>
                <w:bCs/>
                <w:color w:val="FFFFFF"/>
                <w:sz w:val="20"/>
                <w:szCs w:val="20"/>
              </w:rPr>
              <w:t xml:space="preserve">Job</w:t>
            </w:r>
          </w:p>
        </w:tc>
      </w:tr>
      <w:tr>
        <w:tc>
          <w:tcPr>
            <w:tcW w:type="dxa" w:w="2000"/>
            <w:tcMar>
              <w:top w:type="dxa" w:w="80"/>
              <w:left w:type="dxa" w:w="120"/>
              <w:bottom w:type="dxa" w:w="80"/>
              <w:right w:type="dxa" w:w="120"/>
            </w:tcMar>
          </w:tcPr>
          <w:p>
            <w:r>
              <w:rPr>
                <w:b w:val="false"/>
                <w:bCs w:val="false"/>
                <w:color w:val="000000"/>
                <w:sz w:val="20"/>
                <w:szCs w:val="20"/>
              </w:rPr>
              <w:t xml:space="preserve">Control</w:t>
            </w:r>
          </w:p>
        </w:tc>
        <w:tc>
          <w:tcPr>
            <w:tcW w:type="dxa" w:w="3400"/>
            <w:tcMar>
              <w:top w:type="dxa" w:w="80"/>
              <w:left w:type="dxa" w:w="120"/>
              <w:bottom w:type="dxa" w:w="80"/>
              <w:right w:type="dxa" w:w="120"/>
            </w:tcMar>
          </w:tcPr>
          <w:p>
            <w:r>
              <w:rPr>
                <w:b w:val="false"/>
                <w:bCs w:val="false"/>
                <w:color w:val="000000"/>
                <w:sz w:val="20"/>
                <w:szCs w:val="20"/>
              </w:rPr>
              <w:t xml:space="preserve">Inside the AWX Kubernetes cluster (the awx-task Pods).</w:t>
            </w:r>
          </w:p>
        </w:tc>
        <w:tc>
          <w:tcPr>
            <w:tcW w:type="dxa" w:w="3800"/>
            <w:tcMar>
              <w:top w:type="dxa" w:w="80"/>
              <w:left w:type="dxa" w:w="120"/>
              <w:bottom w:type="dxa" w:w="80"/>
              <w:right w:type="dxa" w:w="120"/>
            </w:tcMar>
          </w:tcPr>
          <w:p>
            <w:r>
              <w:rPr>
                <w:b w:val="false"/>
                <w:bCs w:val="false"/>
                <w:color w:val="000000"/>
                <w:sz w:val="20"/>
                <w:szCs w:val="20"/>
              </w:rPr>
              <w:t xml:space="preserve">Dispatches work and tracks job status; doesn't necessarily execute the playbook itself.</w:t>
            </w:r>
          </w:p>
        </w:tc>
      </w:tr>
      <w:tr>
        <w:tc>
          <w:tcPr>
            <w:tcW w:type="dxa" w:w="2000"/>
            <w:tcMar>
              <w:top w:type="dxa" w:w="80"/>
              <w:left w:type="dxa" w:w="120"/>
              <w:bottom w:type="dxa" w:w="80"/>
              <w:right w:type="dxa" w:w="120"/>
            </w:tcMar>
          </w:tcPr>
          <w:p>
            <w:r>
              <w:rPr>
                <w:b w:val="false"/>
                <w:bCs w:val="false"/>
                <w:color w:val="000000"/>
                <w:sz w:val="20"/>
                <w:szCs w:val="20"/>
              </w:rPr>
              <w:t xml:space="preserve">Execution</w:t>
            </w:r>
          </w:p>
        </w:tc>
        <w:tc>
          <w:tcPr>
            <w:tcW w:type="dxa" w:w="3400"/>
            <w:tcMar>
              <w:top w:type="dxa" w:w="80"/>
              <w:left w:type="dxa" w:w="120"/>
              <w:bottom w:type="dxa" w:w="80"/>
              <w:right w:type="dxa" w:w="120"/>
            </w:tcMar>
          </w:tcPr>
          <w:p>
            <w:r>
              <w:rPr>
                <w:b w:val="false"/>
                <w:bCs w:val="false"/>
                <w:color w:val="000000"/>
                <w:sz w:val="20"/>
                <w:szCs w:val="20"/>
              </w:rPr>
              <w:t xml:space="preserve">Can be inside the cluster or on external machines registered with AWX.</w:t>
            </w:r>
          </w:p>
        </w:tc>
        <w:tc>
          <w:tcPr>
            <w:tcW w:type="dxa" w:w="3800"/>
            <w:tcMar>
              <w:top w:type="dxa" w:w="80"/>
              <w:left w:type="dxa" w:w="120"/>
              <w:bottom w:type="dxa" w:w="80"/>
              <w:right w:type="dxa" w:w="120"/>
            </w:tcMar>
          </w:tcPr>
          <w:p>
            <w:r>
              <w:rPr>
                <w:b w:val="false"/>
                <w:bCs w:val="false"/>
                <w:color w:val="000000"/>
                <w:sz w:val="20"/>
                <w:szCs w:val="20"/>
              </w:rPr>
              <w:t xml:space="preserve">Actually runs the Ansible job (ansible-playbook execution happens here).</w:t>
            </w:r>
          </w:p>
        </w:tc>
      </w:tr>
      <w:tr>
        <w:tc>
          <w:tcPr>
            <w:tcW w:type="dxa" w:w="2000"/>
            <w:tcMar>
              <w:top w:type="dxa" w:w="80"/>
              <w:left w:type="dxa" w:w="120"/>
              <w:bottom w:type="dxa" w:w="80"/>
              <w:right w:type="dxa" w:w="120"/>
            </w:tcMar>
          </w:tcPr>
          <w:p>
            <w:r>
              <w:rPr>
                <w:b w:val="false"/>
                <w:bCs w:val="false"/>
                <w:color w:val="000000"/>
                <w:sz w:val="20"/>
                <w:szCs w:val="20"/>
              </w:rPr>
              <w:t xml:space="preserve">Hop</w:t>
            </w:r>
          </w:p>
        </w:tc>
        <w:tc>
          <w:tcPr>
            <w:tcW w:type="dxa" w:w="3400"/>
            <w:tcMar>
              <w:top w:type="dxa" w:w="80"/>
              <w:left w:type="dxa" w:w="120"/>
              <w:bottom w:type="dxa" w:w="80"/>
              <w:right w:type="dxa" w:w="120"/>
            </w:tcMar>
          </w:tcPr>
          <w:p>
            <w:r>
              <w:rPr>
                <w:b w:val="false"/>
                <w:bCs w:val="false"/>
                <w:color w:val="000000"/>
                <w:sz w:val="20"/>
                <w:szCs w:val="20"/>
              </w:rPr>
              <w:t xml:space="preserve">External machines, not part of the Kubernetes cluster.</w:t>
            </w:r>
          </w:p>
        </w:tc>
        <w:tc>
          <w:tcPr>
            <w:tcW w:type="dxa" w:w="3800"/>
            <w:tcMar>
              <w:top w:type="dxa" w:w="80"/>
              <w:left w:type="dxa" w:w="120"/>
              <w:bottom w:type="dxa" w:w="80"/>
              <w:right w:type="dxa" w:w="120"/>
            </w:tcMar>
          </w:tcPr>
          <w:p>
            <w:r>
              <w:rPr>
                <w:b w:val="false"/>
                <w:bCs w:val="false"/>
                <w:color w:val="000000"/>
                <w:sz w:val="20"/>
                <w:szCs w:val="20"/>
              </w:rPr>
              <w:t xml:space="preserve">Relays traffic to execution nodes that live in a separate, otherwise-unreachable network — useful for reaching an isolated datacenter without opening inbound access directly to it.</w:t>
            </w:r>
          </w:p>
        </w:tc>
      </w:tr>
    </w:tbl>
    <w:p>
      <w:pPr>
        <w:spacing w:after="160"/>
      </w:pPr>
      <w:r>
        <w:t xml:space="preserve">These nodes interconnect as a mesh: a control node can route work through a hop node to reach an execution node in a network it can't address directly. This is the same idea, at the automation layer, as the DNS failover and cross-cluster search you'd use at the data layer to bridge geographically separate Kubernetes clusters — rather than one component trying to reach everywhere directly, you build a relay topology suited to your network's real constraints.</w:t>
      </w:r>
    </w:p>
    <w:p>
      <w:pPr>
        <w:pStyle w:val="Heading2"/>
        <w:spacing w:after="150" w:before="300"/>
      </w:pPr>
      <w:r>
        <w:t xml:space="preserve">9.4 Managing Multi-Control-Plane, Multi-Worker Infrastructure with AWX</w:t>
      </w:r>
    </w:p>
    <w:p>
      <w:pPr>
        <w:spacing w:after="160"/>
      </w:pPr>
      <w:r>
        <w:t xml:space="preserve">Tie this back to Part 7 and Part 8: AWX becomes the automation layer sitting above your multiple RKE2 clusters, each with its own multi-control-plane HA setup and its own pool of worker nodes. In a multi-datacenter deployment, this typically looks like:</w:t>
      </w:r>
    </w:p>
    <w:p>
      <w:pPr>
        <w:pStyle w:val="ListParagraph"/>
        <w:numPr>
          <w:ilvl w:val="0"/>
          <w:numId w:val="2"/>
        </w:numPr>
        <w:spacing w:after="90"/>
      </w:pPr>
      <w:r>
        <w:t xml:space="preserve">Inventories in AWX organized per datacenter/cluster, so a job can be scoped precisely to “Las Vegas control-plane nodes” or “all London workers” without risk of accidentally touching the wrong region.</w:t>
      </w:r>
    </w:p>
    <w:p>
      <w:pPr>
        <w:pStyle w:val="ListParagraph"/>
        <w:numPr>
          <w:ilvl w:val="0"/>
          <w:numId w:val="2"/>
        </w:numPr>
        <w:spacing w:after="90"/>
      </w:pPr>
      <w:r>
        <w:t xml:space="preserve">OS-aware playbooks (handling Ubuntu 22.04, Ubuntu 24.04, and Red Hat differences transparently) run as AWX Job Templates, so the same automation adapts correctly no matter which OS a given node is running.</w:t>
      </w:r>
    </w:p>
    <w:p>
      <w:pPr>
        <w:pStyle w:val="ListParagraph"/>
        <w:numPr>
          <w:ilvl w:val="0"/>
          <w:numId w:val="2"/>
        </w:numPr>
        <w:spacing w:after="90"/>
      </w:pPr>
      <w:r>
        <w:t xml:space="preserve">Instance groups mapping AWX's own execution capacity to each region, so a job targeting a given datacenter's nodes actually executes from an execution node with real network connectivity to that datacenter — critical in a multi-region AWX deployment, since a job dispatched from the wrong region's control/execution nodes can fail purely on connectivity grounds, not on playbook logic.</w:t>
      </w:r>
    </w:p>
    <w:p>
      <w:pPr>
        <w:pStyle w:val="ListParagraph"/>
        <w:numPr>
          <w:ilvl w:val="0"/>
          <w:numId w:val="2"/>
        </w:numPr>
        <w:spacing w:after="90"/>
      </w:pPr>
      <w:r>
        <w:t xml:space="preserve">Scheduled and event-triggered jobs for routine care — certificate rotation, patching, drift detection — applied consistently across every control-plane and worker node in every cluster, instead of manual, easy-to-forget, per-cluster maintenance.</w:t>
      </w:r>
    </w:p>
    <w:p>
      <w:pPr>
        <w:pBdr>
          <w:left w:val="single" w:color="AAAAAA" w:sz="12" w:space="8"/>
        </w:pBdr>
        <w:spacing w:after="200" w:before="100"/>
        <w:ind w:left="200"/>
      </w:pPr>
      <w:r>
        <w:rPr>
          <w:b/>
          <w:bCs/>
          <w:i/>
          <w:iCs/>
          <w:color w:val="555555"/>
        </w:rPr>
        <w:t xml:space="preserve">Note: </w:t>
      </w:r>
      <w:r>
        <w:rPr>
          <w:i/>
          <w:iCs/>
          <w:color w:val="555555"/>
        </w:rPr>
        <w:t xml:space="preserve">A single AWX deployment serving multiple regions is exactly where the Control / Hop / Execution split earns its keep: without it, every awx-task Pod defaults into the same shared control-plane instance group regardless of region, which can cause a job triggered in one region to get dispatched to control nodes with no connectivity to the target datacenter at all. Explicitly scoping instance groups and execution nodes per region is the fix.</w:t>
      </w:r>
    </w:p>
    <w:p>
      <w:r>
        <w:br w:type="page"/>
      </w:r>
    </w:p>
    <w:p>
      <w:pPr>
        <w:pStyle w:val="Heading1"/>
        <w:spacing w:after="200" w:before="400"/>
      </w:pPr>
      <w:r>
        <w:t xml:space="preserve">Quick-Reference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E5395" w:val="clear"/>
            <w:tcMar>
              <w:top w:type="dxa" w:w="80"/>
              <w:left w:type="dxa" w:w="120"/>
              <w:bottom w:type="dxa" w:w="80"/>
              <w:right w:type="dxa" w:w="120"/>
            </w:tcMar>
          </w:tcPr>
          <w:p>
            <w:r>
              <w:rPr>
                <w:b/>
                <w:bCs/>
                <w:color w:val="FFFFFF"/>
                <w:sz w:val="20"/>
                <w:szCs w:val="20"/>
              </w:rPr>
              <w:t xml:space="preserve">Term</w:t>
            </w:r>
          </w:p>
        </w:tc>
        <w:tc>
          <w:tcPr>
            <w:tcW w:type="dxa" w:w="6600"/>
            <w:shd w:fill="2E5395" w:val="clear"/>
            <w:tcMar>
              <w:top w:type="dxa" w:w="80"/>
              <w:left w:type="dxa" w:w="120"/>
              <w:bottom w:type="dxa" w:w="80"/>
              <w:right w:type="dxa" w:w="120"/>
            </w:tcMar>
          </w:tcPr>
          <w:p>
            <w:r>
              <w:rPr>
                <w:b/>
                <w:bCs/>
                <w:color w:val="FFFFFF"/>
                <w:sz w:val="20"/>
                <w:szCs w:val="20"/>
              </w:rPr>
              <w:t xml:space="preserve">One-line definition</w:t>
            </w:r>
          </w:p>
        </w:tc>
      </w:tr>
      <w:tr>
        <w:tc>
          <w:tcPr>
            <w:tcW w:type="dxa" w:w="2600"/>
            <w:tcMar>
              <w:top w:type="dxa" w:w="80"/>
              <w:left w:type="dxa" w:w="120"/>
              <w:bottom w:type="dxa" w:w="80"/>
              <w:right w:type="dxa" w:w="120"/>
            </w:tcMar>
          </w:tcPr>
          <w:p>
            <w:r>
              <w:rPr>
                <w:b w:val="false"/>
                <w:bCs w:val="false"/>
                <w:color w:val="000000"/>
                <w:sz w:val="20"/>
                <w:szCs w:val="20"/>
              </w:rPr>
              <w:t xml:space="preserve">kubectl</w:t>
            </w:r>
          </w:p>
        </w:tc>
        <w:tc>
          <w:tcPr>
            <w:tcW w:type="dxa" w:w="6600"/>
            <w:tcMar>
              <w:top w:type="dxa" w:w="80"/>
              <w:left w:type="dxa" w:w="120"/>
              <w:bottom w:type="dxa" w:w="80"/>
              <w:right w:type="dxa" w:w="120"/>
            </w:tcMar>
          </w:tcPr>
          <w:p>
            <w:r>
              <w:rPr>
                <w:b w:val="false"/>
                <w:bCs w:val="false"/>
                <w:color w:val="000000"/>
                <w:sz w:val="20"/>
                <w:szCs w:val="20"/>
              </w:rPr>
              <w:t xml:space="preserve">The official CLI for talking to the Kubernetes API.</w:t>
            </w:r>
          </w:p>
        </w:tc>
      </w:tr>
      <w:tr>
        <w:tc>
          <w:tcPr>
            <w:tcW w:type="dxa" w:w="2600"/>
            <w:tcMar>
              <w:top w:type="dxa" w:w="80"/>
              <w:left w:type="dxa" w:w="120"/>
              <w:bottom w:type="dxa" w:w="80"/>
              <w:right w:type="dxa" w:w="120"/>
            </w:tcMar>
          </w:tcPr>
          <w:p>
            <w:r>
              <w:rPr>
                <w:b w:val="false"/>
                <w:bCs w:val="false"/>
                <w:color w:val="000000"/>
                <w:sz w:val="20"/>
                <w:szCs w:val="20"/>
              </w:rPr>
              <w:t xml:space="preserve">Control plane</w:t>
            </w:r>
          </w:p>
        </w:tc>
        <w:tc>
          <w:tcPr>
            <w:tcW w:type="dxa" w:w="6600"/>
            <w:tcMar>
              <w:top w:type="dxa" w:w="80"/>
              <w:left w:type="dxa" w:w="120"/>
              <w:bottom w:type="dxa" w:w="80"/>
              <w:right w:type="dxa" w:w="120"/>
            </w:tcMar>
          </w:tcPr>
          <w:p>
            <w:r>
              <w:rPr>
                <w:b w:val="false"/>
                <w:bCs w:val="false"/>
                <w:color w:val="000000"/>
                <w:sz w:val="20"/>
                <w:szCs w:val="20"/>
              </w:rPr>
              <w:t xml:space="preserve">The decision-making components of a cluster: API server, etcd, scheduler, controller manager, DNS.</w:t>
            </w:r>
          </w:p>
        </w:tc>
      </w:tr>
      <w:tr>
        <w:tc>
          <w:tcPr>
            <w:tcW w:type="dxa" w:w="2600"/>
            <w:tcMar>
              <w:top w:type="dxa" w:w="80"/>
              <w:left w:type="dxa" w:w="120"/>
              <w:bottom w:type="dxa" w:w="80"/>
              <w:right w:type="dxa" w:w="120"/>
            </w:tcMar>
          </w:tcPr>
          <w:p>
            <w:r>
              <w:rPr>
                <w:b w:val="false"/>
                <w:bCs w:val="false"/>
                <w:color w:val="000000"/>
                <w:sz w:val="20"/>
                <w:szCs w:val="20"/>
              </w:rPr>
              <w:t xml:space="preserve">Node (worker)</w:t>
            </w:r>
          </w:p>
        </w:tc>
        <w:tc>
          <w:tcPr>
            <w:tcW w:type="dxa" w:w="6600"/>
            <w:tcMar>
              <w:top w:type="dxa" w:w="80"/>
              <w:left w:type="dxa" w:w="120"/>
              <w:bottom w:type="dxa" w:w="80"/>
              <w:right w:type="dxa" w:w="120"/>
            </w:tcMar>
          </w:tcPr>
          <w:p>
            <w:r>
              <w:rPr>
                <w:b w:val="false"/>
                <w:bCs w:val="false"/>
                <w:color w:val="000000"/>
                <w:sz w:val="20"/>
                <w:szCs w:val="20"/>
              </w:rPr>
              <w:t xml:space="preserve">A machine that runs application Pods, via kubelet and a container runtime.</w:t>
            </w:r>
          </w:p>
        </w:tc>
      </w:tr>
      <w:tr>
        <w:tc>
          <w:tcPr>
            <w:tcW w:type="dxa" w:w="2600"/>
            <w:tcMar>
              <w:top w:type="dxa" w:w="80"/>
              <w:left w:type="dxa" w:w="120"/>
              <w:bottom w:type="dxa" w:w="80"/>
              <w:right w:type="dxa" w:w="120"/>
            </w:tcMar>
          </w:tcPr>
          <w:p>
            <w:r>
              <w:rPr>
                <w:b w:val="false"/>
                <w:bCs w:val="false"/>
                <w:color w:val="000000"/>
                <w:sz w:val="20"/>
                <w:szCs w:val="20"/>
              </w:rPr>
              <w:t xml:space="preserve">etcd</w:t>
            </w:r>
          </w:p>
        </w:tc>
        <w:tc>
          <w:tcPr>
            <w:tcW w:type="dxa" w:w="6600"/>
            <w:tcMar>
              <w:top w:type="dxa" w:w="80"/>
              <w:left w:type="dxa" w:w="120"/>
              <w:bottom w:type="dxa" w:w="80"/>
              <w:right w:type="dxa" w:w="120"/>
            </w:tcMar>
          </w:tcPr>
          <w:p>
            <w:r>
              <w:rPr>
                <w:b w:val="false"/>
                <w:bCs w:val="false"/>
                <w:color w:val="000000"/>
                <w:sz w:val="20"/>
                <w:szCs w:val="20"/>
              </w:rPr>
              <w:t xml:space="preserve">The distributed key-value store holding all cluster state; uses RAFT consensus, needs odd-numbered quorum.</w:t>
            </w:r>
          </w:p>
        </w:tc>
      </w:tr>
      <w:tr>
        <w:tc>
          <w:tcPr>
            <w:tcW w:type="dxa" w:w="2600"/>
            <w:tcMar>
              <w:top w:type="dxa" w:w="80"/>
              <w:left w:type="dxa" w:w="120"/>
              <w:bottom w:type="dxa" w:w="80"/>
              <w:right w:type="dxa" w:w="120"/>
            </w:tcMar>
          </w:tcPr>
          <w:p>
            <w:r>
              <w:rPr>
                <w:b w:val="false"/>
                <w:bCs w:val="false"/>
                <w:color w:val="000000"/>
                <w:sz w:val="20"/>
                <w:szCs w:val="20"/>
              </w:rPr>
              <w:t xml:space="preserve">kube-apiserver</w:t>
            </w:r>
          </w:p>
        </w:tc>
        <w:tc>
          <w:tcPr>
            <w:tcW w:type="dxa" w:w="6600"/>
            <w:tcMar>
              <w:top w:type="dxa" w:w="80"/>
              <w:left w:type="dxa" w:w="120"/>
              <w:bottom w:type="dxa" w:w="80"/>
              <w:right w:type="dxa" w:w="120"/>
            </w:tcMar>
          </w:tcPr>
          <w:p>
            <w:r>
              <w:rPr>
                <w:b w:val="false"/>
                <w:bCs w:val="false"/>
                <w:color w:val="000000"/>
                <w:sz w:val="20"/>
                <w:szCs w:val="20"/>
              </w:rPr>
              <w:t xml:space="preserve">The front door to the cluster; every request passes through it.</w:t>
            </w:r>
          </w:p>
        </w:tc>
      </w:tr>
      <w:tr>
        <w:tc>
          <w:tcPr>
            <w:tcW w:type="dxa" w:w="2600"/>
            <w:tcMar>
              <w:top w:type="dxa" w:w="80"/>
              <w:left w:type="dxa" w:w="120"/>
              <w:bottom w:type="dxa" w:w="80"/>
              <w:right w:type="dxa" w:w="120"/>
            </w:tcMar>
          </w:tcPr>
          <w:p>
            <w:r>
              <w:rPr>
                <w:b w:val="false"/>
                <w:bCs w:val="false"/>
                <w:color w:val="000000"/>
                <w:sz w:val="20"/>
                <w:szCs w:val="20"/>
              </w:rPr>
              <w:t xml:space="preserve">kube-scheduler</w:t>
            </w:r>
          </w:p>
        </w:tc>
        <w:tc>
          <w:tcPr>
            <w:tcW w:type="dxa" w:w="6600"/>
            <w:tcMar>
              <w:top w:type="dxa" w:w="80"/>
              <w:left w:type="dxa" w:w="120"/>
              <w:bottom w:type="dxa" w:w="80"/>
              <w:right w:type="dxa" w:w="120"/>
            </w:tcMar>
          </w:tcPr>
          <w:p>
            <w:r>
              <w:rPr>
                <w:b w:val="false"/>
                <w:bCs w:val="false"/>
                <w:color w:val="000000"/>
                <w:sz w:val="20"/>
                <w:szCs w:val="20"/>
              </w:rPr>
              <w:t xml:space="preserve">Decides which node a new Pod should run on.</w:t>
            </w:r>
          </w:p>
        </w:tc>
      </w:tr>
      <w:tr>
        <w:tc>
          <w:tcPr>
            <w:tcW w:type="dxa" w:w="2600"/>
            <w:tcMar>
              <w:top w:type="dxa" w:w="80"/>
              <w:left w:type="dxa" w:w="120"/>
              <w:bottom w:type="dxa" w:w="80"/>
              <w:right w:type="dxa" w:w="120"/>
            </w:tcMar>
          </w:tcPr>
          <w:p>
            <w:r>
              <w:rPr>
                <w:b w:val="false"/>
                <w:bCs w:val="false"/>
                <w:color w:val="000000"/>
                <w:sz w:val="20"/>
                <w:szCs w:val="20"/>
              </w:rPr>
              <w:t xml:space="preserve">kube-controller-manager</w:t>
            </w:r>
          </w:p>
        </w:tc>
        <w:tc>
          <w:tcPr>
            <w:tcW w:type="dxa" w:w="6600"/>
            <w:tcMar>
              <w:top w:type="dxa" w:w="80"/>
              <w:left w:type="dxa" w:w="120"/>
              <w:bottom w:type="dxa" w:w="80"/>
              <w:right w:type="dxa" w:w="120"/>
            </w:tcMar>
          </w:tcPr>
          <w:p>
            <w:r>
              <w:rPr>
                <w:b w:val="false"/>
                <w:bCs w:val="false"/>
                <w:color w:val="000000"/>
                <w:sz w:val="20"/>
                <w:szCs w:val="20"/>
              </w:rPr>
              <w:t xml:space="preserve">Continuously reconciles actual cluster state toward desired state.</w:t>
            </w:r>
          </w:p>
        </w:tc>
      </w:tr>
      <w:tr>
        <w:tc>
          <w:tcPr>
            <w:tcW w:type="dxa" w:w="2600"/>
            <w:tcMar>
              <w:top w:type="dxa" w:w="80"/>
              <w:left w:type="dxa" w:w="120"/>
              <w:bottom w:type="dxa" w:w="80"/>
              <w:right w:type="dxa" w:w="120"/>
            </w:tcMar>
          </w:tcPr>
          <w:p>
            <w:r>
              <w:rPr>
                <w:b w:val="false"/>
                <w:bCs w:val="false"/>
                <w:color w:val="000000"/>
                <w:sz w:val="20"/>
                <w:szCs w:val="20"/>
              </w:rPr>
              <w:t xml:space="preserve">kubelet</w:t>
            </w:r>
          </w:p>
        </w:tc>
        <w:tc>
          <w:tcPr>
            <w:tcW w:type="dxa" w:w="6600"/>
            <w:tcMar>
              <w:top w:type="dxa" w:w="80"/>
              <w:left w:type="dxa" w:w="120"/>
              <w:bottom w:type="dxa" w:w="80"/>
              <w:right w:type="dxa" w:w="120"/>
            </w:tcMar>
          </w:tcPr>
          <w:p>
            <w:r>
              <w:rPr>
                <w:b w:val="false"/>
                <w:bCs w:val="false"/>
                <w:color w:val="000000"/>
                <w:sz w:val="20"/>
                <w:szCs w:val="20"/>
              </w:rPr>
              <w:t xml:space="preserve">Per-node agent that runs and monitors the containers the scheduler assigned to that node.</w:t>
            </w:r>
          </w:p>
        </w:tc>
      </w:tr>
      <w:tr>
        <w:tc>
          <w:tcPr>
            <w:tcW w:type="dxa" w:w="2600"/>
            <w:tcMar>
              <w:top w:type="dxa" w:w="80"/>
              <w:left w:type="dxa" w:w="120"/>
              <w:bottom w:type="dxa" w:w="80"/>
              <w:right w:type="dxa" w:w="120"/>
            </w:tcMar>
          </w:tcPr>
          <w:p>
            <w:r>
              <w:rPr>
                <w:b w:val="false"/>
                <w:bCs w:val="false"/>
                <w:color w:val="000000"/>
                <w:sz w:val="20"/>
                <w:szCs w:val="20"/>
              </w:rPr>
              <w:t xml:space="preserve">kube-proxy</w:t>
            </w:r>
          </w:p>
        </w:tc>
        <w:tc>
          <w:tcPr>
            <w:tcW w:type="dxa" w:w="6600"/>
            <w:tcMar>
              <w:top w:type="dxa" w:w="80"/>
              <w:left w:type="dxa" w:w="120"/>
              <w:bottom w:type="dxa" w:w="80"/>
              <w:right w:type="dxa" w:w="120"/>
            </w:tcMar>
          </w:tcPr>
          <w:p>
            <w:r>
              <w:rPr>
                <w:b w:val="false"/>
                <w:bCs w:val="false"/>
                <w:color w:val="000000"/>
                <w:sz w:val="20"/>
                <w:szCs w:val="20"/>
              </w:rPr>
              <w:t xml:space="preserve">Per-node component implementing Service networking rules.</w:t>
            </w:r>
          </w:p>
        </w:tc>
      </w:tr>
      <w:tr>
        <w:tc>
          <w:tcPr>
            <w:tcW w:type="dxa" w:w="2600"/>
            <w:tcMar>
              <w:top w:type="dxa" w:w="80"/>
              <w:left w:type="dxa" w:w="120"/>
              <w:bottom w:type="dxa" w:w="80"/>
              <w:right w:type="dxa" w:w="120"/>
            </w:tcMar>
          </w:tcPr>
          <w:p>
            <w:r>
              <w:rPr>
                <w:b w:val="false"/>
                <w:bCs w:val="false"/>
                <w:color w:val="000000"/>
                <w:sz w:val="20"/>
                <w:szCs w:val="20"/>
              </w:rPr>
              <w:t xml:space="preserve">MetalLB controller</w:t>
            </w:r>
          </w:p>
        </w:tc>
        <w:tc>
          <w:tcPr>
            <w:tcW w:type="dxa" w:w="6600"/>
            <w:tcMar>
              <w:top w:type="dxa" w:w="80"/>
              <w:left w:type="dxa" w:w="120"/>
              <w:bottom w:type="dxa" w:w="80"/>
              <w:right w:type="dxa" w:w="120"/>
            </w:tcMar>
          </w:tcPr>
          <w:p>
            <w:r>
              <w:rPr>
                <w:b w:val="false"/>
                <w:bCs w:val="false"/>
                <w:color w:val="000000"/>
                <w:sz w:val="20"/>
                <w:szCs w:val="20"/>
              </w:rPr>
              <w:t xml:space="preserve">Assigns external IPs to LoadBalancer Services from configured pools (Deployment, low replica count).</w:t>
            </w:r>
          </w:p>
        </w:tc>
      </w:tr>
      <w:tr>
        <w:tc>
          <w:tcPr>
            <w:tcW w:type="dxa" w:w="2600"/>
            <w:tcMar>
              <w:top w:type="dxa" w:w="80"/>
              <w:left w:type="dxa" w:w="120"/>
              <w:bottom w:type="dxa" w:w="80"/>
              <w:right w:type="dxa" w:w="120"/>
            </w:tcMar>
          </w:tcPr>
          <w:p>
            <w:r>
              <w:rPr>
                <w:b w:val="false"/>
                <w:bCs w:val="false"/>
                <w:color w:val="000000"/>
                <w:sz w:val="20"/>
                <w:szCs w:val="20"/>
              </w:rPr>
              <w:t xml:space="preserve">MetalLB speaker</w:t>
            </w:r>
          </w:p>
        </w:tc>
        <w:tc>
          <w:tcPr>
            <w:tcW w:type="dxa" w:w="6600"/>
            <w:tcMar>
              <w:top w:type="dxa" w:w="80"/>
              <w:left w:type="dxa" w:w="120"/>
              <w:bottom w:type="dxa" w:w="80"/>
              <w:right w:type="dxa" w:w="120"/>
            </w:tcMar>
          </w:tcPr>
          <w:p>
            <w:r>
              <w:rPr>
                <w:b w:val="false"/>
                <w:bCs w:val="false"/>
                <w:color w:val="000000"/>
                <w:sz w:val="20"/>
                <w:szCs w:val="20"/>
              </w:rPr>
              <w:t xml:space="preserve">Announces those IPs to the network via Layer 2 (ARP/NDP) or BGP (DaemonSet, one per node).</w:t>
            </w:r>
          </w:p>
        </w:tc>
      </w:tr>
      <w:tr>
        <w:tc>
          <w:tcPr>
            <w:tcW w:type="dxa" w:w="2600"/>
            <w:tcMar>
              <w:top w:type="dxa" w:w="80"/>
              <w:left w:type="dxa" w:w="120"/>
              <w:bottom w:type="dxa" w:w="80"/>
              <w:right w:type="dxa" w:w="120"/>
            </w:tcMar>
          </w:tcPr>
          <w:p>
            <w:r>
              <w:rPr>
                <w:b w:val="false"/>
                <w:bCs w:val="false"/>
                <w:color w:val="000000"/>
                <w:sz w:val="20"/>
                <w:szCs w:val="20"/>
              </w:rPr>
              <w:t xml:space="preserve">Longhorn Manager</w:t>
            </w:r>
          </w:p>
        </w:tc>
        <w:tc>
          <w:tcPr>
            <w:tcW w:type="dxa" w:w="6600"/>
            <w:tcMar>
              <w:top w:type="dxa" w:w="80"/>
              <w:left w:type="dxa" w:w="120"/>
              <w:bottom w:type="dxa" w:w="80"/>
              <w:right w:type="dxa" w:w="120"/>
            </w:tcMar>
          </w:tcPr>
          <w:p>
            <w:r>
              <w:rPr>
                <w:b w:val="false"/>
                <w:bCs w:val="false"/>
                <w:color w:val="000000"/>
                <w:sz w:val="20"/>
                <w:szCs w:val="20"/>
              </w:rPr>
              <w:t xml:space="preserve">Control plane for storage; DaemonSet that orchestrates volumes and replicas.</w:t>
            </w:r>
          </w:p>
        </w:tc>
      </w:tr>
      <w:tr>
        <w:tc>
          <w:tcPr>
            <w:tcW w:type="dxa" w:w="2600"/>
            <w:tcMar>
              <w:top w:type="dxa" w:w="80"/>
              <w:left w:type="dxa" w:w="120"/>
              <w:bottom w:type="dxa" w:w="80"/>
              <w:right w:type="dxa" w:w="120"/>
            </w:tcMar>
          </w:tcPr>
          <w:p>
            <w:r>
              <w:rPr>
                <w:b w:val="false"/>
                <w:bCs w:val="false"/>
                <w:color w:val="000000"/>
                <w:sz w:val="20"/>
                <w:szCs w:val="20"/>
              </w:rPr>
              <w:t xml:space="preserve">Longhorn Engine</w:t>
            </w:r>
          </w:p>
        </w:tc>
        <w:tc>
          <w:tcPr>
            <w:tcW w:type="dxa" w:w="6600"/>
            <w:tcMar>
              <w:top w:type="dxa" w:w="80"/>
              <w:left w:type="dxa" w:w="120"/>
              <w:bottom w:type="dxa" w:w="80"/>
              <w:right w:type="dxa" w:w="120"/>
            </w:tcMar>
          </w:tcPr>
          <w:p>
            <w:r>
              <w:rPr>
                <w:b w:val="false"/>
                <w:bCs w:val="false"/>
                <w:color w:val="000000"/>
                <w:sz w:val="20"/>
                <w:szCs w:val="20"/>
              </w:rPr>
              <w:t xml:space="preserve">Data-plane process for one volume, exposing it as a block device to the Pod's node.</w:t>
            </w:r>
          </w:p>
        </w:tc>
      </w:tr>
      <w:tr>
        <w:tc>
          <w:tcPr>
            <w:tcW w:type="dxa" w:w="2600"/>
            <w:tcMar>
              <w:top w:type="dxa" w:w="80"/>
              <w:left w:type="dxa" w:w="120"/>
              <w:bottom w:type="dxa" w:w="80"/>
              <w:right w:type="dxa" w:w="120"/>
            </w:tcMar>
          </w:tcPr>
          <w:p>
            <w:r>
              <w:rPr>
                <w:b w:val="false"/>
                <w:bCs w:val="false"/>
                <w:color w:val="000000"/>
                <w:sz w:val="20"/>
                <w:szCs w:val="20"/>
              </w:rPr>
              <w:t xml:space="preserve">Longhorn Replica</w:t>
            </w:r>
          </w:p>
        </w:tc>
        <w:tc>
          <w:tcPr>
            <w:tcW w:type="dxa" w:w="6600"/>
            <w:tcMar>
              <w:top w:type="dxa" w:w="80"/>
              <w:left w:type="dxa" w:w="120"/>
              <w:bottom w:type="dxa" w:w="80"/>
              <w:right w:type="dxa" w:w="120"/>
            </w:tcMar>
          </w:tcPr>
          <w:p>
            <w:r>
              <w:rPr>
                <w:b w:val="false"/>
                <w:bCs w:val="false"/>
                <w:color w:val="000000"/>
                <w:sz w:val="20"/>
                <w:szCs w:val="20"/>
              </w:rPr>
              <w:t xml:space="preserve">A full copy of a volume's data on a given node's disk; N replicas tolerate N−1 failures.</w:t>
            </w:r>
          </w:p>
        </w:tc>
      </w:tr>
      <w:tr>
        <w:tc>
          <w:tcPr>
            <w:tcW w:type="dxa" w:w="2600"/>
            <w:tcMar>
              <w:top w:type="dxa" w:w="80"/>
              <w:left w:type="dxa" w:w="120"/>
              <w:bottom w:type="dxa" w:w="80"/>
              <w:right w:type="dxa" w:w="120"/>
            </w:tcMar>
          </w:tcPr>
          <w:p>
            <w:r>
              <w:rPr>
                <w:b w:val="false"/>
                <w:bCs w:val="false"/>
                <w:color w:val="000000"/>
                <w:sz w:val="20"/>
                <w:szCs w:val="20"/>
              </w:rPr>
              <w:t xml:space="preserve">Gateway API</w:t>
            </w:r>
          </w:p>
        </w:tc>
        <w:tc>
          <w:tcPr>
            <w:tcW w:type="dxa" w:w="6600"/>
            <w:tcMar>
              <w:top w:type="dxa" w:w="80"/>
              <w:left w:type="dxa" w:w="120"/>
              <w:bottom w:type="dxa" w:w="80"/>
              <w:right w:type="dxa" w:w="120"/>
            </w:tcMar>
          </w:tcPr>
          <w:p>
            <w:r>
              <w:rPr>
                <w:b w:val="false"/>
                <w:bCs w:val="false"/>
                <w:color w:val="000000"/>
                <w:sz w:val="20"/>
                <w:szCs w:val="20"/>
              </w:rPr>
              <w:t xml:space="preserve">The role-oriented successor to Ingress: GatewayClass, Gateway, and Route resources.</w:t>
            </w:r>
          </w:p>
        </w:tc>
      </w:tr>
      <w:tr>
        <w:tc>
          <w:tcPr>
            <w:tcW w:type="dxa" w:w="2600"/>
            <w:tcMar>
              <w:top w:type="dxa" w:w="80"/>
              <w:left w:type="dxa" w:w="120"/>
              <w:bottom w:type="dxa" w:w="80"/>
              <w:right w:type="dxa" w:w="120"/>
            </w:tcMar>
          </w:tcPr>
          <w:p>
            <w:r>
              <w:rPr>
                <w:b w:val="false"/>
                <w:bCs w:val="false"/>
                <w:color w:val="000000"/>
                <w:sz w:val="20"/>
                <w:szCs w:val="20"/>
              </w:rPr>
              <w:t xml:space="preserve">HTTPRoute</w:t>
            </w:r>
          </w:p>
        </w:tc>
        <w:tc>
          <w:tcPr>
            <w:tcW w:type="dxa" w:w="6600"/>
            <w:tcMar>
              <w:top w:type="dxa" w:w="80"/>
              <w:left w:type="dxa" w:w="120"/>
              <w:bottom w:type="dxa" w:w="80"/>
              <w:right w:type="dxa" w:w="120"/>
            </w:tcMar>
          </w:tcPr>
          <w:p>
            <w:r>
              <w:rPr>
                <w:b w:val="false"/>
                <w:bCs w:val="false"/>
                <w:color w:val="000000"/>
                <w:sz w:val="20"/>
                <w:szCs w:val="20"/>
              </w:rPr>
              <w:t xml:space="preserve">Gateway API resource an application team owns to define its own routing rules.</w:t>
            </w:r>
          </w:p>
        </w:tc>
      </w:tr>
      <w:tr>
        <w:tc>
          <w:tcPr>
            <w:tcW w:type="dxa" w:w="2600"/>
            <w:tcMar>
              <w:top w:type="dxa" w:w="80"/>
              <w:left w:type="dxa" w:w="120"/>
              <w:bottom w:type="dxa" w:w="80"/>
              <w:right w:type="dxa" w:w="120"/>
            </w:tcMar>
          </w:tcPr>
          <w:p>
            <w:r>
              <w:rPr>
                <w:b w:val="false"/>
                <w:bCs w:val="false"/>
                <w:color w:val="000000"/>
                <w:sz w:val="20"/>
                <w:szCs w:val="20"/>
              </w:rPr>
              <w:t xml:space="preserve">AWX</w:t>
            </w:r>
          </w:p>
        </w:tc>
        <w:tc>
          <w:tcPr>
            <w:tcW w:type="dxa" w:w="6600"/>
            <w:tcMar>
              <w:top w:type="dxa" w:w="80"/>
              <w:left w:type="dxa" w:w="120"/>
              <w:bottom w:type="dxa" w:w="80"/>
              <w:right w:type="dxa" w:w="120"/>
            </w:tcMar>
          </w:tcPr>
          <w:p>
            <w:r>
              <w:rPr>
                <w:b w:val="false"/>
                <w:bCs w:val="false"/>
                <w:color w:val="000000"/>
                <w:sz w:val="20"/>
                <w:szCs w:val="20"/>
              </w:rPr>
              <w:t xml:space="preserve">Web UI/API/engine for running Ansible playbooks on a schedule or on demand.</w:t>
            </w:r>
          </w:p>
        </w:tc>
      </w:tr>
      <w:tr>
        <w:tc>
          <w:tcPr>
            <w:tcW w:type="dxa" w:w="2600"/>
            <w:tcMar>
              <w:top w:type="dxa" w:w="80"/>
              <w:left w:type="dxa" w:w="120"/>
              <w:bottom w:type="dxa" w:w="80"/>
              <w:right w:type="dxa" w:w="120"/>
            </w:tcMar>
          </w:tcPr>
          <w:p>
            <w:r>
              <w:rPr>
                <w:b w:val="false"/>
                <w:bCs w:val="false"/>
                <w:color w:val="000000"/>
                <w:sz w:val="20"/>
                <w:szCs w:val="20"/>
              </w:rPr>
              <w:t xml:space="preserve">Receptor</w:t>
            </w:r>
          </w:p>
        </w:tc>
        <w:tc>
          <w:tcPr>
            <w:tcW w:type="dxa" w:w="6600"/>
            <w:tcMar>
              <w:top w:type="dxa" w:w="80"/>
              <w:left w:type="dxa" w:w="120"/>
              <w:bottom w:type="dxa" w:w="80"/>
              <w:right w:type="dxa" w:w="120"/>
            </w:tcMar>
          </w:tcPr>
          <w:p>
            <w:r>
              <w:rPr>
                <w:b w:val="false"/>
                <w:bCs w:val="false"/>
                <w:color w:val="000000"/>
                <w:sz w:val="20"/>
                <w:szCs w:val="20"/>
              </w:rPr>
              <w:t xml:space="preserve">The mesh networking layer connecting AWX's control, hop, and execution nodes.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2026-08-12T01:59:49.132Z</dcterms:created>
  <dcterms:modified xsi:type="dcterms:W3CDTF">2026-08-12T01:59:49.133Z</dcterms:modified>
</cp:coreProperties>
</file>

<file path=docProps/custom.xml><?xml version="1.0" encoding="utf-8"?>
<Properties xmlns="http://schemas.openxmlformats.org/officeDocument/2006/custom-properties" xmlns:vt="http://schemas.openxmlformats.org/officeDocument/2006/docPropsVTypes"/>
</file>