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28/04/2025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ROULET PEDRO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Guayra N° 2359 y Calle 47 N° 350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Ingeniero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TEIBLER CARLOS FEDERICO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3961/2025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151879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4435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