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06/06/2025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CORTES MARIA DANIELLA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Lanusse N° 2072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Ingeniero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EDSBERG IVAN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15492/M/1996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16465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4574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