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LALALAL - LALALALA - LALALALA - LALALALAL - LALALA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REGERG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Licenciado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LALALALALITA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GERGBVER/8GERERG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8418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