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E3C9" w14:textId="77777777" w:rsidR="00AF5C54" w:rsidRDefault="00836054">
      <w:pPr>
        <w:keepNext/>
        <w:keepLines/>
        <w:pageBreakBefore/>
        <w:numPr>
          <w:ilvl w:val="0"/>
          <w:numId w:val="1"/>
        </w:numPr>
        <w:spacing w:before="480" w:after="120" w:line="276" w:lineRule="auto"/>
        <w:ind w:left="360" w:hanging="360"/>
        <w:jc w:val="both"/>
        <w:rPr>
          <w:rFonts w:ascii="Quicksand Book" w:eastAsia="Quicksand Book" w:hAnsi="Quicksand Book" w:cs="Quicksand Book"/>
          <w:b/>
          <w:color w:val="C00000"/>
          <w:sz w:val="28"/>
        </w:rPr>
      </w:pPr>
      <w:r>
        <w:rPr>
          <w:rFonts w:ascii="Quicksand Book" w:eastAsia="Quicksand Book" w:hAnsi="Quicksand Book" w:cs="Quicksand Book"/>
          <w:b/>
          <w:color w:val="C00000"/>
          <w:sz w:val="28"/>
        </w:rPr>
        <w:t xml:space="preserve">Meetrapport </w:t>
      </w:r>
      <w:proofErr w:type="spellStart"/>
      <w:r>
        <w:rPr>
          <w:rFonts w:ascii="Quicksand Book" w:eastAsia="Quicksand Book" w:hAnsi="Quicksand Book" w:cs="Quicksand Book"/>
          <w:b/>
          <w:color w:val="C00000"/>
          <w:sz w:val="28"/>
        </w:rPr>
        <w:t>Intensity</w:t>
      </w:r>
      <w:proofErr w:type="spellEnd"/>
      <w:r>
        <w:rPr>
          <w:rFonts w:ascii="Quicksand Book" w:eastAsia="Quicksand Book" w:hAnsi="Quicksand Book" w:cs="Quicksand Book"/>
          <w:b/>
          <w:color w:val="C00000"/>
          <w:sz w:val="28"/>
        </w:rPr>
        <w:t xml:space="preserve"> snelheid</w:t>
      </w:r>
    </w:p>
    <w:p w14:paraId="57BB67D7" w14:textId="77777777" w:rsidR="00AF5C54" w:rsidRDefault="00836054">
      <w:pPr>
        <w:keepNext/>
        <w:keepLines/>
        <w:numPr>
          <w:ilvl w:val="0"/>
          <w:numId w:val="1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Namen en datum</w:t>
      </w:r>
    </w:p>
    <w:p w14:paraId="4B8B8A6E" w14:textId="77777777" w:rsidR="00AF5C54" w:rsidRDefault="00836054">
      <w:pPr>
        <w:spacing w:after="200" w:line="276" w:lineRule="auto"/>
        <w:jc w:val="center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Jesper Obbes</w:t>
      </w:r>
    </w:p>
    <w:p w14:paraId="434A8A4F" w14:textId="77777777" w:rsidR="00AF5C54" w:rsidRDefault="00836054">
      <w:pPr>
        <w:spacing w:after="200" w:line="276" w:lineRule="auto"/>
        <w:jc w:val="center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Sander van Sterkenburg</w:t>
      </w:r>
    </w:p>
    <w:p w14:paraId="1DA8C534" w14:textId="77777777" w:rsidR="00AF5C54" w:rsidRDefault="00836054">
      <w:pPr>
        <w:spacing w:after="200" w:line="276" w:lineRule="auto"/>
        <w:jc w:val="center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12/04/2019</w:t>
      </w:r>
    </w:p>
    <w:p w14:paraId="6EA220D2" w14:textId="77777777" w:rsidR="00AF5C54" w:rsidRDefault="00AF5C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</w:p>
    <w:p w14:paraId="5CD21CB0" w14:textId="77777777" w:rsidR="00AF5C54" w:rsidRDefault="00836054">
      <w:pPr>
        <w:keepNext/>
        <w:keepLines/>
        <w:numPr>
          <w:ilvl w:val="0"/>
          <w:numId w:val="2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Doel</w:t>
      </w:r>
    </w:p>
    <w:p w14:paraId="03A36448" w14:textId="77777777" w:rsidR="00AF5C54" w:rsidRDefault="008360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 xml:space="preserve">Het doel van dit meetrapport is om te onderzoeken of onze gebruikte methode voor de RGB naar </w:t>
      </w:r>
      <w:proofErr w:type="spellStart"/>
      <w:r>
        <w:rPr>
          <w:rFonts w:ascii="Quicksand Book" w:eastAsia="Quicksand Book" w:hAnsi="Quicksand Book" w:cs="Quicksand Book"/>
          <w:sz w:val="20"/>
        </w:rPr>
        <w:t>Intensity</w:t>
      </w:r>
      <w:proofErr w:type="spellEnd"/>
      <w:r>
        <w:rPr>
          <w:rFonts w:ascii="Quicksand Book" w:eastAsia="Quicksand Book" w:hAnsi="Quicksand Book" w:cs="Quicksand Book"/>
          <w:sz w:val="20"/>
        </w:rPr>
        <w:t xml:space="preserve"> conversie even snel of sneller is dan de huidige implementatie van dit systeem. Er zal een snelheid test gedaan worden om te kijken of dit waar is of nie</w:t>
      </w:r>
      <w:r>
        <w:rPr>
          <w:rFonts w:ascii="Quicksand Book" w:eastAsia="Quicksand Book" w:hAnsi="Quicksand Book" w:cs="Quicksand Book"/>
          <w:sz w:val="20"/>
        </w:rPr>
        <w:t>t.</w:t>
      </w:r>
    </w:p>
    <w:p w14:paraId="2E4AD78D" w14:textId="77777777" w:rsidR="00AF5C54" w:rsidRDefault="00836054">
      <w:pPr>
        <w:keepNext/>
        <w:keepLines/>
        <w:numPr>
          <w:ilvl w:val="0"/>
          <w:numId w:val="3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Hypothese</w:t>
      </w:r>
    </w:p>
    <w:p w14:paraId="083C1B4F" w14:textId="77777777" w:rsidR="00AF5C54" w:rsidRDefault="008360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We verwachten dat onze methode sneller zal zijn dan de basis implementatie aangezien deze hoogstwaarschijnlijk een ander algoritme zal gebruiken wat uitgebreider is. Dit weten wij alleen niet 100% zeker aangezien we niet weten hoe de basisimpl</w:t>
      </w:r>
      <w:r>
        <w:rPr>
          <w:rFonts w:ascii="Quicksand Book" w:eastAsia="Quicksand Book" w:hAnsi="Quicksand Book" w:cs="Quicksand Book"/>
          <w:sz w:val="20"/>
        </w:rPr>
        <w:t>ementatie in elkaar zit.</w:t>
      </w:r>
    </w:p>
    <w:p w14:paraId="04F06C6F" w14:textId="77777777" w:rsidR="00AF5C54" w:rsidRDefault="00836054">
      <w:pPr>
        <w:keepNext/>
        <w:keepLines/>
        <w:numPr>
          <w:ilvl w:val="0"/>
          <w:numId w:val="4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Werkwijze</w:t>
      </w:r>
    </w:p>
    <w:p w14:paraId="167CA3C9" w14:textId="77777777" w:rsidR="00AF5C54" w:rsidRDefault="008360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 xml:space="preserve">Voor het testen van de conversie gaan we kijken naar de  </w:t>
      </w:r>
      <w:proofErr w:type="spellStart"/>
      <w:r>
        <w:rPr>
          <w:rFonts w:ascii="Quicksand Book" w:eastAsia="Quicksand Book" w:hAnsi="Quicksand Book" w:cs="Quicksand Book"/>
          <w:sz w:val="20"/>
        </w:rPr>
        <w:t>runtime</w:t>
      </w:r>
      <w:proofErr w:type="spellEnd"/>
      <w:r>
        <w:rPr>
          <w:rFonts w:ascii="Quicksand Book" w:eastAsia="Quicksand Book" w:hAnsi="Quicksand Book" w:cs="Quicksand Book"/>
          <w:sz w:val="20"/>
        </w:rPr>
        <w:t xml:space="preserve"> van preprocessingstep1. Hiervoor passen we het programma een klein beetje aan om een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::chrono::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high_resolution_clock</w:t>
      </w:r>
      <w:proofErr w:type="spellEnd"/>
      <w:r>
        <w:rPr>
          <w:rFonts w:ascii="Consolas" w:eastAsia="Consolas" w:hAnsi="Consolas" w:cs="Consolas"/>
          <w:color w:val="2B91AF"/>
          <w:sz w:val="19"/>
        </w:rPr>
        <w:t xml:space="preserve"> </w:t>
      </w:r>
      <w:r>
        <w:rPr>
          <w:rFonts w:ascii="Quicksand Book" w:eastAsia="Quicksand Book" w:hAnsi="Quicksand Book" w:cs="Quicksand Book"/>
          <w:sz w:val="20"/>
        </w:rPr>
        <w:t xml:space="preserve">toe te voegen. De </w:t>
      </w:r>
      <w:proofErr w:type="spellStart"/>
      <w:r>
        <w:rPr>
          <w:rFonts w:ascii="Quicksand Book" w:eastAsia="Quicksand Book" w:hAnsi="Quicksand Book" w:cs="Quicksand Book"/>
          <w:sz w:val="20"/>
        </w:rPr>
        <w:t>now</w:t>
      </w:r>
      <w:proofErr w:type="spellEnd"/>
      <w:r>
        <w:rPr>
          <w:rFonts w:ascii="Quicksand Book" w:eastAsia="Quicksand Book" w:hAnsi="Quicksand Book" w:cs="Quicksand Book"/>
          <w:sz w:val="20"/>
        </w:rPr>
        <w:t xml:space="preserve">() functie van de klok zal aan het begin van deze </w:t>
      </w:r>
      <w:r>
        <w:rPr>
          <w:rFonts w:ascii="Quicksand Book" w:eastAsia="Quicksand Book" w:hAnsi="Quicksand Book" w:cs="Quicksand Book"/>
          <w:sz w:val="20"/>
        </w:rPr>
        <w:t xml:space="preserve">functie worden opgeroepen worden en nogmaals wanneer deze functie stopt.. Het verschil van deze twee tijden is de uiteindelijk tijd dat de </w:t>
      </w:r>
      <w:proofErr w:type="spellStart"/>
      <w:r>
        <w:rPr>
          <w:rFonts w:ascii="Quicksand Book" w:eastAsia="Quicksand Book" w:hAnsi="Quicksand Book" w:cs="Quicksand Book"/>
          <w:sz w:val="20"/>
        </w:rPr>
        <w:t>de</w:t>
      </w:r>
      <w:proofErr w:type="spellEnd"/>
      <w:r>
        <w:rPr>
          <w:rFonts w:ascii="Quicksand Book" w:eastAsia="Quicksand Book" w:hAnsi="Quicksand Book" w:cs="Quicksand Book"/>
          <w:sz w:val="20"/>
        </w:rPr>
        <w:t xml:space="preserve"> conversie nodig heeft. Dit za met een </w:t>
      </w:r>
      <w:proofErr w:type="spellStart"/>
      <w:r>
        <w:rPr>
          <w:rFonts w:ascii="Quicksand Book" w:eastAsia="Quicksand Book" w:hAnsi="Quicksand Book" w:cs="Quicksand Book"/>
          <w:sz w:val="20"/>
        </w:rPr>
        <w:t>for</w:t>
      </w:r>
      <w:proofErr w:type="spellEnd"/>
      <w:r>
        <w:rPr>
          <w:rFonts w:ascii="Quicksand Book" w:eastAsia="Quicksand Book" w:hAnsi="Quicksand Book" w:cs="Quicksand Book"/>
          <w:sz w:val="20"/>
        </w:rPr>
        <w:t>-loop 100x gedaan worden. Zo zal het gemiddelde het uiteindelijke verschi</w:t>
      </w:r>
      <w:r>
        <w:rPr>
          <w:rFonts w:ascii="Quicksand Book" w:eastAsia="Quicksand Book" w:hAnsi="Quicksand Book" w:cs="Quicksand Book"/>
          <w:sz w:val="20"/>
        </w:rPr>
        <w:t>l bepalen.</w:t>
      </w:r>
    </w:p>
    <w:p w14:paraId="46A4181B" w14:textId="77777777" w:rsidR="00AF5C54" w:rsidRDefault="008360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 xml:space="preserve">Deze tests zijn gerund op </w:t>
      </w:r>
      <w:proofErr w:type="spellStart"/>
      <w:r>
        <w:rPr>
          <w:rFonts w:ascii="Quicksand Book" w:eastAsia="Quicksand Book" w:hAnsi="Quicksand Book" w:cs="Quicksand Book"/>
          <w:sz w:val="20"/>
        </w:rPr>
        <w:t>visual</w:t>
      </w:r>
      <w:proofErr w:type="spellEnd"/>
      <w:r>
        <w:rPr>
          <w:rFonts w:ascii="Quicksand Book" w:eastAsia="Quicksand Book" w:hAnsi="Quicksand Book" w:cs="Quicksand Book"/>
          <w:sz w:val="20"/>
        </w:rPr>
        <w:t xml:space="preserve"> studio 2017 in debug mode. De gebruikte foto is male-3.png die is te vinden in de testsets. </w:t>
      </w:r>
    </w:p>
    <w:p w14:paraId="203DA598" w14:textId="77777777" w:rsidR="00AF5C54" w:rsidRDefault="008360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 xml:space="preserve">De uitgevoerde tests zijn </w:t>
      </w:r>
      <w:proofErr w:type="spellStart"/>
      <w:r>
        <w:rPr>
          <w:rFonts w:ascii="Quicksand Book" w:eastAsia="Quicksand Book" w:hAnsi="Quicksand Book" w:cs="Quicksand Book"/>
          <w:sz w:val="20"/>
        </w:rPr>
        <w:t>uigevoerd</w:t>
      </w:r>
      <w:proofErr w:type="spellEnd"/>
      <w:r>
        <w:rPr>
          <w:rFonts w:ascii="Quicksand Book" w:eastAsia="Quicksand Book" w:hAnsi="Quicksand Book" w:cs="Quicksand Book"/>
          <w:sz w:val="20"/>
        </w:rPr>
        <w:t xml:space="preserve"> op een ASUS-GL553VW. De specificaties van deze laptop zijn:</w:t>
      </w:r>
    </w:p>
    <w:p w14:paraId="78066D44" w14:textId="77777777" w:rsidR="00AF5C54" w:rsidRDefault="00836054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Processor: Intel i5 7300HQ</w:t>
      </w:r>
    </w:p>
    <w:p w14:paraId="299ABA9F" w14:textId="77777777" w:rsidR="00AF5C54" w:rsidRDefault="00836054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Werkgeheugen: 8GB RAM DDR4</w:t>
      </w:r>
    </w:p>
    <w:p w14:paraId="2FF63569" w14:textId="77777777" w:rsidR="00AF5C54" w:rsidRDefault="00836054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Opslag: 256GB SSD</w:t>
      </w:r>
    </w:p>
    <w:p w14:paraId="136BDA35" w14:textId="77777777" w:rsidR="00AF5C54" w:rsidRDefault="00836054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>Videokaart: Nvidia GTX1050</w:t>
      </w:r>
    </w:p>
    <w:p w14:paraId="06C2C73F" w14:textId="2C10CF1D" w:rsidR="00AF5C54" w:rsidRDefault="00836054" w:rsidP="00836054">
      <w:pPr>
        <w:spacing w:after="200" w:line="276" w:lineRule="auto"/>
        <w:rPr>
          <w:rFonts w:ascii="Quicksand Book" w:eastAsia="Quicksand Book" w:hAnsi="Quicksand Book" w:cs="Quicksand Book"/>
          <w:sz w:val="20"/>
        </w:rPr>
      </w:pPr>
      <w:r>
        <w:rPr>
          <w:rFonts w:ascii="Quicksand Book" w:eastAsia="Quicksand Book" w:hAnsi="Quicksand Book" w:cs="Quicksand Book"/>
          <w:sz w:val="20"/>
        </w:rPr>
        <w:t xml:space="preserve"> </w:t>
      </w:r>
      <w:bookmarkStart w:id="0" w:name="_GoBack"/>
      <w:bookmarkEnd w:id="0"/>
    </w:p>
    <w:p w14:paraId="7962634C" w14:textId="0F3258AC" w:rsidR="00AF5C54" w:rsidRDefault="00836054">
      <w:pPr>
        <w:keepNext/>
        <w:keepLines/>
        <w:numPr>
          <w:ilvl w:val="0"/>
          <w:numId w:val="6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836054" w14:paraId="4B2ACCF3" w14:textId="77777777" w:rsidTr="002A0441">
        <w:tc>
          <w:tcPr>
            <w:tcW w:w="2265" w:type="dxa"/>
          </w:tcPr>
          <w:p w14:paraId="700277A4" w14:textId="77777777" w:rsidR="00836054" w:rsidRPr="00754D58" w:rsidRDefault="00836054" w:rsidP="002A04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</w:t>
            </w:r>
          </w:p>
        </w:tc>
        <w:tc>
          <w:tcPr>
            <w:tcW w:w="2265" w:type="dxa"/>
          </w:tcPr>
          <w:p w14:paraId="29B4B54E" w14:textId="77777777" w:rsidR="00836054" w:rsidRPr="00754D58" w:rsidRDefault="00836054" w:rsidP="002A04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Default tijd(ms)</w:t>
            </w:r>
          </w:p>
        </w:tc>
        <w:tc>
          <w:tcPr>
            <w:tcW w:w="2266" w:type="dxa"/>
          </w:tcPr>
          <w:p w14:paraId="149C4C60" w14:textId="77777777" w:rsidR="00836054" w:rsidRPr="00754D58" w:rsidRDefault="00836054" w:rsidP="002A04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Student tijd(ms)</w:t>
            </w:r>
          </w:p>
        </w:tc>
      </w:tr>
      <w:tr w:rsidR="00836054" w14:paraId="453CC82B" w14:textId="77777777" w:rsidTr="002A0441">
        <w:tc>
          <w:tcPr>
            <w:tcW w:w="2265" w:type="dxa"/>
          </w:tcPr>
          <w:p w14:paraId="44056A75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1ED1DEBA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936</w:t>
            </w:r>
          </w:p>
        </w:tc>
        <w:tc>
          <w:tcPr>
            <w:tcW w:w="2266" w:type="dxa"/>
          </w:tcPr>
          <w:p w14:paraId="745A3F56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1094</w:t>
            </w:r>
          </w:p>
        </w:tc>
      </w:tr>
      <w:tr w:rsidR="00836054" w14:paraId="711629A8" w14:textId="77777777" w:rsidTr="002A0441">
        <w:tc>
          <w:tcPr>
            <w:tcW w:w="2265" w:type="dxa"/>
          </w:tcPr>
          <w:p w14:paraId="47D7F243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4275C99C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913</w:t>
            </w:r>
          </w:p>
        </w:tc>
        <w:tc>
          <w:tcPr>
            <w:tcW w:w="2266" w:type="dxa"/>
          </w:tcPr>
          <w:p w14:paraId="3BC43446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1103</w:t>
            </w:r>
          </w:p>
        </w:tc>
      </w:tr>
      <w:tr w:rsidR="00836054" w14:paraId="41170B14" w14:textId="77777777" w:rsidTr="002A0441">
        <w:tc>
          <w:tcPr>
            <w:tcW w:w="2265" w:type="dxa"/>
          </w:tcPr>
          <w:p w14:paraId="7A491620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60E2D2D1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891</w:t>
            </w:r>
          </w:p>
        </w:tc>
        <w:tc>
          <w:tcPr>
            <w:tcW w:w="2266" w:type="dxa"/>
          </w:tcPr>
          <w:p w14:paraId="78BE8C3D" w14:textId="77777777" w:rsidR="00836054" w:rsidRDefault="00836054" w:rsidP="002A0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1072</w:t>
            </w:r>
          </w:p>
        </w:tc>
      </w:tr>
    </w:tbl>
    <w:p w14:paraId="19807483" w14:textId="77777777" w:rsidR="00836054" w:rsidRPr="00836054" w:rsidRDefault="00836054" w:rsidP="00836054">
      <w:pPr>
        <w:keepNext/>
        <w:keepLines/>
        <w:spacing w:before="200" w:after="120" w:line="276" w:lineRule="auto"/>
        <w:jc w:val="both"/>
        <w:rPr>
          <w:rFonts w:ascii="Quicksand Book" w:eastAsia="Quicksand Book" w:hAnsi="Quicksand Book" w:cs="Quicksand Book"/>
          <w:color w:val="F00000"/>
          <w:sz w:val="20"/>
          <w:szCs w:val="20"/>
        </w:rPr>
      </w:pPr>
    </w:p>
    <w:p w14:paraId="4045B3A4" w14:textId="33E1E543" w:rsidR="00836054" w:rsidRDefault="00836054">
      <w:pPr>
        <w:keepNext/>
        <w:keepLines/>
        <w:numPr>
          <w:ilvl w:val="0"/>
          <w:numId w:val="6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Verwerking</w:t>
      </w:r>
    </w:p>
    <w:p w14:paraId="4E884947" w14:textId="77777777" w:rsidR="00AF5C54" w:rsidRDefault="00AF5C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</w:p>
    <w:p w14:paraId="5D700D92" w14:textId="77777777" w:rsidR="00AF5C54" w:rsidRDefault="00836054">
      <w:pPr>
        <w:keepNext/>
        <w:keepLines/>
        <w:numPr>
          <w:ilvl w:val="0"/>
          <w:numId w:val="7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Conclusie</w:t>
      </w:r>
    </w:p>
    <w:p w14:paraId="2EC57FA5" w14:textId="77777777" w:rsidR="00AF5C54" w:rsidRDefault="00AF5C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</w:p>
    <w:p w14:paraId="69BE9C1B" w14:textId="77777777" w:rsidR="00AF5C54" w:rsidRDefault="00836054">
      <w:pPr>
        <w:keepNext/>
        <w:keepLines/>
        <w:numPr>
          <w:ilvl w:val="0"/>
          <w:numId w:val="8"/>
        </w:numPr>
        <w:spacing w:before="200" w:after="120" w:line="276" w:lineRule="auto"/>
        <w:ind w:left="720" w:hanging="360"/>
        <w:jc w:val="both"/>
        <w:rPr>
          <w:rFonts w:ascii="Quicksand Book" w:eastAsia="Quicksand Book" w:hAnsi="Quicksand Book" w:cs="Quicksand Book"/>
          <w:b/>
          <w:color w:val="F00000"/>
          <w:sz w:val="26"/>
        </w:rPr>
      </w:pPr>
      <w:r>
        <w:rPr>
          <w:rFonts w:ascii="Quicksand Book" w:eastAsia="Quicksand Book" w:hAnsi="Quicksand Book" w:cs="Quicksand Book"/>
          <w:b/>
          <w:color w:val="F00000"/>
          <w:sz w:val="26"/>
        </w:rPr>
        <w:t>Evaluatie</w:t>
      </w:r>
    </w:p>
    <w:p w14:paraId="5077965E" w14:textId="77777777" w:rsidR="00AF5C54" w:rsidRDefault="00AF5C54">
      <w:pPr>
        <w:spacing w:after="200" w:line="276" w:lineRule="auto"/>
        <w:jc w:val="both"/>
        <w:rPr>
          <w:rFonts w:ascii="Quicksand Book" w:eastAsia="Quicksand Book" w:hAnsi="Quicksand Book" w:cs="Quicksand Book"/>
          <w:sz w:val="20"/>
        </w:rPr>
      </w:pPr>
    </w:p>
    <w:sectPr w:rsidR="00AF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 Book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55BB"/>
    <w:multiLevelType w:val="multilevel"/>
    <w:tmpl w:val="41583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EC1776"/>
    <w:multiLevelType w:val="multilevel"/>
    <w:tmpl w:val="9B0EF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A72E1C"/>
    <w:multiLevelType w:val="multilevel"/>
    <w:tmpl w:val="478C2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AC1830"/>
    <w:multiLevelType w:val="multilevel"/>
    <w:tmpl w:val="44C0E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146C6E"/>
    <w:multiLevelType w:val="multilevel"/>
    <w:tmpl w:val="FFF85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C45702"/>
    <w:multiLevelType w:val="multilevel"/>
    <w:tmpl w:val="41B2C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960801"/>
    <w:multiLevelType w:val="multilevel"/>
    <w:tmpl w:val="6E10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6909B5"/>
    <w:multiLevelType w:val="multilevel"/>
    <w:tmpl w:val="37587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C54"/>
    <w:rsid w:val="00836054"/>
    <w:rsid w:val="00A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8552"/>
  <w15:docId w15:val="{0EA9FB49-A20B-4E20-83F7-3764593F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3605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Sander van Sterkenburg</cp:lastModifiedBy>
  <cp:revision>2</cp:revision>
  <dcterms:created xsi:type="dcterms:W3CDTF">2019-04-14T20:12:00Z</dcterms:created>
  <dcterms:modified xsi:type="dcterms:W3CDTF">2019-04-14T20:13:00Z</dcterms:modified>
</cp:coreProperties>
</file>