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p>
    <w:p>
      <w:pPr>
        <w:jc w:val="center"/>
      </w:pPr>
      <w:r>
        <w:rPr>
          <w:b/>
          <w:bCs/>
          <w:color w:val="1F3864"/>
          <w:sz w:val="40"/>
          <w:szCs w:val="40"/>
        </w:rPr>
        <w:t xml:space="preserve">BUSINESS REQUIREMENTS DOCUMENT</w:t>
      </w:r>
    </w:p>
    <w:p>
      <w:pPr>
        <w:spacing w:before="200"/>
        <w:jc w:val="center"/>
      </w:pPr>
      <w:r>
        <w:rPr>
          <w:b/>
          <w:bCs/>
          <w:color w:val="2E5C8A"/>
          <w:sz w:val="32"/>
          <w:szCs w:val="32"/>
        </w:rPr>
        <w:t xml:space="preserve">Sales AI</w:t>
      </w:r>
    </w:p>
    <w:p>
      <w:pPr>
        <w:spacing w:before="80"/>
        <w:jc w:val="center"/>
      </w:pPr>
      <w:r>
        <w:rPr>
          <w:i/>
          <w:iCs/>
          <w:color w:val="5B6270"/>
          <w:sz w:val="24"/>
          <w:szCs w:val="24"/>
        </w:rPr>
        <w:t xml:space="preserve">AI-Powered Retail Sales Forecasting &amp; Business Decision Support Platform</w:t>
      </w:r>
    </w:p>
    <w:p>
      <w:pPr>
        <w:spacing w:before="900"/>
        <w:jc w:val="center"/>
      </w:pPr>
      <w:r>
        <w:rPr>
          <w:sz w:val="20"/>
          <w:szCs w:val="20"/>
        </w:rPr>
        <w:t xml:space="preserve">Prepared for: Retail Planning &amp; Merchandising Leadership</w:t>
      </w:r>
    </w:p>
    <w:p>
      <w:pPr>
        <w:spacing w:before="120"/>
        <w:jc w:val="center"/>
      </w:pPr>
      <w:r>
        <w:rPr>
          <w:sz w:val="20"/>
          <w:szCs w:val="20"/>
        </w:rPr>
        <w:t xml:space="preserve">Prepared by: AaiTech — Data &amp; AI Platform Team</w:t>
      </w:r>
    </w:p>
    <w:p>
      <w:pPr>
        <w:spacing w:before="120"/>
        <w:jc w:val="center"/>
      </w:pPr>
      <w:r>
        <w:rPr>
          <w:sz w:val="20"/>
          <w:szCs w:val="20"/>
        </w:rPr>
        <w:t xml:space="preserve">Document Status: Draft for Review</w:t>
      </w:r>
    </w:p>
    <w:p>
      <w:pPr>
        <w:spacing w:before="120"/>
        <w:jc w:val="center"/>
      </w:pPr>
      <w:r>
        <w:rPr>
          <w:sz w:val="20"/>
          <w:szCs w:val="20"/>
        </w:rPr>
        <w:t xml:space="preserve">Version: 1.0</w:t>
      </w:r>
    </w:p>
    <w:p>
      <w:pPr>
        <w:spacing w:before="120"/>
        <w:jc w:val="center"/>
      </w:pPr>
      <w:r>
        <w:rPr>
          <w:sz w:val="20"/>
          <w:szCs w:val="20"/>
        </w:rPr>
        <w:t xml:space="preserve">Date: September 2026</w:t>
      </w:r>
    </w:p>
    <w:p>
      <w:pPr>
        <w:spacing w:before="500"/>
        <w:jc w:val="center"/>
      </w:pPr>
      <w:r>
        <w:rPr>
          <w:color w:val="5B6270"/>
          <w:sz w:val="17"/>
          <w:szCs w:val="17"/>
        </w:rPr>
        <w:t xml:space="preserve">© 2026 AaiTech. All Rights Reserved.</w:t>
      </w:r>
    </w:p>
    <w:p>
      <w:pPr>
        <w:spacing w:before="60"/>
        <w:jc w:val="center"/>
      </w:pPr>
      <w:r>
        <w:rPr>
          <w:i/>
          <w:iCs/>
          <w:color w:val="5B6270"/>
          <w:sz w:val="15"/>
          <w:szCs w:val="15"/>
        </w:rPr>
        <w:t xml:space="preserve">This document is confidential and proprietary to AaiTech. It is intended solely for the use of the individuals and organizations named above and may not be reproduced or distributed without prior written consent.</w:t>
      </w:r>
    </w:p>
    <w:p>
      <w:r>
        <w:br w:type="page"/>
      </w:r>
    </w:p>
    <w:p>
      <w:pPr>
        <w:sectPr>
          <w:pgSz w:w="12240" w:h="15840" w:orient="portrait"/>
          <w:pgMar w:top="1080" w:right="1080" w:bottom="1080" w:left="1080" w:header="708" w:footer="708" w:gutter="0"/>
          <w:pgNumType/>
          <w:docGrid w:linePitch="360"/>
        </w:sectPr>
      </w:pPr>
    </w:p>
    <w:p>
      <w:pPr>
        <w:pStyle w:val="Heading1"/>
        <w:spacing w:after="160" w:before="360"/>
      </w:pPr>
      <w:r>
        <w:rPr>
          <w:b/>
          <w:bCs/>
          <w:color w:val="1F3864"/>
          <w:sz w:val="28"/>
          <w:szCs w:val="28"/>
        </w:rPr>
        <w:t xml:space="preserve">Document Control</w:t>
      </w:r>
    </w:p>
    <w:p>
      <w:pPr>
        <w:pStyle w:val="Heading2"/>
        <w:spacing w:after="120" w:before="260"/>
      </w:pPr>
      <w:r>
        <w:rPr>
          <w:b/>
          <w:bCs/>
          <w:color w:val="2E5C8A"/>
          <w:sz w:val="24"/>
          <w:szCs w:val="24"/>
        </w:rPr>
        <w:t xml:space="preserve">Confidentiality Notice</w:t>
      </w:r>
    </w:p>
    <w:p>
      <w:pPr>
        <w:spacing w:after="160" w:line="276"/>
      </w:pPr>
      <w:r>
        <w:rPr>
          <w:sz w:val="21"/>
          <w:szCs w:val="21"/>
        </w:rPr>
        <w:t xml:space="preserve">This document and its contents are the confidential and proprietary information of AaiTech. It is provided solely for the purpose of business requirements review and approval by the stakeholders listed below. It shall not be copied, disclosed, or distributed outside the intended audience without prior written consent from AaiTech.</w:t>
      </w:r>
    </w:p>
    <w:p>
      <w:pPr>
        <w:spacing w:before="60"/>
      </w:pPr>
    </w:p>
    <w:p>
      <w:pPr>
        <w:pStyle w:val="Heading2"/>
        <w:spacing w:after="120" w:before="260"/>
      </w:pPr>
      <w:r>
        <w:rPr>
          <w:b/>
          <w:bCs/>
          <w:color w:val="2E5C8A"/>
          <w:sz w:val="24"/>
          <w:szCs w:val="24"/>
        </w:rPr>
        <w:t xml:space="preserve">Revision History</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600"/>
        <w:gridCol w:w="1800"/>
        <w:gridCol w:w="3200"/>
        <w:gridCol w:w="4200"/>
      </w:tblGrid>
      <w:tr>
        <w:trPr>
          <w:tblHeader/>
        </w:trPr>
        <w:tc>
          <w:tcPr>
            <w:tcW w:type="dxa" w:w="1600"/>
            <w:tcBorders>
              <w:top w:val="single" w:color="B7BEC9" w:sz="2"/>
              <w:left w:val="single" w:color="B7BEC9" w:sz="2"/>
              <w:bottom w:val="single" w:color="B7BEC9" w:sz="2"/>
              <w:right w:val="single" w:color="B7BEC9" w:sz="2"/>
            </w:tcBorders>
            <w:shd w:fill="1F3864" w:val="clear"/>
            <w:tcMar>
              <w:top w:type="dxa" w:w="80"/>
              <w:left w:type="dxa" w:w="100"/>
              <w:bottom w:type="dxa" w:w="80"/>
              <w:right w:type="dxa" w:w="100"/>
            </w:tcMar>
            <w:vAlign w:val="center"/>
          </w:tcPr>
          <w:p>
            <w:r>
              <w:rPr>
                <w:b/>
                <w:bCs/>
                <w:color w:val="FFFFFF"/>
                <w:sz w:val="19"/>
                <w:szCs w:val="19"/>
              </w:rPr>
              <w:t xml:space="preserve">Version</w:t>
            </w:r>
          </w:p>
        </w:tc>
        <w:tc>
          <w:tcPr>
            <w:tcW w:type="dxa" w:w="1800"/>
            <w:tcBorders>
              <w:top w:val="single" w:color="B7BEC9" w:sz="2"/>
              <w:left w:val="single" w:color="B7BEC9" w:sz="2"/>
              <w:bottom w:val="single" w:color="B7BEC9" w:sz="2"/>
              <w:right w:val="single" w:color="B7BEC9" w:sz="2"/>
            </w:tcBorders>
            <w:shd w:fill="1F3864" w:val="clear"/>
            <w:tcMar>
              <w:top w:type="dxa" w:w="80"/>
              <w:left w:type="dxa" w:w="100"/>
              <w:bottom w:type="dxa" w:w="80"/>
              <w:right w:type="dxa" w:w="100"/>
            </w:tcMar>
            <w:vAlign w:val="center"/>
          </w:tcPr>
          <w:p>
            <w:r>
              <w:rPr>
                <w:b/>
                <w:bCs/>
                <w:color w:val="FFFFFF"/>
                <w:sz w:val="19"/>
                <w:szCs w:val="19"/>
              </w:rPr>
              <w:t xml:space="preserve">Date</w:t>
            </w:r>
          </w:p>
        </w:tc>
        <w:tc>
          <w:tcPr>
            <w:tcW w:type="dxa" w:w="3200"/>
            <w:tcBorders>
              <w:top w:val="single" w:color="B7BEC9" w:sz="2"/>
              <w:left w:val="single" w:color="B7BEC9" w:sz="2"/>
              <w:bottom w:val="single" w:color="B7BEC9" w:sz="2"/>
              <w:right w:val="single" w:color="B7BEC9" w:sz="2"/>
            </w:tcBorders>
            <w:shd w:fill="1F3864" w:val="clear"/>
            <w:tcMar>
              <w:top w:type="dxa" w:w="80"/>
              <w:left w:type="dxa" w:w="100"/>
              <w:bottom w:type="dxa" w:w="80"/>
              <w:right w:type="dxa" w:w="100"/>
            </w:tcMar>
            <w:vAlign w:val="center"/>
          </w:tcPr>
          <w:p>
            <w:r>
              <w:rPr>
                <w:b/>
                <w:bCs/>
                <w:color w:val="FFFFFF"/>
                <w:sz w:val="19"/>
                <w:szCs w:val="19"/>
              </w:rPr>
              <w:t xml:space="preserve">Author</w:t>
            </w:r>
          </w:p>
        </w:tc>
        <w:tc>
          <w:tcPr>
            <w:tcW w:type="dxa" w:w="4200"/>
            <w:tcBorders>
              <w:top w:val="single" w:color="B7BEC9" w:sz="2"/>
              <w:left w:val="single" w:color="B7BEC9" w:sz="2"/>
              <w:bottom w:val="single" w:color="B7BEC9" w:sz="2"/>
              <w:right w:val="single" w:color="B7BEC9" w:sz="2"/>
            </w:tcBorders>
            <w:shd w:fill="1F3864" w:val="clear"/>
            <w:tcMar>
              <w:top w:type="dxa" w:w="80"/>
              <w:left w:type="dxa" w:w="100"/>
              <w:bottom w:type="dxa" w:w="80"/>
              <w:right w:type="dxa" w:w="100"/>
            </w:tcMar>
            <w:vAlign w:val="center"/>
          </w:tcPr>
          <w:p>
            <w:r>
              <w:rPr>
                <w:b/>
                <w:bCs/>
                <w:color w:val="FFFFFF"/>
                <w:sz w:val="19"/>
                <w:szCs w:val="19"/>
              </w:rPr>
              <w:t xml:space="preserve">Description</w:t>
            </w:r>
          </w:p>
        </w:tc>
      </w:tr>
      <w:tr>
        <w:tc>
          <w:tcPr>
            <w:tcW w:type="dxa" w:w="1600"/>
            <w:tcBorders>
              <w:top w:val="single" w:color="B7BEC9" w:sz="2"/>
              <w:left w:val="single" w:color="B7BEC9" w:sz="2"/>
              <w:bottom w:val="single" w:color="B7BEC9" w:sz="2"/>
              <w:right w:val="single" w:color="B7BEC9" w:sz="2"/>
            </w:tcBorders>
            <w:tcMar>
              <w:top w:type="dxa" w:w="60"/>
              <w:left w:type="dxa" w:w="100"/>
              <w:bottom w:type="dxa" w:w="60"/>
              <w:right w:type="dxa" w:w="100"/>
            </w:tcMar>
            <w:vAlign w:val="center"/>
          </w:tcPr>
          <w:p>
            <w:r>
              <w:rPr>
                <w:b w:val="false"/>
                <w:bCs w:val="false"/>
                <w:sz w:val="19"/>
                <w:szCs w:val="19"/>
              </w:rPr>
              <w:t xml:space="preserve">0.1</w:t>
            </w:r>
          </w:p>
        </w:tc>
        <w:tc>
          <w:tcPr>
            <w:tcW w:type="dxa" w:w="1800"/>
            <w:tcBorders>
              <w:top w:val="single" w:color="B7BEC9" w:sz="2"/>
              <w:left w:val="single" w:color="B7BEC9" w:sz="2"/>
              <w:bottom w:val="single" w:color="B7BEC9" w:sz="2"/>
              <w:right w:val="single" w:color="B7BEC9" w:sz="2"/>
            </w:tcBorders>
            <w:tcMar>
              <w:top w:type="dxa" w:w="60"/>
              <w:left w:type="dxa" w:w="100"/>
              <w:bottom w:type="dxa" w:w="60"/>
              <w:right w:type="dxa" w:w="100"/>
            </w:tcMar>
            <w:vAlign w:val="center"/>
          </w:tcPr>
          <w:p>
            <w:r>
              <w:rPr>
                <w:b w:val="false"/>
                <w:bCs w:val="false"/>
                <w:sz w:val="19"/>
                <w:szCs w:val="19"/>
              </w:rPr>
              <w:t xml:space="preserve">Aug 2026</w:t>
            </w:r>
          </w:p>
        </w:tc>
        <w:tc>
          <w:tcPr>
            <w:tcW w:type="dxa" w:w="3200"/>
            <w:tcBorders>
              <w:top w:val="single" w:color="B7BEC9" w:sz="2"/>
              <w:left w:val="single" w:color="B7BEC9" w:sz="2"/>
              <w:bottom w:val="single" w:color="B7BEC9" w:sz="2"/>
              <w:right w:val="single" w:color="B7BEC9" w:sz="2"/>
            </w:tcBorders>
            <w:tcMar>
              <w:top w:type="dxa" w:w="60"/>
              <w:left w:type="dxa" w:w="100"/>
              <w:bottom w:type="dxa" w:w="60"/>
              <w:right w:type="dxa" w:w="100"/>
            </w:tcMar>
            <w:vAlign w:val="center"/>
          </w:tcPr>
          <w:p>
            <w:r>
              <w:rPr>
                <w:b w:val="false"/>
                <w:bCs w:val="false"/>
                <w:sz w:val="19"/>
                <w:szCs w:val="19"/>
              </w:rPr>
              <w:t xml:space="preserve">Data &amp; AI Platform Team</w:t>
            </w:r>
          </w:p>
        </w:tc>
        <w:tc>
          <w:tcPr>
            <w:tcW w:type="dxa" w:w="4200"/>
            <w:tcBorders>
              <w:top w:val="single" w:color="B7BEC9" w:sz="2"/>
              <w:left w:val="single" w:color="B7BEC9" w:sz="2"/>
              <w:bottom w:val="single" w:color="B7BEC9" w:sz="2"/>
              <w:right w:val="single" w:color="B7BEC9" w:sz="2"/>
            </w:tcBorders>
            <w:tcMar>
              <w:top w:type="dxa" w:w="60"/>
              <w:left w:type="dxa" w:w="100"/>
              <w:bottom w:type="dxa" w:w="60"/>
              <w:right w:type="dxa" w:w="100"/>
            </w:tcMar>
            <w:vAlign w:val="center"/>
          </w:tcPr>
          <w:p>
            <w:r>
              <w:rPr>
                <w:b w:val="false"/>
                <w:bCs w:val="false"/>
                <w:sz w:val="19"/>
                <w:szCs w:val="19"/>
              </w:rPr>
              <w:t xml:space="preserve">Initial draft — business problem and scope</w:t>
            </w:r>
          </w:p>
        </w:tc>
      </w:tr>
      <w:tr>
        <w:tc>
          <w:tcPr>
            <w:tcW w:type="dxa" w:w="1600"/>
            <w:tcBorders>
              <w:top w:val="single" w:color="B7BEC9" w:sz="2"/>
              <w:left w:val="single" w:color="B7BEC9" w:sz="2"/>
              <w:bottom w:val="single" w:color="B7BEC9" w:sz="2"/>
              <w:right w:val="single" w:color="B7BEC9" w:sz="2"/>
            </w:tcBorders>
            <w:shd w:fill="EAF1FB" w:val="clear"/>
            <w:tcMar>
              <w:top w:type="dxa" w:w="60"/>
              <w:left w:type="dxa" w:w="100"/>
              <w:bottom w:type="dxa" w:w="60"/>
              <w:right w:type="dxa" w:w="100"/>
            </w:tcMar>
            <w:vAlign w:val="center"/>
          </w:tcPr>
          <w:p>
            <w:r>
              <w:rPr>
                <w:b w:val="false"/>
                <w:bCs w:val="false"/>
                <w:sz w:val="19"/>
                <w:szCs w:val="19"/>
              </w:rPr>
              <w:t xml:space="preserve">0.5</w:t>
            </w:r>
          </w:p>
        </w:tc>
        <w:tc>
          <w:tcPr>
            <w:tcW w:type="dxa" w:w="1800"/>
            <w:tcBorders>
              <w:top w:val="single" w:color="B7BEC9" w:sz="2"/>
              <w:left w:val="single" w:color="B7BEC9" w:sz="2"/>
              <w:bottom w:val="single" w:color="B7BEC9" w:sz="2"/>
              <w:right w:val="single" w:color="B7BEC9" w:sz="2"/>
            </w:tcBorders>
            <w:shd w:fill="EAF1FB" w:val="clear"/>
            <w:tcMar>
              <w:top w:type="dxa" w:w="60"/>
              <w:left w:type="dxa" w:w="100"/>
              <w:bottom w:type="dxa" w:w="60"/>
              <w:right w:type="dxa" w:w="100"/>
            </w:tcMar>
            <w:vAlign w:val="center"/>
          </w:tcPr>
          <w:p>
            <w:r>
              <w:rPr>
                <w:b w:val="false"/>
                <w:bCs w:val="false"/>
                <w:sz w:val="19"/>
                <w:szCs w:val="19"/>
              </w:rPr>
              <w:t xml:space="preserve">Sep 2026</w:t>
            </w:r>
          </w:p>
        </w:tc>
        <w:tc>
          <w:tcPr>
            <w:tcW w:type="dxa" w:w="3200"/>
            <w:tcBorders>
              <w:top w:val="single" w:color="B7BEC9" w:sz="2"/>
              <w:left w:val="single" w:color="B7BEC9" w:sz="2"/>
              <w:bottom w:val="single" w:color="B7BEC9" w:sz="2"/>
              <w:right w:val="single" w:color="B7BEC9" w:sz="2"/>
            </w:tcBorders>
            <w:shd w:fill="EAF1FB" w:val="clear"/>
            <w:tcMar>
              <w:top w:type="dxa" w:w="60"/>
              <w:left w:type="dxa" w:w="100"/>
              <w:bottom w:type="dxa" w:w="60"/>
              <w:right w:type="dxa" w:w="100"/>
            </w:tcMar>
            <w:vAlign w:val="center"/>
          </w:tcPr>
          <w:p>
            <w:r>
              <w:rPr>
                <w:b w:val="false"/>
                <w:bCs w:val="false"/>
                <w:sz w:val="19"/>
                <w:szCs w:val="19"/>
              </w:rPr>
              <w:t xml:space="preserve">Data &amp; AI Platform Team</w:t>
            </w:r>
          </w:p>
        </w:tc>
        <w:tc>
          <w:tcPr>
            <w:tcW w:type="dxa" w:w="4200"/>
            <w:tcBorders>
              <w:top w:val="single" w:color="B7BEC9" w:sz="2"/>
              <w:left w:val="single" w:color="B7BEC9" w:sz="2"/>
              <w:bottom w:val="single" w:color="B7BEC9" w:sz="2"/>
              <w:right w:val="single" w:color="B7BEC9" w:sz="2"/>
            </w:tcBorders>
            <w:shd w:fill="EAF1FB" w:val="clear"/>
            <w:tcMar>
              <w:top w:type="dxa" w:w="60"/>
              <w:left w:type="dxa" w:w="100"/>
              <w:bottom w:type="dxa" w:w="60"/>
              <w:right w:type="dxa" w:w="100"/>
            </w:tcMar>
            <w:vAlign w:val="center"/>
          </w:tcPr>
          <w:p>
            <w:r>
              <w:rPr>
                <w:b w:val="false"/>
                <w:bCs w:val="false"/>
                <w:sz w:val="19"/>
                <w:szCs w:val="19"/>
              </w:rPr>
              <w:t xml:space="preserve">Added data requirements and functional requirements</w:t>
            </w:r>
          </w:p>
        </w:tc>
      </w:tr>
      <w:tr>
        <w:tc>
          <w:tcPr>
            <w:tcW w:type="dxa" w:w="1600"/>
            <w:tcBorders>
              <w:top w:val="single" w:color="B7BEC9" w:sz="2"/>
              <w:left w:val="single" w:color="B7BEC9" w:sz="2"/>
              <w:bottom w:val="single" w:color="B7BEC9" w:sz="2"/>
              <w:right w:val="single" w:color="B7BEC9" w:sz="2"/>
            </w:tcBorders>
            <w:tcMar>
              <w:top w:type="dxa" w:w="60"/>
              <w:left w:type="dxa" w:w="100"/>
              <w:bottom w:type="dxa" w:w="60"/>
              <w:right w:type="dxa" w:w="100"/>
            </w:tcMar>
            <w:vAlign w:val="center"/>
          </w:tcPr>
          <w:p>
            <w:r>
              <w:rPr>
                <w:b w:val="false"/>
                <w:bCs w:val="false"/>
                <w:sz w:val="19"/>
                <w:szCs w:val="19"/>
              </w:rPr>
              <w:t xml:space="preserve">1.0</w:t>
            </w:r>
          </w:p>
        </w:tc>
        <w:tc>
          <w:tcPr>
            <w:tcW w:type="dxa" w:w="1800"/>
            <w:tcBorders>
              <w:top w:val="single" w:color="B7BEC9" w:sz="2"/>
              <w:left w:val="single" w:color="B7BEC9" w:sz="2"/>
              <w:bottom w:val="single" w:color="B7BEC9" w:sz="2"/>
              <w:right w:val="single" w:color="B7BEC9" w:sz="2"/>
            </w:tcBorders>
            <w:tcMar>
              <w:top w:type="dxa" w:w="60"/>
              <w:left w:type="dxa" w:w="100"/>
              <w:bottom w:type="dxa" w:w="60"/>
              <w:right w:type="dxa" w:w="100"/>
            </w:tcMar>
            <w:vAlign w:val="center"/>
          </w:tcPr>
          <w:p>
            <w:r>
              <w:rPr>
                <w:b w:val="false"/>
                <w:bCs w:val="false"/>
                <w:sz w:val="19"/>
                <w:szCs w:val="19"/>
              </w:rPr>
              <w:t xml:space="preserve">Sep 2026</w:t>
            </w:r>
          </w:p>
        </w:tc>
        <w:tc>
          <w:tcPr>
            <w:tcW w:type="dxa" w:w="3200"/>
            <w:tcBorders>
              <w:top w:val="single" w:color="B7BEC9" w:sz="2"/>
              <w:left w:val="single" w:color="B7BEC9" w:sz="2"/>
              <w:bottom w:val="single" w:color="B7BEC9" w:sz="2"/>
              <w:right w:val="single" w:color="B7BEC9" w:sz="2"/>
            </w:tcBorders>
            <w:tcMar>
              <w:top w:type="dxa" w:w="60"/>
              <w:left w:type="dxa" w:w="100"/>
              <w:bottom w:type="dxa" w:w="60"/>
              <w:right w:type="dxa" w:w="100"/>
            </w:tcMar>
            <w:vAlign w:val="center"/>
          </w:tcPr>
          <w:p>
            <w:r>
              <w:rPr>
                <w:b w:val="false"/>
                <w:bCs w:val="false"/>
                <w:sz w:val="19"/>
                <w:szCs w:val="19"/>
              </w:rPr>
              <w:t xml:space="preserve">Data &amp; AI Platform Team</w:t>
            </w:r>
          </w:p>
        </w:tc>
        <w:tc>
          <w:tcPr>
            <w:tcW w:type="dxa" w:w="4200"/>
            <w:tcBorders>
              <w:top w:val="single" w:color="B7BEC9" w:sz="2"/>
              <w:left w:val="single" w:color="B7BEC9" w:sz="2"/>
              <w:bottom w:val="single" w:color="B7BEC9" w:sz="2"/>
              <w:right w:val="single" w:color="B7BEC9" w:sz="2"/>
            </w:tcBorders>
            <w:tcMar>
              <w:top w:type="dxa" w:w="60"/>
              <w:left w:type="dxa" w:w="100"/>
              <w:bottom w:type="dxa" w:w="60"/>
              <w:right w:type="dxa" w:w="100"/>
            </w:tcMar>
            <w:vAlign w:val="center"/>
          </w:tcPr>
          <w:p>
            <w:r>
              <w:rPr>
                <w:b w:val="false"/>
                <w:bCs w:val="false"/>
                <w:sz w:val="19"/>
                <w:szCs w:val="19"/>
              </w:rPr>
              <w:t xml:space="preserve">Reviewed draft circulated for stakeholder sign-off</w:t>
            </w:r>
          </w:p>
        </w:tc>
      </w:tr>
    </w:tbl>
    <w:p>
      <w:pPr>
        <w:spacing w:before="240"/>
      </w:pPr>
    </w:p>
    <w:p>
      <w:pPr>
        <w:pStyle w:val="Heading2"/>
        <w:spacing w:after="120" w:before="260"/>
      </w:pPr>
      <w:r>
        <w:rPr>
          <w:b/>
          <w:bCs/>
          <w:color w:val="2E5C8A"/>
          <w:sz w:val="24"/>
          <w:szCs w:val="24"/>
        </w:rPr>
        <w:t xml:space="preserve">Distribution List</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5400"/>
        <w:gridCol w:w="5400"/>
      </w:tblGrid>
      <w:tr>
        <w:trPr>
          <w:tblHeader/>
        </w:trPr>
        <w:tc>
          <w:tcPr>
            <w:tcW w:type="dxa" w:w="5400"/>
            <w:tcBorders>
              <w:top w:val="single" w:color="B7BEC9" w:sz="2"/>
              <w:left w:val="single" w:color="B7BEC9" w:sz="2"/>
              <w:bottom w:val="single" w:color="B7BEC9" w:sz="2"/>
              <w:right w:val="single" w:color="B7BEC9" w:sz="2"/>
            </w:tcBorders>
            <w:shd w:fill="1F3864" w:val="clear"/>
            <w:tcMar>
              <w:top w:type="dxa" w:w="80"/>
              <w:left w:type="dxa" w:w="100"/>
              <w:bottom w:type="dxa" w:w="80"/>
              <w:right w:type="dxa" w:w="100"/>
            </w:tcMar>
            <w:vAlign w:val="center"/>
          </w:tcPr>
          <w:p>
            <w:r>
              <w:rPr>
                <w:b/>
                <w:bCs/>
                <w:color w:val="FFFFFF"/>
                <w:sz w:val="19"/>
                <w:szCs w:val="19"/>
              </w:rPr>
              <w:t xml:space="preserve">Name / Role</w:t>
            </w:r>
          </w:p>
        </w:tc>
        <w:tc>
          <w:tcPr>
            <w:tcW w:type="dxa" w:w="5400"/>
            <w:tcBorders>
              <w:top w:val="single" w:color="B7BEC9" w:sz="2"/>
              <w:left w:val="single" w:color="B7BEC9" w:sz="2"/>
              <w:bottom w:val="single" w:color="B7BEC9" w:sz="2"/>
              <w:right w:val="single" w:color="B7BEC9" w:sz="2"/>
            </w:tcBorders>
            <w:shd w:fill="1F3864" w:val="clear"/>
            <w:tcMar>
              <w:top w:type="dxa" w:w="80"/>
              <w:left w:type="dxa" w:w="100"/>
              <w:bottom w:type="dxa" w:w="80"/>
              <w:right w:type="dxa" w:w="100"/>
            </w:tcMar>
            <w:vAlign w:val="center"/>
          </w:tcPr>
          <w:p>
            <w:r>
              <w:rPr>
                <w:b/>
                <w:bCs/>
                <w:color w:val="FFFFFF"/>
                <w:sz w:val="19"/>
                <w:szCs w:val="19"/>
              </w:rPr>
              <w:t xml:space="preserve">Function</w:t>
            </w:r>
          </w:p>
        </w:tc>
      </w:tr>
      <w:tr>
        <w:tc>
          <w:tcPr>
            <w:tcW w:type="dxa" w:w="5400"/>
            <w:tcBorders>
              <w:top w:val="single" w:color="B7BEC9" w:sz="2"/>
              <w:left w:val="single" w:color="B7BEC9" w:sz="2"/>
              <w:bottom w:val="single" w:color="B7BEC9" w:sz="2"/>
              <w:right w:val="single" w:color="B7BEC9" w:sz="2"/>
            </w:tcBorders>
            <w:tcMar>
              <w:top w:type="dxa" w:w="60"/>
              <w:left w:type="dxa" w:w="100"/>
              <w:bottom w:type="dxa" w:w="60"/>
              <w:right w:type="dxa" w:w="100"/>
            </w:tcMar>
            <w:vAlign w:val="center"/>
          </w:tcPr>
          <w:p>
            <w:r>
              <w:rPr>
                <w:b w:val="false"/>
                <w:bCs w:val="false"/>
                <w:sz w:val="19"/>
                <w:szCs w:val="19"/>
              </w:rPr>
              <w:t xml:space="preserve">VP, Retail Operations</w:t>
            </w:r>
          </w:p>
        </w:tc>
        <w:tc>
          <w:tcPr>
            <w:tcW w:type="dxa" w:w="5400"/>
            <w:tcBorders>
              <w:top w:val="single" w:color="B7BEC9" w:sz="2"/>
              <w:left w:val="single" w:color="B7BEC9" w:sz="2"/>
              <w:bottom w:val="single" w:color="B7BEC9" w:sz="2"/>
              <w:right w:val="single" w:color="B7BEC9" w:sz="2"/>
            </w:tcBorders>
            <w:tcMar>
              <w:top w:type="dxa" w:w="60"/>
              <w:left w:type="dxa" w:w="100"/>
              <w:bottom w:type="dxa" w:w="60"/>
              <w:right w:type="dxa" w:w="100"/>
            </w:tcMar>
            <w:vAlign w:val="center"/>
          </w:tcPr>
          <w:p>
            <w:r>
              <w:rPr>
                <w:b w:val="false"/>
                <w:bCs w:val="false"/>
                <w:sz w:val="19"/>
                <w:szCs w:val="19"/>
              </w:rPr>
              <w:t xml:space="preserve">Business Sponsor</w:t>
            </w:r>
          </w:p>
        </w:tc>
      </w:tr>
      <w:tr>
        <w:tc>
          <w:tcPr>
            <w:tcW w:type="dxa" w:w="5400"/>
            <w:tcBorders>
              <w:top w:val="single" w:color="B7BEC9" w:sz="2"/>
              <w:left w:val="single" w:color="B7BEC9" w:sz="2"/>
              <w:bottom w:val="single" w:color="B7BEC9" w:sz="2"/>
              <w:right w:val="single" w:color="B7BEC9" w:sz="2"/>
            </w:tcBorders>
            <w:shd w:fill="EAF1FB" w:val="clear"/>
            <w:tcMar>
              <w:top w:type="dxa" w:w="60"/>
              <w:left w:type="dxa" w:w="100"/>
              <w:bottom w:type="dxa" w:w="60"/>
              <w:right w:type="dxa" w:w="100"/>
            </w:tcMar>
            <w:vAlign w:val="center"/>
          </w:tcPr>
          <w:p>
            <w:r>
              <w:rPr>
                <w:b w:val="false"/>
                <w:bCs w:val="false"/>
                <w:sz w:val="19"/>
                <w:szCs w:val="19"/>
              </w:rPr>
              <w:t xml:space="preserve">Head of Merchandising</w:t>
            </w:r>
          </w:p>
        </w:tc>
        <w:tc>
          <w:tcPr>
            <w:tcW w:type="dxa" w:w="5400"/>
            <w:tcBorders>
              <w:top w:val="single" w:color="B7BEC9" w:sz="2"/>
              <w:left w:val="single" w:color="B7BEC9" w:sz="2"/>
              <w:bottom w:val="single" w:color="B7BEC9" w:sz="2"/>
              <w:right w:val="single" w:color="B7BEC9" w:sz="2"/>
            </w:tcBorders>
            <w:shd w:fill="EAF1FB" w:val="clear"/>
            <w:tcMar>
              <w:top w:type="dxa" w:w="60"/>
              <w:left w:type="dxa" w:w="100"/>
              <w:bottom w:type="dxa" w:w="60"/>
              <w:right w:type="dxa" w:w="100"/>
            </w:tcMar>
            <w:vAlign w:val="center"/>
          </w:tcPr>
          <w:p>
            <w:r>
              <w:rPr>
                <w:b w:val="false"/>
                <w:bCs w:val="false"/>
                <w:sz w:val="19"/>
                <w:szCs w:val="19"/>
              </w:rPr>
              <w:t xml:space="preserve">Business Owner</w:t>
            </w:r>
          </w:p>
        </w:tc>
      </w:tr>
      <w:tr>
        <w:tc>
          <w:tcPr>
            <w:tcW w:type="dxa" w:w="5400"/>
            <w:tcBorders>
              <w:top w:val="single" w:color="B7BEC9" w:sz="2"/>
              <w:left w:val="single" w:color="B7BEC9" w:sz="2"/>
              <w:bottom w:val="single" w:color="B7BEC9" w:sz="2"/>
              <w:right w:val="single" w:color="B7BEC9" w:sz="2"/>
            </w:tcBorders>
            <w:tcMar>
              <w:top w:type="dxa" w:w="60"/>
              <w:left w:type="dxa" w:w="100"/>
              <w:bottom w:type="dxa" w:w="60"/>
              <w:right w:type="dxa" w:w="100"/>
            </w:tcMar>
            <w:vAlign w:val="center"/>
          </w:tcPr>
          <w:p>
            <w:r>
              <w:rPr>
                <w:b w:val="false"/>
                <w:bCs w:val="false"/>
                <w:sz w:val="19"/>
                <w:szCs w:val="19"/>
              </w:rPr>
              <w:t xml:space="preserve">Director, Data &amp; AI Platform</w:t>
            </w:r>
          </w:p>
        </w:tc>
        <w:tc>
          <w:tcPr>
            <w:tcW w:type="dxa" w:w="5400"/>
            <w:tcBorders>
              <w:top w:val="single" w:color="B7BEC9" w:sz="2"/>
              <w:left w:val="single" w:color="B7BEC9" w:sz="2"/>
              <w:bottom w:val="single" w:color="B7BEC9" w:sz="2"/>
              <w:right w:val="single" w:color="B7BEC9" w:sz="2"/>
            </w:tcBorders>
            <w:tcMar>
              <w:top w:type="dxa" w:w="60"/>
              <w:left w:type="dxa" w:w="100"/>
              <w:bottom w:type="dxa" w:w="60"/>
              <w:right w:type="dxa" w:w="100"/>
            </w:tcMar>
            <w:vAlign w:val="center"/>
          </w:tcPr>
          <w:p>
            <w:r>
              <w:rPr>
                <w:b w:val="false"/>
                <w:bCs w:val="false"/>
                <w:sz w:val="19"/>
                <w:szCs w:val="19"/>
              </w:rPr>
              <w:t xml:space="preserve">Technical Owner</w:t>
            </w:r>
          </w:p>
        </w:tc>
      </w:tr>
      <w:tr>
        <w:tc>
          <w:tcPr>
            <w:tcW w:type="dxa" w:w="5400"/>
            <w:tcBorders>
              <w:top w:val="single" w:color="B7BEC9" w:sz="2"/>
              <w:left w:val="single" w:color="B7BEC9" w:sz="2"/>
              <w:bottom w:val="single" w:color="B7BEC9" w:sz="2"/>
              <w:right w:val="single" w:color="B7BEC9" w:sz="2"/>
            </w:tcBorders>
            <w:shd w:fill="EAF1FB" w:val="clear"/>
            <w:tcMar>
              <w:top w:type="dxa" w:w="60"/>
              <w:left w:type="dxa" w:w="100"/>
              <w:bottom w:type="dxa" w:w="60"/>
              <w:right w:type="dxa" w:w="100"/>
            </w:tcMar>
            <w:vAlign w:val="center"/>
          </w:tcPr>
          <w:p>
            <w:r>
              <w:rPr>
                <w:b w:val="false"/>
                <w:bCs w:val="false"/>
                <w:sz w:val="19"/>
                <w:szCs w:val="19"/>
              </w:rPr>
              <w:t xml:space="preserve">Demand Planning Lead</w:t>
            </w:r>
          </w:p>
        </w:tc>
        <w:tc>
          <w:tcPr>
            <w:tcW w:type="dxa" w:w="5400"/>
            <w:tcBorders>
              <w:top w:val="single" w:color="B7BEC9" w:sz="2"/>
              <w:left w:val="single" w:color="B7BEC9" w:sz="2"/>
              <w:bottom w:val="single" w:color="B7BEC9" w:sz="2"/>
              <w:right w:val="single" w:color="B7BEC9" w:sz="2"/>
            </w:tcBorders>
            <w:shd w:fill="EAF1FB" w:val="clear"/>
            <w:tcMar>
              <w:top w:type="dxa" w:w="60"/>
              <w:left w:type="dxa" w:w="100"/>
              <w:bottom w:type="dxa" w:w="60"/>
              <w:right w:type="dxa" w:w="100"/>
            </w:tcMar>
            <w:vAlign w:val="center"/>
          </w:tcPr>
          <w:p>
            <w:r>
              <w:rPr>
                <w:b w:val="false"/>
                <w:bCs w:val="false"/>
                <w:sz w:val="19"/>
                <w:szCs w:val="19"/>
              </w:rPr>
              <w:t xml:space="preserve">Primary End User</w:t>
            </w:r>
          </w:p>
        </w:tc>
      </w:tr>
      <w:tr>
        <w:tc>
          <w:tcPr>
            <w:tcW w:type="dxa" w:w="5400"/>
            <w:tcBorders>
              <w:top w:val="single" w:color="B7BEC9" w:sz="2"/>
              <w:left w:val="single" w:color="B7BEC9" w:sz="2"/>
              <w:bottom w:val="single" w:color="B7BEC9" w:sz="2"/>
              <w:right w:val="single" w:color="B7BEC9" w:sz="2"/>
            </w:tcBorders>
            <w:tcMar>
              <w:top w:type="dxa" w:w="60"/>
              <w:left w:type="dxa" w:w="100"/>
              <w:bottom w:type="dxa" w:w="60"/>
              <w:right w:type="dxa" w:w="100"/>
            </w:tcMar>
            <w:vAlign w:val="center"/>
          </w:tcPr>
          <w:p>
            <w:r>
              <w:rPr>
                <w:b w:val="false"/>
                <w:bCs w:val="false"/>
                <w:sz w:val="19"/>
                <w:szCs w:val="19"/>
              </w:rPr>
              <w:t xml:space="preserve">Store Operations Manager</w:t>
            </w:r>
          </w:p>
        </w:tc>
        <w:tc>
          <w:tcPr>
            <w:tcW w:type="dxa" w:w="5400"/>
            <w:tcBorders>
              <w:top w:val="single" w:color="B7BEC9" w:sz="2"/>
              <w:left w:val="single" w:color="B7BEC9" w:sz="2"/>
              <w:bottom w:val="single" w:color="B7BEC9" w:sz="2"/>
              <w:right w:val="single" w:color="B7BEC9" w:sz="2"/>
            </w:tcBorders>
            <w:tcMar>
              <w:top w:type="dxa" w:w="60"/>
              <w:left w:type="dxa" w:w="100"/>
              <w:bottom w:type="dxa" w:w="60"/>
              <w:right w:type="dxa" w:w="100"/>
            </w:tcMar>
            <w:vAlign w:val="center"/>
          </w:tcPr>
          <w:p>
            <w:r>
              <w:rPr>
                <w:b w:val="false"/>
                <w:bCs w:val="false"/>
                <w:sz w:val="19"/>
                <w:szCs w:val="19"/>
              </w:rPr>
              <w:t xml:space="preserve">End User</w:t>
            </w:r>
          </w:p>
        </w:tc>
      </w:tr>
    </w:tbl>
    <w:p>
      <w:r>
        <w:br w:type="page"/>
      </w:r>
    </w:p>
    <w:p>
      <w:pPr>
        <w:pStyle w:val="Heading1"/>
        <w:spacing w:after="160" w:before="360"/>
      </w:pPr>
      <w:r>
        <w:rPr>
          <w:b/>
          <w:bCs/>
          <w:color w:val="1F3864"/>
          <w:sz w:val="28"/>
          <w:szCs w:val="28"/>
        </w:rPr>
        <w:t xml:space="preserve">Table of Contents</w:t>
      </w:r>
    </w:p>
    <w:p>
      <w:pPr>
        <w:spacing w:after="200"/>
      </w:pPr>
      <w:r>
        <w:rPr>
          <w:i/>
          <w:iCs/>
          <w:color w:val="5B6270"/>
          <w:sz w:val="18"/>
          <w:szCs w:val="18"/>
        </w:rPr>
        <w:t xml:space="preserve">(Right-click below and select "Update Field", or press Ctrl+A then F9, to populate this 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160" w:before="360"/>
      </w:pPr>
      <w:r>
        <w:rPr>
          <w:b/>
          <w:bCs/>
          <w:color w:val="1F3864"/>
          <w:sz w:val="28"/>
          <w:szCs w:val="28"/>
        </w:rPr>
        <w:t xml:space="preserve">1. Executive Summary</w:t>
      </w:r>
    </w:p>
    <w:p>
      <w:pPr>
        <w:spacing w:after="160" w:line="276"/>
      </w:pPr>
      <w:r>
        <w:rPr>
          <w:sz w:val="21"/>
          <w:szCs w:val="21"/>
        </w:rPr>
        <w:t xml:space="preserve">Retail demand is volatile and increasingly difficult to plan for using spreadsheet-based, manual forecasting methods. Store and category teams currently rely on last year's sales and individual judgement to plan inventory, promotions, and staffing — an approach that does not scale, is slow to react to changing conditions, and produces inconsistent results across categories and locations.</w:t>
      </w:r>
    </w:p>
    <w:p>
      <w:pPr>
        <w:spacing w:after="160" w:line="276"/>
      </w:pPr>
      <w:r>
        <w:rPr>
          <w:sz w:val="21"/>
          <w:szCs w:val="21"/>
        </w:rPr>
        <w:t xml:space="preserve">This document defines the business requirements for Sales AI, an AI-powered sales forecasting and decision-support platform. The platform combines a machine learning forecasting engine with a Generative AI layer that explains forecasts, surfaces business drivers, and answers natural language questions — giving planners and category managers both an accurate number and the business context needed to act on it.</w:t>
      </w:r>
    </w:p>
    <w:p>
      <w:pPr>
        <w:spacing w:after="160" w:line="276"/>
      </w:pPr>
      <w:r>
        <w:rPr>
          <w:sz w:val="21"/>
          <w:szCs w:val="21"/>
        </w:rPr>
        <w:t xml:space="preserve">The platform is delivered through two primary user-facing experiences: a Forecast Dashboard for reviewing historical trends and 30-day demand forecasts by product category and store, and an Analytics Assistant (chat) for asking open-ended business questions across the full product and store portfolio. Both are backed by a governed data pipeline and a versioned, monitored machine learning model, so every number shown to a business user is traceable back to real, validated data.</w:t>
      </w:r>
    </w:p>
    <w:p>
      <w:pPr>
        <w:pStyle w:val="Heading1"/>
        <w:spacing w:after="160" w:before="360"/>
      </w:pPr>
      <w:r>
        <w:rPr>
          <w:b/>
          <w:bCs/>
          <w:color w:val="1F3864"/>
          <w:sz w:val="28"/>
          <w:szCs w:val="28"/>
        </w:rPr>
        <w:t xml:space="preserve">2. Business Background &amp; Problem Statement</w:t>
      </w:r>
    </w:p>
    <w:p>
      <w:pPr>
        <w:pStyle w:val="Heading2"/>
        <w:spacing w:after="120" w:before="260"/>
      </w:pPr>
      <w:r>
        <w:rPr>
          <w:b/>
          <w:bCs/>
          <w:color w:val="2E5C8A"/>
          <w:sz w:val="24"/>
          <w:szCs w:val="24"/>
        </w:rPr>
        <w:t xml:space="preserve">2.1 Current State</w:t>
      </w:r>
    </w:p>
    <w:p>
      <w:pPr>
        <w:spacing w:after="160" w:line="276"/>
      </w:pPr>
      <w:r>
        <w:rPr>
          <w:sz w:val="21"/>
          <w:szCs w:val="21"/>
        </w:rPr>
        <w:t xml:space="preserve">Demand planning today is largely manual. Category managers and store planners build forecasts using prior-year sales, personal experience, and ad hoc spreadsheet models. Promotional impact, seasonality, and external factors (weather, holidays, macroeconomic conditions) are accounted for inconsistently, if at all. This leads to three recurring business problems:</w:t>
      </w:r>
    </w:p>
    <w:p>
      <w:pPr>
        <w:pStyle w:val="ListParagraph"/>
        <w:numPr>
          <w:ilvl w:val="0"/>
          <w:numId w:val="2"/>
        </w:numPr>
        <w:spacing w:after="80"/>
      </w:pPr>
      <w:r>
        <w:rPr>
          <w:sz w:val="21"/>
          <w:szCs w:val="21"/>
        </w:rPr>
        <w:t xml:space="preserve">Overstocking of slow-moving inventory, tying up working capital and increasing markdown risk.</w:t>
      </w:r>
    </w:p>
    <w:p>
      <w:pPr>
        <w:pStyle w:val="ListParagraph"/>
        <w:numPr>
          <w:ilvl w:val="0"/>
          <w:numId w:val="2"/>
        </w:numPr>
        <w:spacing w:after="80"/>
      </w:pPr>
      <w:r>
        <w:rPr>
          <w:sz w:val="21"/>
          <w:szCs w:val="21"/>
        </w:rPr>
        <w:t xml:space="preserve">Stockouts on fast-moving or promotional items, resulting in lost sales and poor customer experience.</w:t>
      </w:r>
    </w:p>
    <w:p>
      <w:pPr>
        <w:pStyle w:val="ListParagraph"/>
        <w:numPr>
          <w:ilvl w:val="0"/>
          <w:numId w:val="2"/>
        </w:numPr>
        <w:spacing w:after="80"/>
      </w:pPr>
      <w:r>
        <w:rPr>
          <w:sz w:val="21"/>
          <w:szCs w:val="21"/>
        </w:rPr>
        <w:t xml:space="preserve">Inconsistent forecasting quality across categories and stores, since it depends on individual planner judgement rather than a shared, data-driven method.</w:t>
      </w:r>
    </w:p>
    <w:p>
      <w:pPr>
        <w:pStyle w:val="Heading2"/>
        <w:spacing w:after="120" w:before="260"/>
      </w:pPr>
      <w:r>
        <w:rPr>
          <w:b/>
          <w:bCs/>
          <w:color w:val="2E5C8A"/>
          <w:sz w:val="24"/>
          <w:szCs w:val="24"/>
        </w:rPr>
        <w:t xml:space="preserve">2.2 Business Opportunity</w:t>
      </w:r>
    </w:p>
    <w:p>
      <w:pPr>
        <w:spacing w:after="160" w:line="276"/>
      </w:pPr>
      <w:r>
        <w:rPr>
          <w:sz w:val="21"/>
          <w:szCs w:val="21"/>
        </w:rPr>
        <w:t xml:space="preserve">Historical sales, product, store, and external/calendar data already exist across source systems but are not integrated into a single, trusted forecasting capability. Consolidating this data and applying a machine learning forecasting model — paired with a Generative AI layer that can explain results in plain business language — gives planning teams a faster, more consistent, and more explainable way to anticipate demand and act on it.</w:t>
      </w:r>
    </w:p>
    <w:p>
      <w:pPr>
        <w:pStyle w:val="Heading1"/>
        <w:spacing w:after="160" w:before="360"/>
      </w:pPr>
      <w:r>
        <w:rPr>
          <w:b/>
          <w:bCs/>
          <w:color w:val="1F3864"/>
          <w:sz w:val="28"/>
          <w:szCs w:val="28"/>
        </w:rPr>
        <w:t xml:space="preserve">3. Business Objectives</w:t>
      </w:r>
    </w:p>
    <w:p>
      <w:pPr>
        <w:spacing w:after="160" w:line="276"/>
      </w:pPr>
      <w:r>
        <w:rPr>
          <w:sz w:val="21"/>
          <w:szCs w:val="21"/>
        </w:rPr>
        <w:t xml:space="preserve">The Sales AI platform is expected to deliver the following business outcomes:</w:t>
      </w:r>
    </w:p>
    <w:p>
      <w:pPr>
        <w:pStyle w:val="ListParagraph"/>
        <w:numPr>
          <w:ilvl w:val="0"/>
          <w:numId w:val="2"/>
        </w:numPr>
        <w:spacing w:after="80"/>
      </w:pPr>
      <w:r>
        <w:rPr>
          <w:sz w:val="21"/>
          <w:szCs w:val="21"/>
        </w:rPr>
        <w:t xml:space="preserve">Improve forecast accuracy for product demand at the category and store level, measured against a naive (last-period) baseline.</w:t>
      </w:r>
    </w:p>
    <w:p>
      <w:pPr>
        <w:pStyle w:val="ListParagraph"/>
        <w:numPr>
          <w:ilvl w:val="0"/>
          <w:numId w:val="2"/>
        </w:numPr>
        <w:spacing w:after="80"/>
      </w:pPr>
      <w:r>
        <w:rPr>
          <w:sz w:val="21"/>
          <w:szCs w:val="21"/>
        </w:rPr>
        <w:t xml:space="preserve">Reduce time spent on manual forecast preparation by giving planners a ready-made, explainable 30-day forecast as a starting point.</w:t>
      </w:r>
    </w:p>
    <w:p>
      <w:pPr>
        <w:pStyle w:val="ListParagraph"/>
        <w:numPr>
          <w:ilvl w:val="0"/>
          <w:numId w:val="2"/>
        </w:numPr>
        <w:spacing w:after="80"/>
      </w:pPr>
      <w:r>
        <w:rPr>
          <w:sz w:val="21"/>
          <w:szCs w:val="21"/>
        </w:rPr>
        <w:t xml:space="preserve">Improve inventory efficiency by reducing both stockouts and excess inventory driven by forecasting error.</w:t>
      </w:r>
    </w:p>
    <w:p>
      <w:pPr>
        <w:pStyle w:val="ListParagraph"/>
        <w:numPr>
          <w:ilvl w:val="0"/>
          <w:numId w:val="2"/>
        </w:numPr>
        <w:spacing w:after="80"/>
      </w:pPr>
      <w:r>
        <w:rPr>
          <w:sz w:val="21"/>
          <w:szCs w:val="21"/>
        </w:rPr>
        <w:t xml:space="preserve">Increase forecast adoption and trust by pairing every forecast with a plain-language explanation of the key business drivers behind it.</w:t>
      </w:r>
    </w:p>
    <w:p>
      <w:pPr>
        <w:pStyle w:val="ListParagraph"/>
        <w:numPr>
          <w:ilvl w:val="0"/>
          <w:numId w:val="2"/>
        </w:numPr>
        <w:spacing w:after="80"/>
      </w:pPr>
      <w:r>
        <w:rPr>
          <w:sz w:val="21"/>
          <w:szCs w:val="21"/>
        </w:rPr>
        <w:t xml:space="preserve">Enable self-service business questions (e.g. "which category is growing fastest", "which stores are underperforming") without requiring a data analyst.</w:t>
      </w:r>
    </w:p>
    <w:p>
      <w:pPr>
        <w:pStyle w:val="ListParagraph"/>
        <w:numPr>
          <w:ilvl w:val="0"/>
          <w:numId w:val="2"/>
        </w:numPr>
        <w:spacing w:after="80"/>
      </w:pPr>
      <w:r>
        <w:rPr>
          <w:sz w:val="21"/>
          <w:szCs w:val="21"/>
        </w:rPr>
        <w:t xml:space="preserve">Establish a repeatable, governed pipeline so the forecasting model can be refreshed as new sales data becomes available, rather than being a one-time analysis.</w:t>
      </w:r>
    </w:p>
    <w:p>
      <w:pPr>
        <w:pStyle w:val="Heading1"/>
        <w:spacing w:after="160" w:before="360"/>
      </w:pPr>
      <w:r>
        <w:rPr>
          <w:b/>
          <w:bCs/>
          <w:color w:val="1F3864"/>
          <w:sz w:val="28"/>
          <w:szCs w:val="28"/>
        </w:rPr>
        <w:t xml:space="preserve">4. Project Scope</w:t>
      </w:r>
    </w:p>
    <w:p>
      <w:pPr>
        <w:pStyle w:val="Heading2"/>
        <w:spacing w:after="120" w:before="260"/>
      </w:pPr>
      <w:r>
        <w:rPr>
          <w:b/>
          <w:bCs/>
          <w:color w:val="2E5C8A"/>
          <w:sz w:val="24"/>
          <w:szCs w:val="24"/>
        </w:rPr>
        <w:t xml:space="preserve">4.1 In Scope</w:t>
      </w:r>
    </w:p>
    <w:p>
      <w:pPr>
        <w:pStyle w:val="ListParagraph"/>
        <w:numPr>
          <w:ilvl w:val="0"/>
          <w:numId w:val="2"/>
        </w:numPr>
        <w:spacing w:after="80"/>
      </w:pPr>
      <w:r>
        <w:rPr>
          <w:sz w:val="21"/>
          <w:szCs w:val="21"/>
        </w:rPr>
        <w:t xml:space="preserve">Ingestion and integration of historical sales, product, store, and calendar/marketing/external data into a governed analytical data platform.</w:t>
      </w:r>
    </w:p>
    <w:p>
      <w:pPr>
        <w:pStyle w:val="ListParagraph"/>
        <w:numPr>
          <w:ilvl w:val="0"/>
          <w:numId w:val="2"/>
        </w:numPr>
        <w:spacing w:after="80"/>
      </w:pPr>
      <w:r>
        <w:rPr>
          <w:sz w:val="21"/>
          <w:szCs w:val="21"/>
        </w:rPr>
        <w:t xml:space="preserve">Data cleaning, validation, and feature engineering to prepare the data for machine learning.</w:t>
      </w:r>
    </w:p>
    <w:p>
      <w:pPr>
        <w:pStyle w:val="ListParagraph"/>
        <w:numPr>
          <w:ilvl w:val="0"/>
          <w:numId w:val="2"/>
        </w:numPr>
        <w:spacing w:after="80"/>
      </w:pPr>
      <w:r>
        <w:rPr>
          <w:sz w:val="21"/>
          <w:szCs w:val="21"/>
        </w:rPr>
        <w:t xml:space="preserve">A machine learning forecasting model producing a 30-day-ahead demand forecast at the product / store / day grain.</w:t>
      </w:r>
    </w:p>
    <w:p>
      <w:pPr>
        <w:pStyle w:val="ListParagraph"/>
        <w:numPr>
          <w:ilvl w:val="0"/>
          <w:numId w:val="2"/>
        </w:numPr>
        <w:spacing w:after="80"/>
      </w:pPr>
      <w:r>
        <w:rPr>
          <w:sz w:val="21"/>
          <w:szCs w:val="21"/>
        </w:rPr>
        <w:t xml:space="preserve">A model registry and promotion process so only validated model versions are used in production.</w:t>
      </w:r>
    </w:p>
    <w:p>
      <w:pPr>
        <w:pStyle w:val="ListParagraph"/>
        <w:numPr>
          <w:ilvl w:val="0"/>
          <w:numId w:val="2"/>
        </w:numPr>
        <w:spacing w:after="80"/>
      </w:pPr>
      <w:r>
        <w:rPr>
          <w:sz w:val="21"/>
          <w:szCs w:val="21"/>
        </w:rPr>
        <w:t xml:space="preserve">A Generative AI layer that explains forecasts, identifies business drivers, and answers natural-language business questions grounded in real data.</w:t>
      </w:r>
    </w:p>
    <w:p>
      <w:pPr>
        <w:pStyle w:val="ListParagraph"/>
        <w:numPr>
          <w:ilvl w:val="0"/>
          <w:numId w:val="2"/>
        </w:numPr>
        <w:spacing w:after="80"/>
      </w:pPr>
      <w:r>
        <w:rPr>
          <w:sz w:val="21"/>
          <w:szCs w:val="21"/>
        </w:rPr>
        <w:t xml:space="preserve">A Forecast Dashboard screen for selecting a product/category and store and viewing historical vs. forecasted demand.</w:t>
      </w:r>
    </w:p>
    <w:p>
      <w:pPr>
        <w:pStyle w:val="ListParagraph"/>
        <w:numPr>
          <w:ilvl w:val="0"/>
          <w:numId w:val="2"/>
        </w:numPr>
        <w:spacing w:after="80"/>
      </w:pPr>
      <w:r>
        <w:rPr>
          <w:sz w:val="21"/>
          <w:szCs w:val="21"/>
        </w:rPr>
        <w:t xml:space="preserve">An Analytics Assistant (chat) screen for open-ended business questions, including a small set of one-click predefined questions and free-text input.</w:t>
      </w:r>
    </w:p>
    <w:p>
      <w:pPr>
        <w:pStyle w:val="ListParagraph"/>
        <w:numPr>
          <w:ilvl w:val="0"/>
          <w:numId w:val="2"/>
        </w:numPr>
        <w:spacing w:after="80"/>
      </w:pPr>
      <w:r>
        <w:rPr>
          <w:sz w:val="21"/>
          <w:szCs w:val="21"/>
        </w:rPr>
        <w:t xml:space="preserve">The ability to upload new monthly sales data through the application and trigger a pipeline refresh (re-ingestion, re-training, and re-forecasting) on demand.</w:t>
      </w:r>
    </w:p>
    <w:p>
      <w:pPr>
        <w:pStyle w:val="Heading2"/>
        <w:spacing w:after="120" w:before="260"/>
      </w:pPr>
      <w:r>
        <w:rPr>
          <w:b/>
          <w:bCs/>
          <w:color w:val="2E5C8A"/>
          <w:sz w:val="24"/>
          <w:szCs w:val="24"/>
        </w:rPr>
        <w:t xml:space="preserve">4.2 Out of Scope (this phase)</w:t>
      </w:r>
    </w:p>
    <w:p>
      <w:pPr>
        <w:pStyle w:val="ListParagraph"/>
        <w:numPr>
          <w:ilvl w:val="0"/>
          <w:numId w:val="2"/>
        </w:numPr>
        <w:spacing w:after="80"/>
      </w:pPr>
      <w:r>
        <w:rPr>
          <w:sz w:val="21"/>
          <w:szCs w:val="21"/>
        </w:rPr>
        <w:t xml:space="preserve">Automated, system-driven inventory replenishment or purchase order generation (the platform recommends; it does not execute).</w:t>
      </w:r>
    </w:p>
    <w:p>
      <w:pPr>
        <w:pStyle w:val="ListParagraph"/>
        <w:numPr>
          <w:ilvl w:val="0"/>
          <w:numId w:val="2"/>
        </w:numPr>
        <w:spacing w:after="80"/>
      </w:pPr>
      <w:r>
        <w:rPr>
          <w:sz w:val="21"/>
          <w:szCs w:val="21"/>
        </w:rPr>
        <w:t xml:space="preserve">Real-time (sub-hourly) forecasting; forecasts are refreshed on a batch/triggered basis, not streamed.</w:t>
      </w:r>
    </w:p>
    <w:p>
      <w:pPr>
        <w:pStyle w:val="ListParagraph"/>
        <w:numPr>
          <w:ilvl w:val="0"/>
          <w:numId w:val="2"/>
        </w:numPr>
        <w:spacing w:after="80"/>
      </w:pPr>
      <w:r>
        <w:rPr>
          <w:sz w:val="21"/>
          <w:szCs w:val="21"/>
        </w:rPr>
        <w:t xml:space="preserve">Forecasting for products or stores outside the current pilot product and store master data.</w:t>
      </w:r>
    </w:p>
    <w:p>
      <w:pPr>
        <w:pStyle w:val="ListParagraph"/>
        <w:numPr>
          <w:ilvl w:val="0"/>
          <w:numId w:val="2"/>
        </w:numPr>
        <w:spacing w:after="80"/>
      </w:pPr>
      <w:r>
        <w:rPr>
          <w:sz w:val="21"/>
          <w:szCs w:val="21"/>
        </w:rPr>
        <w:t xml:space="preserve">Integration with external POS or ERP systems beyond the flat-file data feeds defined in Section 6.</w:t>
      </w:r>
    </w:p>
    <w:p>
      <w:pPr>
        <w:pStyle w:val="ListParagraph"/>
        <w:numPr>
          <w:ilvl w:val="0"/>
          <w:numId w:val="2"/>
        </w:numPr>
        <w:spacing w:after="80"/>
      </w:pPr>
      <w:r>
        <w:rPr>
          <w:sz w:val="21"/>
          <w:szCs w:val="21"/>
        </w:rPr>
        <w:t xml:space="preserve">Mobile application; the platform is delivered as a responsive web application only.</w:t>
      </w:r>
    </w:p>
    <w:p>
      <w:pPr>
        <w:pStyle w:val="Heading1"/>
        <w:spacing w:after="160" w:before="360"/>
      </w:pPr>
      <w:r>
        <w:rPr>
          <w:b/>
          <w:bCs/>
          <w:color w:val="1F3864"/>
          <w:sz w:val="28"/>
          <w:szCs w:val="28"/>
        </w:rPr>
        <w:t xml:space="preserve">5. Stakeholders &amp; User Roles</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3200"/>
        <w:gridCol w:w="7600"/>
      </w:tblGrid>
      <w:tr>
        <w:trPr>
          <w:tblHeader/>
        </w:trPr>
        <w:tc>
          <w:tcPr>
            <w:tcW w:type="dxa" w:w="3200"/>
            <w:tcBorders>
              <w:top w:val="single" w:color="B7BEC9" w:sz="2"/>
              <w:left w:val="single" w:color="B7BEC9" w:sz="2"/>
              <w:bottom w:val="single" w:color="B7BEC9" w:sz="2"/>
              <w:right w:val="single" w:color="B7BEC9" w:sz="2"/>
            </w:tcBorders>
            <w:shd w:fill="1F3864" w:val="clear"/>
            <w:tcMar>
              <w:top w:type="dxa" w:w="80"/>
              <w:left w:type="dxa" w:w="100"/>
              <w:bottom w:type="dxa" w:w="80"/>
              <w:right w:type="dxa" w:w="100"/>
            </w:tcMar>
            <w:vAlign w:val="center"/>
          </w:tcPr>
          <w:p>
            <w:r>
              <w:rPr>
                <w:b/>
                <w:bCs/>
                <w:color w:val="FFFFFF"/>
                <w:sz w:val="19"/>
                <w:szCs w:val="19"/>
              </w:rPr>
              <w:t xml:space="preserve">Role</w:t>
            </w:r>
          </w:p>
        </w:tc>
        <w:tc>
          <w:tcPr>
            <w:tcW w:type="dxa" w:w="7600"/>
            <w:tcBorders>
              <w:top w:val="single" w:color="B7BEC9" w:sz="2"/>
              <w:left w:val="single" w:color="B7BEC9" w:sz="2"/>
              <w:bottom w:val="single" w:color="B7BEC9" w:sz="2"/>
              <w:right w:val="single" w:color="B7BEC9" w:sz="2"/>
            </w:tcBorders>
            <w:shd w:fill="1F3864" w:val="clear"/>
            <w:tcMar>
              <w:top w:type="dxa" w:w="80"/>
              <w:left w:type="dxa" w:w="100"/>
              <w:bottom w:type="dxa" w:w="80"/>
              <w:right w:type="dxa" w:w="100"/>
            </w:tcMar>
            <w:vAlign w:val="center"/>
          </w:tcPr>
          <w:p>
            <w:r>
              <w:rPr>
                <w:b/>
                <w:bCs/>
                <w:color w:val="FFFFFF"/>
                <w:sz w:val="19"/>
                <w:szCs w:val="19"/>
              </w:rPr>
              <w:t xml:space="preserve">Interest / Responsibility</w:t>
            </w:r>
          </w:p>
        </w:tc>
      </w:tr>
      <w:tr>
        <w:tc>
          <w:tcPr>
            <w:tcW w:type="dxa" w:w="3200"/>
            <w:tcBorders>
              <w:top w:val="single" w:color="B7BEC9" w:sz="2"/>
              <w:left w:val="single" w:color="B7BEC9" w:sz="2"/>
              <w:bottom w:val="single" w:color="B7BEC9" w:sz="2"/>
              <w:right w:val="single" w:color="B7BEC9" w:sz="2"/>
            </w:tcBorders>
            <w:tcMar>
              <w:top w:type="dxa" w:w="60"/>
              <w:left w:type="dxa" w:w="100"/>
              <w:bottom w:type="dxa" w:w="60"/>
              <w:right w:type="dxa" w:w="100"/>
            </w:tcMar>
            <w:vAlign w:val="center"/>
          </w:tcPr>
          <w:p>
            <w:r>
              <w:rPr>
                <w:b w:val="false"/>
                <w:bCs w:val="false"/>
                <w:sz w:val="19"/>
                <w:szCs w:val="19"/>
              </w:rPr>
              <w:t xml:space="preserve">Business Sponsor (VP, Retail Operations)</w:t>
            </w:r>
          </w:p>
        </w:tc>
        <w:tc>
          <w:tcPr>
            <w:tcW w:type="dxa" w:w="7600"/>
            <w:tcBorders>
              <w:top w:val="single" w:color="B7BEC9" w:sz="2"/>
              <w:left w:val="single" w:color="B7BEC9" w:sz="2"/>
              <w:bottom w:val="single" w:color="B7BEC9" w:sz="2"/>
              <w:right w:val="single" w:color="B7BEC9" w:sz="2"/>
            </w:tcBorders>
            <w:tcMar>
              <w:top w:type="dxa" w:w="60"/>
              <w:left w:type="dxa" w:w="100"/>
              <w:bottom w:type="dxa" w:w="60"/>
              <w:right w:type="dxa" w:w="100"/>
            </w:tcMar>
            <w:vAlign w:val="center"/>
          </w:tcPr>
          <w:p>
            <w:r>
              <w:rPr>
                <w:b w:val="false"/>
                <w:bCs w:val="false"/>
                <w:sz w:val="19"/>
                <w:szCs w:val="19"/>
              </w:rPr>
              <w:t xml:space="preserve">Owns the business case; accountable for realizing forecast-accuracy and inventory-efficiency benefits.</w:t>
            </w:r>
          </w:p>
        </w:tc>
      </w:tr>
      <w:tr>
        <w:tc>
          <w:tcPr>
            <w:tcW w:type="dxa" w:w="3200"/>
            <w:tcBorders>
              <w:top w:val="single" w:color="B7BEC9" w:sz="2"/>
              <w:left w:val="single" w:color="B7BEC9" w:sz="2"/>
              <w:bottom w:val="single" w:color="B7BEC9" w:sz="2"/>
              <w:right w:val="single" w:color="B7BEC9" w:sz="2"/>
            </w:tcBorders>
            <w:shd w:fill="EAF1FB" w:val="clear"/>
            <w:tcMar>
              <w:top w:type="dxa" w:w="60"/>
              <w:left w:type="dxa" w:w="100"/>
              <w:bottom w:type="dxa" w:w="60"/>
              <w:right w:type="dxa" w:w="100"/>
            </w:tcMar>
            <w:vAlign w:val="center"/>
          </w:tcPr>
          <w:p>
            <w:r>
              <w:rPr>
                <w:b w:val="false"/>
                <w:bCs w:val="false"/>
                <w:sz w:val="19"/>
                <w:szCs w:val="19"/>
              </w:rPr>
              <w:t xml:space="preserve">Head of Merchandising</w:t>
            </w:r>
          </w:p>
        </w:tc>
        <w:tc>
          <w:tcPr>
            <w:tcW w:type="dxa" w:w="7600"/>
            <w:tcBorders>
              <w:top w:val="single" w:color="B7BEC9" w:sz="2"/>
              <w:left w:val="single" w:color="B7BEC9" w:sz="2"/>
              <w:bottom w:val="single" w:color="B7BEC9" w:sz="2"/>
              <w:right w:val="single" w:color="B7BEC9" w:sz="2"/>
            </w:tcBorders>
            <w:shd w:fill="EAF1FB" w:val="clear"/>
            <w:tcMar>
              <w:top w:type="dxa" w:w="60"/>
              <w:left w:type="dxa" w:w="100"/>
              <w:bottom w:type="dxa" w:w="60"/>
              <w:right w:type="dxa" w:w="100"/>
            </w:tcMar>
            <w:vAlign w:val="center"/>
          </w:tcPr>
          <w:p>
            <w:r>
              <w:rPr>
                <w:b w:val="false"/>
                <w:bCs w:val="false"/>
                <w:sz w:val="19"/>
                <w:szCs w:val="19"/>
              </w:rPr>
              <w:t xml:space="preserve">Primary business owner; approves functional requirements and priorities.</w:t>
            </w:r>
          </w:p>
        </w:tc>
      </w:tr>
      <w:tr>
        <w:tc>
          <w:tcPr>
            <w:tcW w:type="dxa" w:w="3200"/>
            <w:tcBorders>
              <w:top w:val="single" w:color="B7BEC9" w:sz="2"/>
              <w:left w:val="single" w:color="B7BEC9" w:sz="2"/>
              <w:bottom w:val="single" w:color="B7BEC9" w:sz="2"/>
              <w:right w:val="single" w:color="B7BEC9" w:sz="2"/>
            </w:tcBorders>
            <w:tcMar>
              <w:top w:type="dxa" w:w="60"/>
              <w:left w:type="dxa" w:w="100"/>
              <w:bottom w:type="dxa" w:w="60"/>
              <w:right w:type="dxa" w:w="100"/>
            </w:tcMar>
            <w:vAlign w:val="center"/>
          </w:tcPr>
          <w:p>
            <w:r>
              <w:rPr>
                <w:b w:val="false"/>
                <w:bCs w:val="false"/>
                <w:sz w:val="19"/>
                <w:szCs w:val="19"/>
              </w:rPr>
              <w:t xml:space="preserve">Demand Planner</w:t>
            </w:r>
          </w:p>
        </w:tc>
        <w:tc>
          <w:tcPr>
            <w:tcW w:type="dxa" w:w="7600"/>
            <w:tcBorders>
              <w:top w:val="single" w:color="B7BEC9" w:sz="2"/>
              <w:left w:val="single" w:color="B7BEC9" w:sz="2"/>
              <w:bottom w:val="single" w:color="B7BEC9" w:sz="2"/>
              <w:right w:val="single" w:color="B7BEC9" w:sz="2"/>
            </w:tcBorders>
            <w:tcMar>
              <w:top w:type="dxa" w:w="60"/>
              <w:left w:type="dxa" w:w="100"/>
              <w:bottom w:type="dxa" w:w="60"/>
              <w:right w:type="dxa" w:w="100"/>
            </w:tcMar>
            <w:vAlign w:val="center"/>
          </w:tcPr>
          <w:p>
            <w:r>
              <w:rPr>
                <w:b w:val="false"/>
                <w:bCs w:val="false"/>
                <w:sz w:val="19"/>
                <w:szCs w:val="19"/>
              </w:rPr>
              <w:t xml:space="preserve">Primary end user of the Forecast Dashboard; uses forecasts to build category plans.</w:t>
            </w:r>
          </w:p>
        </w:tc>
      </w:tr>
      <w:tr>
        <w:tc>
          <w:tcPr>
            <w:tcW w:type="dxa" w:w="3200"/>
            <w:tcBorders>
              <w:top w:val="single" w:color="B7BEC9" w:sz="2"/>
              <w:left w:val="single" w:color="B7BEC9" w:sz="2"/>
              <w:bottom w:val="single" w:color="B7BEC9" w:sz="2"/>
              <w:right w:val="single" w:color="B7BEC9" w:sz="2"/>
            </w:tcBorders>
            <w:shd w:fill="EAF1FB" w:val="clear"/>
            <w:tcMar>
              <w:top w:type="dxa" w:w="60"/>
              <w:left w:type="dxa" w:w="100"/>
              <w:bottom w:type="dxa" w:w="60"/>
              <w:right w:type="dxa" w:w="100"/>
            </w:tcMar>
            <w:vAlign w:val="center"/>
          </w:tcPr>
          <w:p>
            <w:r>
              <w:rPr>
                <w:b w:val="false"/>
                <w:bCs w:val="false"/>
                <w:sz w:val="19"/>
                <w:szCs w:val="19"/>
              </w:rPr>
              <w:t xml:space="preserve">Category Manager</w:t>
            </w:r>
          </w:p>
        </w:tc>
        <w:tc>
          <w:tcPr>
            <w:tcW w:type="dxa" w:w="7600"/>
            <w:tcBorders>
              <w:top w:val="single" w:color="B7BEC9" w:sz="2"/>
              <w:left w:val="single" w:color="B7BEC9" w:sz="2"/>
              <w:bottom w:val="single" w:color="B7BEC9" w:sz="2"/>
              <w:right w:val="single" w:color="B7BEC9" w:sz="2"/>
            </w:tcBorders>
            <w:shd w:fill="EAF1FB" w:val="clear"/>
            <w:tcMar>
              <w:top w:type="dxa" w:w="60"/>
              <w:left w:type="dxa" w:w="100"/>
              <w:bottom w:type="dxa" w:w="60"/>
              <w:right w:type="dxa" w:w="100"/>
            </w:tcMar>
            <w:vAlign w:val="center"/>
          </w:tcPr>
          <w:p>
            <w:r>
              <w:rPr>
                <w:b w:val="false"/>
                <w:bCs w:val="false"/>
                <w:sz w:val="19"/>
                <w:szCs w:val="19"/>
              </w:rPr>
              <w:t xml:space="preserve">Uses the Analytics Assistant to compare category performance and identify risks/opportunities.</w:t>
            </w:r>
          </w:p>
        </w:tc>
      </w:tr>
      <w:tr>
        <w:tc>
          <w:tcPr>
            <w:tcW w:type="dxa" w:w="3200"/>
            <w:tcBorders>
              <w:top w:val="single" w:color="B7BEC9" w:sz="2"/>
              <w:left w:val="single" w:color="B7BEC9" w:sz="2"/>
              <w:bottom w:val="single" w:color="B7BEC9" w:sz="2"/>
              <w:right w:val="single" w:color="B7BEC9" w:sz="2"/>
            </w:tcBorders>
            <w:tcMar>
              <w:top w:type="dxa" w:w="60"/>
              <w:left w:type="dxa" w:w="100"/>
              <w:bottom w:type="dxa" w:w="60"/>
              <w:right w:type="dxa" w:w="100"/>
            </w:tcMar>
            <w:vAlign w:val="center"/>
          </w:tcPr>
          <w:p>
            <w:r>
              <w:rPr>
                <w:b w:val="false"/>
                <w:bCs w:val="false"/>
                <w:sz w:val="19"/>
                <w:szCs w:val="19"/>
              </w:rPr>
              <w:t xml:space="preserve">Store Operations Manager</w:t>
            </w:r>
          </w:p>
        </w:tc>
        <w:tc>
          <w:tcPr>
            <w:tcW w:type="dxa" w:w="7600"/>
            <w:tcBorders>
              <w:top w:val="single" w:color="B7BEC9" w:sz="2"/>
              <w:left w:val="single" w:color="B7BEC9" w:sz="2"/>
              <w:bottom w:val="single" w:color="B7BEC9" w:sz="2"/>
              <w:right w:val="single" w:color="B7BEC9" w:sz="2"/>
            </w:tcBorders>
            <w:tcMar>
              <w:top w:type="dxa" w:w="60"/>
              <w:left w:type="dxa" w:w="100"/>
              <w:bottom w:type="dxa" w:w="60"/>
              <w:right w:type="dxa" w:w="100"/>
            </w:tcMar>
            <w:vAlign w:val="center"/>
          </w:tcPr>
          <w:p>
            <w:r>
              <w:rPr>
                <w:b w:val="false"/>
                <w:bCs w:val="false"/>
                <w:sz w:val="19"/>
                <w:szCs w:val="19"/>
              </w:rPr>
              <w:t xml:space="preserve">Uses store-level forecasts and performance comparisons to plan store-level execution.</w:t>
            </w:r>
          </w:p>
        </w:tc>
      </w:tr>
      <w:tr>
        <w:tc>
          <w:tcPr>
            <w:tcW w:type="dxa" w:w="3200"/>
            <w:tcBorders>
              <w:top w:val="single" w:color="B7BEC9" w:sz="2"/>
              <w:left w:val="single" w:color="B7BEC9" w:sz="2"/>
              <w:bottom w:val="single" w:color="B7BEC9" w:sz="2"/>
              <w:right w:val="single" w:color="B7BEC9" w:sz="2"/>
            </w:tcBorders>
            <w:shd w:fill="EAF1FB" w:val="clear"/>
            <w:tcMar>
              <w:top w:type="dxa" w:w="60"/>
              <w:left w:type="dxa" w:w="100"/>
              <w:bottom w:type="dxa" w:w="60"/>
              <w:right w:type="dxa" w:w="100"/>
            </w:tcMar>
            <w:vAlign w:val="center"/>
          </w:tcPr>
          <w:p>
            <w:r>
              <w:rPr>
                <w:b w:val="false"/>
                <w:bCs w:val="false"/>
                <w:sz w:val="19"/>
                <w:szCs w:val="19"/>
              </w:rPr>
              <w:t xml:space="preserve">Data &amp; AI Platform Team (AaiTech)</w:t>
            </w:r>
          </w:p>
        </w:tc>
        <w:tc>
          <w:tcPr>
            <w:tcW w:type="dxa" w:w="7600"/>
            <w:tcBorders>
              <w:top w:val="single" w:color="B7BEC9" w:sz="2"/>
              <w:left w:val="single" w:color="B7BEC9" w:sz="2"/>
              <w:bottom w:val="single" w:color="B7BEC9" w:sz="2"/>
              <w:right w:val="single" w:color="B7BEC9" w:sz="2"/>
            </w:tcBorders>
            <w:shd w:fill="EAF1FB" w:val="clear"/>
            <w:tcMar>
              <w:top w:type="dxa" w:w="60"/>
              <w:left w:type="dxa" w:w="100"/>
              <w:bottom w:type="dxa" w:w="60"/>
              <w:right w:type="dxa" w:w="100"/>
            </w:tcMar>
            <w:vAlign w:val="center"/>
          </w:tcPr>
          <w:p>
            <w:r>
              <w:rPr>
                <w:b w:val="false"/>
                <w:bCs w:val="false"/>
                <w:sz w:val="19"/>
                <w:szCs w:val="19"/>
              </w:rPr>
              <w:t xml:space="preserve">Owns the data pipeline, ML model, and GenAI layer; responsible for delivery and ongoing model quality.</w:t>
            </w:r>
          </w:p>
        </w:tc>
      </w:tr>
      <w:tr>
        <w:tc>
          <w:tcPr>
            <w:tcW w:type="dxa" w:w="3200"/>
            <w:tcBorders>
              <w:top w:val="single" w:color="B7BEC9" w:sz="2"/>
              <w:left w:val="single" w:color="B7BEC9" w:sz="2"/>
              <w:bottom w:val="single" w:color="B7BEC9" w:sz="2"/>
              <w:right w:val="single" w:color="B7BEC9" w:sz="2"/>
            </w:tcBorders>
            <w:tcMar>
              <w:top w:type="dxa" w:w="60"/>
              <w:left w:type="dxa" w:w="100"/>
              <w:bottom w:type="dxa" w:w="60"/>
              <w:right w:type="dxa" w:w="100"/>
            </w:tcMar>
            <w:vAlign w:val="center"/>
          </w:tcPr>
          <w:p>
            <w:r>
              <w:rPr>
                <w:b w:val="false"/>
                <w:bCs w:val="false"/>
                <w:sz w:val="19"/>
                <w:szCs w:val="19"/>
              </w:rPr>
              <w:t xml:space="preserve">IT / Security</w:t>
            </w:r>
          </w:p>
        </w:tc>
        <w:tc>
          <w:tcPr>
            <w:tcW w:type="dxa" w:w="7600"/>
            <w:tcBorders>
              <w:top w:val="single" w:color="B7BEC9" w:sz="2"/>
              <w:left w:val="single" w:color="B7BEC9" w:sz="2"/>
              <w:bottom w:val="single" w:color="B7BEC9" w:sz="2"/>
              <w:right w:val="single" w:color="B7BEC9" w:sz="2"/>
            </w:tcBorders>
            <w:tcMar>
              <w:top w:type="dxa" w:w="60"/>
              <w:left w:type="dxa" w:w="100"/>
              <w:bottom w:type="dxa" w:w="60"/>
              <w:right w:type="dxa" w:w="100"/>
            </w:tcMar>
            <w:vAlign w:val="center"/>
          </w:tcPr>
          <w:p>
            <w:r>
              <w:rPr>
                <w:b w:val="false"/>
                <w:bCs w:val="false"/>
                <w:sz w:val="19"/>
                <w:szCs w:val="19"/>
              </w:rPr>
              <w:t xml:space="preserve">Reviews data access, authentication, and hosting approach prior to go-live.</w:t>
            </w:r>
          </w:p>
        </w:tc>
      </w:tr>
    </w:tbl>
    <w:p>
      <w:r>
        <w:br w:type="page"/>
      </w:r>
    </w:p>
    <w:p>
      <w:pPr>
        <w:pStyle w:val="Heading1"/>
        <w:spacing w:after="160" w:before="360"/>
      </w:pPr>
      <w:r>
        <w:rPr>
          <w:b/>
          <w:bCs/>
          <w:color w:val="1F3864"/>
          <w:sz w:val="28"/>
          <w:szCs w:val="28"/>
        </w:rPr>
        <w:t xml:space="preserve">6. Data Requirements</w:t>
      </w:r>
    </w:p>
    <w:p>
      <w:pPr>
        <w:spacing w:after="160" w:line="276"/>
      </w:pPr>
      <w:r>
        <w:rPr>
          <w:sz w:val="21"/>
          <w:szCs w:val="21"/>
        </w:rPr>
        <w:t xml:space="preserve">The platform is built on four core data sources. These are integrated into a single analytical dataset that feeds both the forecasting model and the reporting/analytics layer. Field lists below are representative of the key business fields; full technical field definitions are maintained in the accompanying Data Dictionary.</w:t>
      </w:r>
    </w:p>
    <w:p>
      <w:pPr>
        <w:pStyle w:val="Heading2"/>
        <w:spacing w:after="120" w:before="260"/>
      </w:pPr>
      <w:r>
        <w:rPr>
          <w:b/>
          <w:bCs/>
          <w:color w:val="2E5C8A"/>
          <w:sz w:val="24"/>
          <w:szCs w:val="24"/>
        </w:rPr>
        <w:t xml:space="preserve">6.1 Products (Product Master)</w:t>
      </w:r>
    </w:p>
    <w:p>
      <w:pPr>
        <w:spacing w:after="160" w:line="276"/>
      </w:pPr>
      <w:r>
        <w:rPr>
          <w:sz w:val="21"/>
          <w:szCs w:val="21"/>
        </w:rPr>
        <w:t xml:space="preserve">Describes the product catalog the business forecasts demand for.</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2400"/>
        <w:gridCol w:w="7400"/>
      </w:tblGrid>
      <w:tr>
        <w:trPr>
          <w:tblHeader/>
        </w:trPr>
        <w:tc>
          <w:tcPr>
            <w:tcW w:type="dxa" w:w="2400"/>
            <w:tcBorders>
              <w:top w:val="single" w:color="B7BEC9" w:sz="2"/>
              <w:left w:val="single" w:color="B7BEC9" w:sz="2"/>
              <w:bottom w:val="single" w:color="B7BEC9" w:sz="2"/>
              <w:right w:val="single" w:color="B7BEC9" w:sz="2"/>
            </w:tcBorders>
            <w:shd w:fill="1F3864" w:val="clear"/>
            <w:tcMar>
              <w:top w:type="dxa" w:w="80"/>
              <w:left w:type="dxa" w:w="100"/>
              <w:bottom w:type="dxa" w:w="80"/>
              <w:right w:type="dxa" w:w="100"/>
            </w:tcMar>
            <w:vAlign w:val="center"/>
          </w:tcPr>
          <w:p>
            <w:r>
              <w:rPr>
                <w:b/>
                <w:bCs/>
                <w:color w:val="FFFFFF"/>
                <w:sz w:val="19"/>
                <w:szCs w:val="19"/>
              </w:rPr>
              <w:t xml:space="preserve">Field</w:t>
            </w:r>
          </w:p>
        </w:tc>
        <w:tc>
          <w:tcPr>
            <w:tcW w:type="dxa" w:w="7400"/>
            <w:tcBorders>
              <w:top w:val="single" w:color="B7BEC9" w:sz="2"/>
              <w:left w:val="single" w:color="B7BEC9" w:sz="2"/>
              <w:bottom w:val="single" w:color="B7BEC9" w:sz="2"/>
              <w:right w:val="single" w:color="B7BEC9" w:sz="2"/>
            </w:tcBorders>
            <w:shd w:fill="1F3864" w:val="clear"/>
            <w:tcMar>
              <w:top w:type="dxa" w:w="80"/>
              <w:left w:type="dxa" w:w="100"/>
              <w:bottom w:type="dxa" w:w="80"/>
              <w:right w:type="dxa" w:w="100"/>
            </w:tcMar>
            <w:vAlign w:val="center"/>
          </w:tcPr>
          <w:p>
            <w:r>
              <w:rPr>
                <w:b/>
                <w:bCs/>
                <w:color w:val="FFFFFF"/>
                <w:sz w:val="19"/>
                <w:szCs w:val="19"/>
              </w:rPr>
              <w:t xml:space="preserve">Description</w:t>
            </w:r>
          </w:p>
        </w:tc>
      </w:tr>
      <w:tr>
        <w:tc>
          <w:tcPr>
            <w:tcW w:type="dxa" w:w="2400"/>
            <w:tcBorders>
              <w:top w:val="single" w:color="B7BEC9" w:sz="2"/>
              <w:left w:val="single" w:color="B7BEC9" w:sz="2"/>
              <w:bottom w:val="single" w:color="B7BEC9" w:sz="2"/>
              <w:right w:val="single" w:color="B7BEC9" w:sz="2"/>
            </w:tcBorders>
            <w:tcMar>
              <w:top w:type="dxa" w:w="60"/>
              <w:left w:type="dxa" w:w="100"/>
              <w:bottom w:type="dxa" w:w="60"/>
              <w:right w:type="dxa" w:w="100"/>
            </w:tcMar>
            <w:vAlign w:val="center"/>
          </w:tcPr>
          <w:p>
            <w:r>
              <w:rPr>
                <w:b w:val="false"/>
                <w:bCs w:val="false"/>
                <w:sz w:val="19"/>
                <w:szCs w:val="19"/>
              </w:rPr>
              <w:t xml:space="preserve">product_id</w:t>
            </w:r>
          </w:p>
        </w:tc>
        <w:tc>
          <w:tcPr>
            <w:tcW w:type="dxa" w:w="7400"/>
            <w:tcBorders>
              <w:top w:val="single" w:color="B7BEC9" w:sz="2"/>
              <w:left w:val="single" w:color="B7BEC9" w:sz="2"/>
              <w:bottom w:val="single" w:color="B7BEC9" w:sz="2"/>
              <w:right w:val="single" w:color="B7BEC9" w:sz="2"/>
            </w:tcBorders>
            <w:tcMar>
              <w:top w:type="dxa" w:w="60"/>
              <w:left w:type="dxa" w:w="100"/>
              <w:bottom w:type="dxa" w:w="60"/>
              <w:right w:type="dxa" w:w="100"/>
            </w:tcMar>
            <w:vAlign w:val="center"/>
          </w:tcPr>
          <w:p>
            <w:r>
              <w:rPr>
                <w:b w:val="false"/>
                <w:bCs w:val="false"/>
                <w:sz w:val="19"/>
                <w:szCs w:val="19"/>
              </w:rPr>
              <w:t xml:space="preserve">Unique identifier for each product (primary key).</w:t>
            </w:r>
          </w:p>
        </w:tc>
      </w:tr>
      <w:tr>
        <w:tc>
          <w:tcPr>
            <w:tcW w:type="dxa" w:w="2400"/>
            <w:tcBorders>
              <w:top w:val="single" w:color="B7BEC9" w:sz="2"/>
              <w:left w:val="single" w:color="B7BEC9" w:sz="2"/>
              <w:bottom w:val="single" w:color="B7BEC9" w:sz="2"/>
              <w:right w:val="single" w:color="B7BEC9" w:sz="2"/>
            </w:tcBorders>
            <w:shd w:fill="EAF1FB" w:val="clear"/>
            <w:tcMar>
              <w:top w:type="dxa" w:w="60"/>
              <w:left w:type="dxa" w:w="100"/>
              <w:bottom w:type="dxa" w:w="60"/>
              <w:right w:type="dxa" w:w="100"/>
            </w:tcMar>
            <w:vAlign w:val="center"/>
          </w:tcPr>
          <w:p>
            <w:r>
              <w:rPr>
                <w:b w:val="false"/>
                <w:bCs w:val="false"/>
                <w:sz w:val="19"/>
                <w:szCs w:val="19"/>
              </w:rPr>
              <w:t xml:space="preserve">product_name</w:t>
            </w:r>
          </w:p>
        </w:tc>
        <w:tc>
          <w:tcPr>
            <w:tcW w:type="dxa" w:w="7400"/>
            <w:tcBorders>
              <w:top w:val="single" w:color="B7BEC9" w:sz="2"/>
              <w:left w:val="single" w:color="B7BEC9" w:sz="2"/>
              <w:bottom w:val="single" w:color="B7BEC9" w:sz="2"/>
              <w:right w:val="single" w:color="B7BEC9" w:sz="2"/>
            </w:tcBorders>
            <w:shd w:fill="EAF1FB" w:val="clear"/>
            <w:tcMar>
              <w:top w:type="dxa" w:w="60"/>
              <w:left w:type="dxa" w:w="100"/>
              <w:bottom w:type="dxa" w:w="60"/>
              <w:right w:type="dxa" w:w="100"/>
            </w:tcMar>
            <w:vAlign w:val="center"/>
          </w:tcPr>
          <w:p>
            <w:r>
              <w:rPr>
                <w:b w:val="false"/>
                <w:bCs w:val="false"/>
                <w:sz w:val="19"/>
                <w:szCs w:val="19"/>
              </w:rPr>
              <w:t xml:space="preserve">Descriptive product name shown to business users.</w:t>
            </w:r>
          </w:p>
        </w:tc>
      </w:tr>
      <w:tr>
        <w:tc>
          <w:tcPr>
            <w:tcW w:type="dxa" w:w="2400"/>
            <w:tcBorders>
              <w:top w:val="single" w:color="B7BEC9" w:sz="2"/>
              <w:left w:val="single" w:color="B7BEC9" w:sz="2"/>
              <w:bottom w:val="single" w:color="B7BEC9" w:sz="2"/>
              <w:right w:val="single" w:color="B7BEC9" w:sz="2"/>
            </w:tcBorders>
            <w:tcMar>
              <w:top w:type="dxa" w:w="60"/>
              <w:left w:type="dxa" w:w="100"/>
              <w:bottom w:type="dxa" w:w="60"/>
              <w:right w:type="dxa" w:w="100"/>
            </w:tcMar>
            <w:vAlign w:val="center"/>
          </w:tcPr>
          <w:p>
            <w:r>
              <w:rPr>
                <w:b w:val="false"/>
                <w:bCs w:val="false"/>
                <w:sz w:val="19"/>
                <w:szCs w:val="19"/>
              </w:rPr>
              <w:t xml:space="preserve">category</w:t>
            </w:r>
          </w:p>
        </w:tc>
        <w:tc>
          <w:tcPr>
            <w:tcW w:type="dxa" w:w="7400"/>
            <w:tcBorders>
              <w:top w:val="single" w:color="B7BEC9" w:sz="2"/>
              <w:left w:val="single" w:color="B7BEC9" w:sz="2"/>
              <w:bottom w:val="single" w:color="B7BEC9" w:sz="2"/>
              <w:right w:val="single" w:color="B7BEC9" w:sz="2"/>
            </w:tcBorders>
            <w:tcMar>
              <w:top w:type="dxa" w:w="60"/>
              <w:left w:type="dxa" w:w="100"/>
              <w:bottom w:type="dxa" w:w="60"/>
              <w:right w:type="dxa" w:w="100"/>
            </w:tcMar>
            <w:vAlign w:val="center"/>
          </w:tcPr>
          <w:p>
            <w:r>
              <w:rPr>
                <w:b w:val="false"/>
                <w:bCs w:val="false"/>
                <w:sz w:val="19"/>
                <w:szCs w:val="19"/>
              </w:rPr>
              <w:t xml:space="preserve">Top-level product category (e.g. Electronics, Grocery, Clothing).</w:t>
            </w:r>
          </w:p>
        </w:tc>
      </w:tr>
      <w:tr>
        <w:tc>
          <w:tcPr>
            <w:tcW w:type="dxa" w:w="2400"/>
            <w:tcBorders>
              <w:top w:val="single" w:color="B7BEC9" w:sz="2"/>
              <w:left w:val="single" w:color="B7BEC9" w:sz="2"/>
              <w:bottom w:val="single" w:color="B7BEC9" w:sz="2"/>
              <w:right w:val="single" w:color="B7BEC9" w:sz="2"/>
            </w:tcBorders>
            <w:shd w:fill="EAF1FB" w:val="clear"/>
            <w:tcMar>
              <w:top w:type="dxa" w:w="60"/>
              <w:left w:type="dxa" w:w="100"/>
              <w:bottom w:type="dxa" w:w="60"/>
              <w:right w:type="dxa" w:w="100"/>
            </w:tcMar>
            <w:vAlign w:val="center"/>
          </w:tcPr>
          <w:p>
            <w:r>
              <w:rPr>
                <w:b w:val="false"/>
                <w:bCs w:val="false"/>
                <w:sz w:val="19"/>
                <w:szCs w:val="19"/>
              </w:rPr>
              <w:t xml:space="preserve">subcategory</w:t>
            </w:r>
          </w:p>
        </w:tc>
        <w:tc>
          <w:tcPr>
            <w:tcW w:type="dxa" w:w="7400"/>
            <w:tcBorders>
              <w:top w:val="single" w:color="B7BEC9" w:sz="2"/>
              <w:left w:val="single" w:color="B7BEC9" w:sz="2"/>
              <w:bottom w:val="single" w:color="B7BEC9" w:sz="2"/>
              <w:right w:val="single" w:color="B7BEC9" w:sz="2"/>
            </w:tcBorders>
            <w:shd w:fill="EAF1FB" w:val="clear"/>
            <w:tcMar>
              <w:top w:type="dxa" w:w="60"/>
              <w:left w:type="dxa" w:w="100"/>
              <w:bottom w:type="dxa" w:w="60"/>
              <w:right w:type="dxa" w:w="100"/>
            </w:tcMar>
            <w:vAlign w:val="center"/>
          </w:tcPr>
          <w:p>
            <w:r>
              <w:rPr>
                <w:b w:val="false"/>
                <w:bCs w:val="false"/>
                <w:sz w:val="19"/>
                <w:szCs w:val="19"/>
              </w:rPr>
              <w:t xml:space="preserve">More specific classification within the category.</w:t>
            </w:r>
          </w:p>
        </w:tc>
      </w:tr>
      <w:tr>
        <w:tc>
          <w:tcPr>
            <w:tcW w:type="dxa" w:w="2400"/>
            <w:tcBorders>
              <w:top w:val="single" w:color="B7BEC9" w:sz="2"/>
              <w:left w:val="single" w:color="B7BEC9" w:sz="2"/>
              <w:bottom w:val="single" w:color="B7BEC9" w:sz="2"/>
              <w:right w:val="single" w:color="B7BEC9" w:sz="2"/>
            </w:tcBorders>
            <w:tcMar>
              <w:top w:type="dxa" w:w="60"/>
              <w:left w:type="dxa" w:w="100"/>
              <w:bottom w:type="dxa" w:w="60"/>
              <w:right w:type="dxa" w:w="100"/>
            </w:tcMar>
            <w:vAlign w:val="center"/>
          </w:tcPr>
          <w:p>
            <w:r>
              <w:rPr>
                <w:b w:val="false"/>
                <w:bCs w:val="false"/>
                <w:sz w:val="19"/>
                <w:szCs w:val="19"/>
              </w:rPr>
              <w:t xml:space="preserve">brand</w:t>
            </w:r>
          </w:p>
        </w:tc>
        <w:tc>
          <w:tcPr>
            <w:tcW w:type="dxa" w:w="7400"/>
            <w:tcBorders>
              <w:top w:val="single" w:color="B7BEC9" w:sz="2"/>
              <w:left w:val="single" w:color="B7BEC9" w:sz="2"/>
              <w:bottom w:val="single" w:color="B7BEC9" w:sz="2"/>
              <w:right w:val="single" w:color="B7BEC9" w:sz="2"/>
            </w:tcBorders>
            <w:tcMar>
              <w:top w:type="dxa" w:w="60"/>
              <w:left w:type="dxa" w:w="100"/>
              <w:bottom w:type="dxa" w:w="60"/>
              <w:right w:type="dxa" w:w="100"/>
            </w:tcMar>
            <w:vAlign w:val="center"/>
          </w:tcPr>
          <w:p>
            <w:r>
              <w:rPr>
                <w:b w:val="false"/>
                <w:bCs w:val="false"/>
                <w:sz w:val="19"/>
                <w:szCs w:val="19"/>
              </w:rPr>
              <w:t xml:space="preserve">Brand associated with the product.</w:t>
            </w:r>
          </w:p>
        </w:tc>
      </w:tr>
      <w:tr>
        <w:tc>
          <w:tcPr>
            <w:tcW w:type="dxa" w:w="2400"/>
            <w:tcBorders>
              <w:top w:val="single" w:color="B7BEC9" w:sz="2"/>
              <w:left w:val="single" w:color="B7BEC9" w:sz="2"/>
              <w:bottom w:val="single" w:color="B7BEC9" w:sz="2"/>
              <w:right w:val="single" w:color="B7BEC9" w:sz="2"/>
            </w:tcBorders>
            <w:shd w:fill="EAF1FB" w:val="clear"/>
            <w:tcMar>
              <w:top w:type="dxa" w:w="60"/>
              <w:left w:type="dxa" w:w="100"/>
              <w:bottom w:type="dxa" w:w="60"/>
              <w:right w:type="dxa" w:w="100"/>
            </w:tcMar>
            <w:vAlign w:val="center"/>
          </w:tcPr>
          <w:p>
            <w:r>
              <w:rPr>
                <w:b w:val="false"/>
                <w:bCs w:val="false"/>
                <w:sz w:val="19"/>
                <w:szCs w:val="19"/>
              </w:rPr>
              <w:t xml:space="preserve">lifecycle_status</w:t>
            </w:r>
          </w:p>
        </w:tc>
        <w:tc>
          <w:tcPr>
            <w:tcW w:type="dxa" w:w="7400"/>
            <w:tcBorders>
              <w:top w:val="single" w:color="B7BEC9" w:sz="2"/>
              <w:left w:val="single" w:color="B7BEC9" w:sz="2"/>
              <w:bottom w:val="single" w:color="B7BEC9" w:sz="2"/>
              <w:right w:val="single" w:color="B7BEC9" w:sz="2"/>
            </w:tcBorders>
            <w:shd w:fill="EAF1FB" w:val="clear"/>
            <w:tcMar>
              <w:top w:type="dxa" w:w="60"/>
              <w:left w:type="dxa" w:w="100"/>
              <w:bottom w:type="dxa" w:w="60"/>
              <w:right w:type="dxa" w:w="100"/>
            </w:tcMar>
            <w:vAlign w:val="center"/>
          </w:tcPr>
          <w:p>
            <w:r>
              <w:rPr>
                <w:b w:val="false"/>
                <w:bCs w:val="false"/>
                <w:sz w:val="19"/>
                <w:szCs w:val="19"/>
              </w:rPr>
              <w:t xml:space="preserve">Where the product sits in its lifecycle: New Launch, Growing, Mature, Declining, or End of Life.</w:t>
            </w:r>
          </w:p>
        </w:tc>
      </w:tr>
      <w:tr>
        <w:tc>
          <w:tcPr>
            <w:tcW w:type="dxa" w:w="2400"/>
            <w:tcBorders>
              <w:top w:val="single" w:color="B7BEC9" w:sz="2"/>
              <w:left w:val="single" w:color="B7BEC9" w:sz="2"/>
              <w:bottom w:val="single" w:color="B7BEC9" w:sz="2"/>
              <w:right w:val="single" w:color="B7BEC9" w:sz="2"/>
            </w:tcBorders>
            <w:tcMar>
              <w:top w:type="dxa" w:w="60"/>
              <w:left w:type="dxa" w:w="100"/>
              <w:bottom w:type="dxa" w:w="60"/>
              <w:right w:type="dxa" w:w="100"/>
            </w:tcMar>
            <w:vAlign w:val="center"/>
          </w:tcPr>
          <w:p>
            <w:r>
              <w:rPr>
                <w:b w:val="false"/>
                <w:bCs w:val="false"/>
                <w:sz w:val="19"/>
                <w:szCs w:val="19"/>
              </w:rPr>
              <w:t xml:space="preserve">base_price</w:t>
            </w:r>
          </w:p>
        </w:tc>
        <w:tc>
          <w:tcPr>
            <w:tcW w:type="dxa" w:w="7400"/>
            <w:tcBorders>
              <w:top w:val="single" w:color="B7BEC9" w:sz="2"/>
              <w:left w:val="single" w:color="B7BEC9" w:sz="2"/>
              <w:bottom w:val="single" w:color="B7BEC9" w:sz="2"/>
              <w:right w:val="single" w:color="B7BEC9" w:sz="2"/>
            </w:tcBorders>
            <w:tcMar>
              <w:top w:type="dxa" w:w="60"/>
              <w:left w:type="dxa" w:w="100"/>
              <w:bottom w:type="dxa" w:w="60"/>
              <w:right w:type="dxa" w:w="100"/>
            </w:tcMar>
            <w:vAlign w:val="center"/>
          </w:tcPr>
          <w:p>
            <w:r>
              <w:rPr>
                <w:b w:val="false"/>
                <w:bCs w:val="false"/>
                <w:sz w:val="19"/>
                <w:szCs w:val="19"/>
              </w:rPr>
              <w:t xml:space="preserve">Standard list price before any discount.</w:t>
            </w:r>
          </w:p>
        </w:tc>
      </w:tr>
      <w:tr>
        <w:tc>
          <w:tcPr>
            <w:tcW w:type="dxa" w:w="2400"/>
            <w:tcBorders>
              <w:top w:val="single" w:color="B7BEC9" w:sz="2"/>
              <w:left w:val="single" w:color="B7BEC9" w:sz="2"/>
              <w:bottom w:val="single" w:color="B7BEC9" w:sz="2"/>
              <w:right w:val="single" w:color="B7BEC9" w:sz="2"/>
            </w:tcBorders>
            <w:shd w:fill="EAF1FB" w:val="clear"/>
            <w:tcMar>
              <w:top w:type="dxa" w:w="60"/>
              <w:left w:type="dxa" w:w="100"/>
              <w:bottom w:type="dxa" w:w="60"/>
              <w:right w:type="dxa" w:w="100"/>
            </w:tcMar>
            <w:vAlign w:val="center"/>
          </w:tcPr>
          <w:p>
            <w:r>
              <w:rPr>
                <w:b w:val="false"/>
                <w:bCs w:val="false"/>
                <w:sz w:val="19"/>
                <w:szCs w:val="19"/>
              </w:rPr>
              <w:t xml:space="preserve">cost_price</w:t>
            </w:r>
          </w:p>
        </w:tc>
        <w:tc>
          <w:tcPr>
            <w:tcW w:type="dxa" w:w="7400"/>
            <w:tcBorders>
              <w:top w:val="single" w:color="B7BEC9" w:sz="2"/>
              <w:left w:val="single" w:color="B7BEC9" w:sz="2"/>
              <w:bottom w:val="single" w:color="B7BEC9" w:sz="2"/>
              <w:right w:val="single" w:color="B7BEC9" w:sz="2"/>
            </w:tcBorders>
            <w:shd w:fill="EAF1FB" w:val="clear"/>
            <w:tcMar>
              <w:top w:type="dxa" w:w="60"/>
              <w:left w:type="dxa" w:w="100"/>
              <w:bottom w:type="dxa" w:w="60"/>
              <w:right w:type="dxa" w:w="100"/>
            </w:tcMar>
            <w:vAlign w:val="center"/>
          </w:tcPr>
          <w:p>
            <w:r>
              <w:rPr>
                <w:b w:val="false"/>
                <w:bCs w:val="false"/>
                <w:sz w:val="19"/>
                <w:szCs w:val="19"/>
              </w:rPr>
              <w:t xml:space="preserve">Unit cost to the business, used for margin-related analysis.</w:t>
            </w:r>
          </w:p>
        </w:tc>
      </w:tr>
      <w:tr>
        <w:tc>
          <w:tcPr>
            <w:tcW w:type="dxa" w:w="2400"/>
            <w:tcBorders>
              <w:top w:val="single" w:color="B7BEC9" w:sz="2"/>
              <w:left w:val="single" w:color="B7BEC9" w:sz="2"/>
              <w:bottom w:val="single" w:color="B7BEC9" w:sz="2"/>
              <w:right w:val="single" w:color="B7BEC9" w:sz="2"/>
            </w:tcBorders>
            <w:tcMar>
              <w:top w:type="dxa" w:w="60"/>
              <w:left w:type="dxa" w:w="100"/>
              <w:bottom w:type="dxa" w:w="60"/>
              <w:right w:type="dxa" w:w="100"/>
            </w:tcMar>
            <w:vAlign w:val="center"/>
          </w:tcPr>
          <w:p>
            <w:r>
              <w:rPr>
                <w:b w:val="false"/>
                <w:bCs w:val="false"/>
                <w:sz w:val="19"/>
                <w:szCs w:val="19"/>
              </w:rPr>
              <w:t xml:space="preserve">demand_class</w:t>
            </w:r>
          </w:p>
        </w:tc>
        <w:tc>
          <w:tcPr>
            <w:tcW w:type="dxa" w:w="7400"/>
            <w:tcBorders>
              <w:top w:val="single" w:color="B7BEC9" w:sz="2"/>
              <w:left w:val="single" w:color="B7BEC9" w:sz="2"/>
              <w:bottom w:val="single" w:color="B7BEC9" w:sz="2"/>
              <w:right w:val="single" w:color="B7BEC9" w:sz="2"/>
            </w:tcBorders>
            <w:tcMar>
              <w:top w:type="dxa" w:w="60"/>
              <w:left w:type="dxa" w:w="100"/>
              <w:bottom w:type="dxa" w:w="60"/>
              <w:right w:type="dxa" w:w="100"/>
            </w:tcMar>
            <w:vAlign w:val="center"/>
          </w:tcPr>
          <w:p>
            <w:r>
              <w:rPr>
                <w:b w:val="false"/>
                <w:bCs w:val="false"/>
                <w:sz w:val="19"/>
                <w:szCs w:val="19"/>
              </w:rPr>
              <w:t xml:space="preserve">Relative sales volume tier: High / Medium / Low Volume or Niche.</w:t>
            </w:r>
          </w:p>
        </w:tc>
      </w:tr>
      <w:tr>
        <w:tc>
          <w:tcPr>
            <w:tcW w:type="dxa" w:w="2400"/>
            <w:tcBorders>
              <w:top w:val="single" w:color="B7BEC9" w:sz="2"/>
              <w:left w:val="single" w:color="B7BEC9" w:sz="2"/>
              <w:bottom w:val="single" w:color="B7BEC9" w:sz="2"/>
              <w:right w:val="single" w:color="B7BEC9" w:sz="2"/>
            </w:tcBorders>
            <w:shd w:fill="EAF1FB" w:val="clear"/>
            <w:tcMar>
              <w:top w:type="dxa" w:w="60"/>
              <w:left w:type="dxa" w:w="100"/>
              <w:bottom w:type="dxa" w:w="60"/>
              <w:right w:type="dxa" w:w="100"/>
            </w:tcMar>
            <w:vAlign w:val="center"/>
          </w:tcPr>
          <w:p>
            <w:r>
              <w:rPr>
                <w:b w:val="false"/>
                <w:bCs w:val="false"/>
                <w:sz w:val="19"/>
                <w:szCs w:val="19"/>
              </w:rPr>
              <w:t xml:space="preserve">price_elasticity_tier</w:t>
            </w:r>
          </w:p>
        </w:tc>
        <w:tc>
          <w:tcPr>
            <w:tcW w:type="dxa" w:w="7400"/>
            <w:tcBorders>
              <w:top w:val="single" w:color="B7BEC9" w:sz="2"/>
              <w:left w:val="single" w:color="B7BEC9" w:sz="2"/>
              <w:bottom w:val="single" w:color="B7BEC9" w:sz="2"/>
              <w:right w:val="single" w:color="B7BEC9" w:sz="2"/>
            </w:tcBorders>
            <w:shd w:fill="EAF1FB" w:val="clear"/>
            <w:tcMar>
              <w:top w:type="dxa" w:w="60"/>
              <w:left w:type="dxa" w:w="100"/>
              <w:bottom w:type="dxa" w:w="60"/>
              <w:right w:type="dxa" w:w="100"/>
            </w:tcMar>
            <w:vAlign w:val="center"/>
          </w:tcPr>
          <w:p>
            <w:r>
              <w:rPr>
                <w:b w:val="false"/>
                <w:bCs w:val="false"/>
                <w:sz w:val="19"/>
                <w:szCs w:val="19"/>
              </w:rPr>
              <w:t xml:space="preserve">How sensitive demand for this product is to price changes (low / medium / high).</w:t>
            </w:r>
          </w:p>
        </w:tc>
      </w:tr>
      <w:tr>
        <w:tc>
          <w:tcPr>
            <w:tcW w:type="dxa" w:w="2400"/>
            <w:tcBorders>
              <w:top w:val="single" w:color="B7BEC9" w:sz="2"/>
              <w:left w:val="single" w:color="B7BEC9" w:sz="2"/>
              <w:bottom w:val="single" w:color="B7BEC9" w:sz="2"/>
              <w:right w:val="single" w:color="B7BEC9" w:sz="2"/>
            </w:tcBorders>
            <w:tcMar>
              <w:top w:type="dxa" w:w="60"/>
              <w:left w:type="dxa" w:w="100"/>
              <w:bottom w:type="dxa" w:w="60"/>
              <w:right w:type="dxa" w:w="100"/>
            </w:tcMar>
            <w:vAlign w:val="center"/>
          </w:tcPr>
          <w:p>
            <w:r>
              <w:rPr>
                <w:b w:val="false"/>
                <w:bCs w:val="false"/>
                <w:sz w:val="19"/>
                <w:szCs w:val="19"/>
              </w:rPr>
              <w:t xml:space="preserve">seasonality_type</w:t>
            </w:r>
          </w:p>
        </w:tc>
        <w:tc>
          <w:tcPr>
            <w:tcW w:type="dxa" w:w="7400"/>
            <w:tcBorders>
              <w:top w:val="single" w:color="B7BEC9" w:sz="2"/>
              <w:left w:val="single" w:color="B7BEC9" w:sz="2"/>
              <w:bottom w:val="single" w:color="B7BEC9" w:sz="2"/>
              <w:right w:val="single" w:color="B7BEC9" w:sz="2"/>
            </w:tcBorders>
            <w:tcMar>
              <w:top w:type="dxa" w:w="60"/>
              <w:left w:type="dxa" w:w="100"/>
              <w:bottom w:type="dxa" w:w="60"/>
              <w:right w:type="dxa" w:w="100"/>
            </w:tcMar>
            <w:vAlign w:val="center"/>
          </w:tcPr>
          <w:p>
            <w:r>
              <w:rPr>
                <w:b w:val="false"/>
                <w:bCs w:val="false"/>
                <w:sz w:val="19"/>
                <w:szCs w:val="19"/>
              </w:rPr>
              <w:t xml:space="preserve">Degree to which the product's demand is seasonal (Highly / Moderately / Non-Seasonal).</w:t>
            </w:r>
          </w:p>
        </w:tc>
      </w:tr>
    </w:tbl>
    <w:p>
      <w:pPr>
        <w:spacing w:before="240"/>
      </w:pPr>
    </w:p>
    <w:p>
      <w:pPr>
        <w:pStyle w:val="Heading2"/>
        <w:spacing w:after="120" w:before="260"/>
      </w:pPr>
      <w:r>
        <w:rPr>
          <w:b/>
          <w:bCs/>
          <w:color w:val="2E5C8A"/>
          <w:sz w:val="24"/>
          <w:szCs w:val="24"/>
        </w:rPr>
        <w:t xml:space="preserve">6.2 Stores (Store Master)</w:t>
      </w:r>
    </w:p>
    <w:p>
      <w:pPr>
        <w:spacing w:after="160" w:line="276"/>
      </w:pPr>
      <w:r>
        <w:rPr>
          <w:sz w:val="21"/>
          <w:szCs w:val="21"/>
        </w:rPr>
        <w:t xml:space="preserve">Describes the store network across which demand is forecast.</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2400"/>
        <w:gridCol w:w="7400"/>
      </w:tblGrid>
      <w:tr>
        <w:trPr>
          <w:tblHeader/>
        </w:trPr>
        <w:tc>
          <w:tcPr>
            <w:tcW w:type="dxa" w:w="2400"/>
            <w:tcBorders>
              <w:top w:val="single" w:color="B7BEC9" w:sz="2"/>
              <w:left w:val="single" w:color="B7BEC9" w:sz="2"/>
              <w:bottom w:val="single" w:color="B7BEC9" w:sz="2"/>
              <w:right w:val="single" w:color="B7BEC9" w:sz="2"/>
            </w:tcBorders>
            <w:shd w:fill="1F3864" w:val="clear"/>
            <w:tcMar>
              <w:top w:type="dxa" w:w="80"/>
              <w:left w:type="dxa" w:w="100"/>
              <w:bottom w:type="dxa" w:w="80"/>
              <w:right w:type="dxa" w:w="100"/>
            </w:tcMar>
            <w:vAlign w:val="center"/>
          </w:tcPr>
          <w:p>
            <w:r>
              <w:rPr>
                <w:b/>
                <w:bCs/>
                <w:color w:val="FFFFFF"/>
                <w:sz w:val="19"/>
                <w:szCs w:val="19"/>
              </w:rPr>
              <w:t xml:space="preserve">Field</w:t>
            </w:r>
          </w:p>
        </w:tc>
        <w:tc>
          <w:tcPr>
            <w:tcW w:type="dxa" w:w="7400"/>
            <w:tcBorders>
              <w:top w:val="single" w:color="B7BEC9" w:sz="2"/>
              <w:left w:val="single" w:color="B7BEC9" w:sz="2"/>
              <w:bottom w:val="single" w:color="B7BEC9" w:sz="2"/>
              <w:right w:val="single" w:color="B7BEC9" w:sz="2"/>
            </w:tcBorders>
            <w:shd w:fill="1F3864" w:val="clear"/>
            <w:tcMar>
              <w:top w:type="dxa" w:w="80"/>
              <w:left w:type="dxa" w:w="100"/>
              <w:bottom w:type="dxa" w:w="80"/>
              <w:right w:type="dxa" w:w="100"/>
            </w:tcMar>
            <w:vAlign w:val="center"/>
          </w:tcPr>
          <w:p>
            <w:r>
              <w:rPr>
                <w:b/>
                <w:bCs/>
                <w:color w:val="FFFFFF"/>
                <w:sz w:val="19"/>
                <w:szCs w:val="19"/>
              </w:rPr>
              <w:t xml:space="preserve">Description</w:t>
            </w:r>
          </w:p>
        </w:tc>
      </w:tr>
      <w:tr>
        <w:tc>
          <w:tcPr>
            <w:tcW w:type="dxa" w:w="2400"/>
            <w:tcBorders>
              <w:top w:val="single" w:color="B7BEC9" w:sz="2"/>
              <w:left w:val="single" w:color="B7BEC9" w:sz="2"/>
              <w:bottom w:val="single" w:color="B7BEC9" w:sz="2"/>
              <w:right w:val="single" w:color="B7BEC9" w:sz="2"/>
            </w:tcBorders>
            <w:tcMar>
              <w:top w:type="dxa" w:w="60"/>
              <w:left w:type="dxa" w:w="100"/>
              <w:bottom w:type="dxa" w:w="60"/>
              <w:right w:type="dxa" w:w="100"/>
            </w:tcMar>
            <w:vAlign w:val="center"/>
          </w:tcPr>
          <w:p>
            <w:r>
              <w:rPr>
                <w:b w:val="false"/>
                <w:bCs w:val="false"/>
                <w:sz w:val="19"/>
                <w:szCs w:val="19"/>
              </w:rPr>
              <w:t xml:space="preserve">store_id</w:t>
            </w:r>
          </w:p>
        </w:tc>
        <w:tc>
          <w:tcPr>
            <w:tcW w:type="dxa" w:w="7400"/>
            <w:tcBorders>
              <w:top w:val="single" w:color="B7BEC9" w:sz="2"/>
              <w:left w:val="single" w:color="B7BEC9" w:sz="2"/>
              <w:bottom w:val="single" w:color="B7BEC9" w:sz="2"/>
              <w:right w:val="single" w:color="B7BEC9" w:sz="2"/>
            </w:tcBorders>
            <w:tcMar>
              <w:top w:type="dxa" w:w="60"/>
              <w:left w:type="dxa" w:w="100"/>
              <w:bottom w:type="dxa" w:w="60"/>
              <w:right w:type="dxa" w:w="100"/>
            </w:tcMar>
            <w:vAlign w:val="center"/>
          </w:tcPr>
          <w:p>
            <w:r>
              <w:rPr>
                <w:b w:val="false"/>
                <w:bCs w:val="false"/>
                <w:sz w:val="19"/>
                <w:szCs w:val="19"/>
              </w:rPr>
              <w:t xml:space="preserve">Unique identifier for each store (primary key).</w:t>
            </w:r>
          </w:p>
        </w:tc>
      </w:tr>
      <w:tr>
        <w:tc>
          <w:tcPr>
            <w:tcW w:type="dxa" w:w="2400"/>
            <w:tcBorders>
              <w:top w:val="single" w:color="B7BEC9" w:sz="2"/>
              <w:left w:val="single" w:color="B7BEC9" w:sz="2"/>
              <w:bottom w:val="single" w:color="B7BEC9" w:sz="2"/>
              <w:right w:val="single" w:color="B7BEC9" w:sz="2"/>
            </w:tcBorders>
            <w:shd w:fill="EAF1FB" w:val="clear"/>
            <w:tcMar>
              <w:top w:type="dxa" w:w="60"/>
              <w:left w:type="dxa" w:w="100"/>
              <w:bottom w:type="dxa" w:w="60"/>
              <w:right w:type="dxa" w:w="100"/>
            </w:tcMar>
            <w:vAlign w:val="center"/>
          </w:tcPr>
          <w:p>
            <w:r>
              <w:rPr>
                <w:b w:val="false"/>
                <w:bCs w:val="false"/>
                <w:sz w:val="19"/>
                <w:szCs w:val="19"/>
              </w:rPr>
              <w:t xml:space="preserve">store_name</w:t>
            </w:r>
          </w:p>
        </w:tc>
        <w:tc>
          <w:tcPr>
            <w:tcW w:type="dxa" w:w="7400"/>
            <w:tcBorders>
              <w:top w:val="single" w:color="B7BEC9" w:sz="2"/>
              <w:left w:val="single" w:color="B7BEC9" w:sz="2"/>
              <w:bottom w:val="single" w:color="B7BEC9" w:sz="2"/>
              <w:right w:val="single" w:color="B7BEC9" w:sz="2"/>
            </w:tcBorders>
            <w:shd w:fill="EAF1FB" w:val="clear"/>
            <w:tcMar>
              <w:top w:type="dxa" w:w="60"/>
              <w:left w:type="dxa" w:w="100"/>
              <w:bottom w:type="dxa" w:w="60"/>
              <w:right w:type="dxa" w:w="100"/>
            </w:tcMar>
            <w:vAlign w:val="center"/>
          </w:tcPr>
          <w:p>
            <w:r>
              <w:rPr>
                <w:b w:val="false"/>
                <w:bCs w:val="false"/>
                <w:sz w:val="19"/>
                <w:szCs w:val="19"/>
              </w:rPr>
              <w:t xml:space="preserve">Store display name.</w:t>
            </w:r>
          </w:p>
        </w:tc>
      </w:tr>
      <w:tr>
        <w:tc>
          <w:tcPr>
            <w:tcW w:type="dxa" w:w="2400"/>
            <w:tcBorders>
              <w:top w:val="single" w:color="B7BEC9" w:sz="2"/>
              <w:left w:val="single" w:color="B7BEC9" w:sz="2"/>
              <w:bottom w:val="single" w:color="B7BEC9" w:sz="2"/>
              <w:right w:val="single" w:color="B7BEC9" w:sz="2"/>
            </w:tcBorders>
            <w:tcMar>
              <w:top w:type="dxa" w:w="60"/>
              <w:left w:type="dxa" w:w="100"/>
              <w:bottom w:type="dxa" w:w="60"/>
              <w:right w:type="dxa" w:w="100"/>
            </w:tcMar>
            <w:vAlign w:val="center"/>
          </w:tcPr>
          <w:p>
            <w:r>
              <w:rPr>
                <w:b w:val="false"/>
                <w:bCs w:val="false"/>
                <w:sz w:val="19"/>
                <w:szCs w:val="19"/>
              </w:rPr>
              <w:t xml:space="preserve">city / region / state</w:t>
            </w:r>
          </w:p>
        </w:tc>
        <w:tc>
          <w:tcPr>
            <w:tcW w:type="dxa" w:w="7400"/>
            <w:tcBorders>
              <w:top w:val="single" w:color="B7BEC9" w:sz="2"/>
              <w:left w:val="single" w:color="B7BEC9" w:sz="2"/>
              <w:bottom w:val="single" w:color="B7BEC9" w:sz="2"/>
              <w:right w:val="single" w:color="B7BEC9" w:sz="2"/>
            </w:tcBorders>
            <w:tcMar>
              <w:top w:type="dxa" w:w="60"/>
              <w:left w:type="dxa" w:w="100"/>
              <w:bottom w:type="dxa" w:w="60"/>
              <w:right w:type="dxa" w:w="100"/>
            </w:tcMar>
            <w:vAlign w:val="center"/>
          </w:tcPr>
          <w:p>
            <w:r>
              <w:rPr>
                <w:b w:val="false"/>
                <w:bCs w:val="false"/>
                <w:sz w:val="19"/>
                <w:szCs w:val="19"/>
              </w:rPr>
              <w:t xml:space="preserve">Store location, used for regional performance analysis.</w:t>
            </w:r>
          </w:p>
        </w:tc>
      </w:tr>
      <w:tr>
        <w:tc>
          <w:tcPr>
            <w:tcW w:type="dxa" w:w="2400"/>
            <w:tcBorders>
              <w:top w:val="single" w:color="B7BEC9" w:sz="2"/>
              <w:left w:val="single" w:color="B7BEC9" w:sz="2"/>
              <w:bottom w:val="single" w:color="B7BEC9" w:sz="2"/>
              <w:right w:val="single" w:color="B7BEC9" w:sz="2"/>
            </w:tcBorders>
            <w:shd w:fill="EAF1FB" w:val="clear"/>
            <w:tcMar>
              <w:top w:type="dxa" w:w="60"/>
              <w:left w:type="dxa" w:w="100"/>
              <w:bottom w:type="dxa" w:w="60"/>
              <w:right w:type="dxa" w:w="100"/>
            </w:tcMar>
            <w:vAlign w:val="center"/>
          </w:tcPr>
          <w:p>
            <w:r>
              <w:rPr>
                <w:b w:val="false"/>
                <w:bCs w:val="false"/>
                <w:sz w:val="19"/>
                <w:szCs w:val="19"/>
              </w:rPr>
              <w:t xml:space="preserve">store_type</w:t>
            </w:r>
          </w:p>
        </w:tc>
        <w:tc>
          <w:tcPr>
            <w:tcW w:type="dxa" w:w="7400"/>
            <w:tcBorders>
              <w:top w:val="single" w:color="B7BEC9" w:sz="2"/>
              <w:left w:val="single" w:color="B7BEC9" w:sz="2"/>
              <w:bottom w:val="single" w:color="B7BEC9" w:sz="2"/>
              <w:right w:val="single" w:color="B7BEC9" w:sz="2"/>
            </w:tcBorders>
            <w:shd w:fill="EAF1FB" w:val="clear"/>
            <w:tcMar>
              <w:top w:type="dxa" w:w="60"/>
              <w:left w:type="dxa" w:w="100"/>
              <w:bottom w:type="dxa" w:w="60"/>
              <w:right w:type="dxa" w:w="100"/>
            </w:tcMar>
            <w:vAlign w:val="center"/>
          </w:tcPr>
          <w:p>
            <w:r>
              <w:rPr>
                <w:b w:val="false"/>
                <w:bCs w:val="false"/>
                <w:sz w:val="19"/>
                <w:szCs w:val="19"/>
              </w:rPr>
              <w:t xml:space="preserve">Format of the store: Flagship, Standard, Compact, or Express.</w:t>
            </w:r>
          </w:p>
        </w:tc>
      </w:tr>
      <w:tr>
        <w:tc>
          <w:tcPr>
            <w:tcW w:type="dxa" w:w="2400"/>
            <w:tcBorders>
              <w:top w:val="single" w:color="B7BEC9" w:sz="2"/>
              <w:left w:val="single" w:color="B7BEC9" w:sz="2"/>
              <w:bottom w:val="single" w:color="B7BEC9" w:sz="2"/>
              <w:right w:val="single" w:color="B7BEC9" w:sz="2"/>
            </w:tcBorders>
            <w:tcMar>
              <w:top w:type="dxa" w:w="60"/>
              <w:left w:type="dxa" w:w="100"/>
              <w:bottom w:type="dxa" w:w="60"/>
              <w:right w:type="dxa" w:w="100"/>
            </w:tcMar>
            <w:vAlign w:val="center"/>
          </w:tcPr>
          <w:p>
            <w:r>
              <w:rPr>
                <w:b w:val="false"/>
                <w:bCs w:val="false"/>
                <w:sz w:val="19"/>
                <w:szCs w:val="19"/>
              </w:rPr>
              <w:t xml:space="preserve">store_size_sqft</w:t>
            </w:r>
          </w:p>
        </w:tc>
        <w:tc>
          <w:tcPr>
            <w:tcW w:type="dxa" w:w="7400"/>
            <w:tcBorders>
              <w:top w:val="single" w:color="B7BEC9" w:sz="2"/>
              <w:left w:val="single" w:color="B7BEC9" w:sz="2"/>
              <w:bottom w:val="single" w:color="B7BEC9" w:sz="2"/>
              <w:right w:val="single" w:color="B7BEC9" w:sz="2"/>
            </w:tcBorders>
            <w:tcMar>
              <w:top w:type="dxa" w:w="60"/>
              <w:left w:type="dxa" w:w="100"/>
              <w:bottom w:type="dxa" w:w="60"/>
              <w:right w:type="dxa" w:w="100"/>
            </w:tcMar>
            <w:vAlign w:val="center"/>
          </w:tcPr>
          <w:p>
            <w:r>
              <w:rPr>
                <w:b w:val="false"/>
                <w:bCs w:val="false"/>
                <w:sz w:val="19"/>
                <w:szCs w:val="19"/>
              </w:rPr>
              <w:t xml:space="preserve">Physical size of the store in square feet.</w:t>
            </w:r>
          </w:p>
        </w:tc>
      </w:tr>
      <w:tr>
        <w:tc>
          <w:tcPr>
            <w:tcW w:type="dxa" w:w="2400"/>
            <w:tcBorders>
              <w:top w:val="single" w:color="B7BEC9" w:sz="2"/>
              <w:left w:val="single" w:color="B7BEC9" w:sz="2"/>
              <w:bottom w:val="single" w:color="B7BEC9" w:sz="2"/>
              <w:right w:val="single" w:color="B7BEC9" w:sz="2"/>
            </w:tcBorders>
            <w:shd w:fill="EAF1FB" w:val="clear"/>
            <w:tcMar>
              <w:top w:type="dxa" w:w="60"/>
              <w:left w:type="dxa" w:w="100"/>
              <w:bottom w:type="dxa" w:w="60"/>
              <w:right w:type="dxa" w:w="100"/>
            </w:tcMar>
            <w:vAlign w:val="center"/>
          </w:tcPr>
          <w:p>
            <w:r>
              <w:rPr>
                <w:b w:val="false"/>
                <w:bCs w:val="false"/>
                <w:sz w:val="19"/>
                <w:szCs w:val="19"/>
              </w:rPr>
              <w:t xml:space="preserve">city_tier</w:t>
            </w:r>
          </w:p>
        </w:tc>
        <w:tc>
          <w:tcPr>
            <w:tcW w:type="dxa" w:w="7400"/>
            <w:tcBorders>
              <w:top w:val="single" w:color="B7BEC9" w:sz="2"/>
              <w:left w:val="single" w:color="B7BEC9" w:sz="2"/>
              <w:bottom w:val="single" w:color="B7BEC9" w:sz="2"/>
              <w:right w:val="single" w:color="B7BEC9" w:sz="2"/>
            </w:tcBorders>
            <w:shd w:fill="EAF1FB" w:val="clear"/>
            <w:tcMar>
              <w:top w:type="dxa" w:w="60"/>
              <w:left w:type="dxa" w:w="100"/>
              <w:bottom w:type="dxa" w:w="60"/>
              <w:right w:type="dxa" w:w="100"/>
            </w:tcMar>
            <w:vAlign w:val="center"/>
          </w:tcPr>
          <w:p>
            <w:r>
              <w:rPr>
                <w:b w:val="false"/>
                <w:bCs w:val="false"/>
                <w:sz w:val="19"/>
                <w:szCs w:val="19"/>
              </w:rPr>
              <w:t xml:space="preserve">Metro / city classification tier used to explain volume differences between stores.</w:t>
            </w:r>
          </w:p>
        </w:tc>
      </w:tr>
      <w:tr>
        <w:tc>
          <w:tcPr>
            <w:tcW w:type="dxa" w:w="2400"/>
            <w:tcBorders>
              <w:top w:val="single" w:color="B7BEC9" w:sz="2"/>
              <w:left w:val="single" w:color="B7BEC9" w:sz="2"/>
              <w:bottom w:val="single" w:color="B7BEC9" w:sz="2"/>
              <w:right w:val="single" w:color="B7BEC9" w:sz="2"/>
            </w:tcBorders>
            <w:tcMar>
              <w:top w:type="dxa" w:w="60"/>
              <w:left w:type="dxa" w:w="100"/>
              <w:bottom w:type="dxa" w:w="60"/>
              <w:right w:type="dxa" w:w="100"/>
            </w:tcMar>
            <w:vAlign w:val="center"/>
          </w:tcPr>
          <w:p>
            <w:r>
              <w:rPr>
                <w:b w:val="false"/>
                <w:bCs w:val="false"/>
                <w:sz w:val="19"/>
                <w:szCs w:val="19"/>
              </w:rPr>
              <w:t xml:space="preserve">customer_density</w:t>
            </w:r>
          </w:p>
        </w:tc>
        <w:tc>
          <w:tcPr>
            <w:tcW w:type="dxa" w:w="7400"/>
            <w:tcBorders>
              <w:top w:val="single" w:color="B7BEC9" w:sz="2"/>
              <w:left w:val="single" w:color="B7BEC9" w:sz="2"/>
              <w:bottom w:val="single" w:color="B7BEC9" w:sz="2"/>
              <w:right w:val="single" w:color="B7BEC9" w:sz="2"/>
            </w:tcBorders>
            <w:tcMar>
              <w:top w:type="dxa" w:w="60"/>
              <w:left w:type="dxa" w:w="100"/>
              <w:bottom w:type="dxa" w:w="60"/>
              <w:right w:type="dxa" w:w="100"/>
            </w:tcMar>
            <w:vAlign w:val="center"/>
          </w:tcPr>
          <w:p>
            <w:r>
              <w:rPr>
                <w:b w:val="false"/>
                <w:bCs w:val="false"/>
                <w:sz w:val="19"/>
                <w:szCs w:val="19"/>
              </w:rPr>
              <w:t xml:space="preserve">Relative footfall/customer density score for the store's location.</w:t>
            </w:r>
          </w:p>
        </w:tc>
      </w:tr>
      <w:tr>
        <w:tc>
          <w:tcPr>
            <w:tcW w:type="dxa" w:w="2400"/>
            <w:tcBorders>
              <w:top w:val="single" w:color="B7BEC9" w:sz="2"/>
              <w:left w:val="single" w:color="B7BEC9" w:sz="2"/>
              <w:bottom w:val="single" w:color="B7BEC9" w:sz="2"/>
              <w:right w:val="single" w:color="B7BEC9" w:sz="2"/>
            </w:tcBorders>
            <w:shd w:fill="EAF1FB" w:val="clear"/>
            <w:tcMar>
              <w:top w:type="dxa" w:w="60"/>
              <w:left w:type="dxa" w:w="100"/>
              <w:bottom w:type="dxa" w:w="60"/>
              <w:right w:type="dxa" w:w="100"/>
            </w:tcMar>
            <w:vAlign w:val="center"/>
          </w:tcPr>
          <w:p>
            <w:r>
              <w:rPr>
                <w:b w:val="false"/>
                <w:bCs w:val="false"/>
                <w:sz w:val="19"/>
                <w:szCs w:val="19"/>
              </w:rPr>
              <w:t xml:space="preserve">average_income_index</w:t>
            </w:r>
          </w:p>
        </w:tc>
        <w:tc>
          <w:tcPr>
            <w:tcW w:type="dxa" w:w="7400"/>
            <w:tcBorders>
              <w:top w:val="single" w:color="B7BEC9" w:sz="2"/>
              <w:left w:val="single" w:color="B7BEC9" w:sz="2"/>
              <w:bottom w:val="single" w:color="B7BEC9" w:sz="2"/>
              <w:right w:val="single" w:color="B7BEC9" w:sz="2"/>
            </w:tcBorders>
            <w:shd w:fill="EAF1FB" w:val="clear"/>
            <w:tcMar>
              <w:top w:type="dxa" w:w="60"/>
              <w:left w:type="dxa" w:w="100"/>
              <w:bottom w:type="dxa" w:w="60"/>
              <w:right w:type="dxa" w:w="100"/>
            </w:tcMar>
            <w:vAlign w:val="center"/>
          </w:tcPr>
          <w:p>
            <w:r>
              <w:rPr>
                <w:b w:val="false"/>
                <w:bCs w:val="false"/>
                <w:sz w:val="19"/>
                <w:szCs w:val="19"/>
              </w:rPr>
              <w:t xml:space="preserve">Relative local income index used as a proxy for purchasing power.</w:t>
            </w:r>
          </w:p>
        </w:tc>
      </w:tr>
    </w:tbl>
    <w:p>
      <w:r>
        <w:br w:type="page"/>
      </w:r>
    </w:p>
    <w:p>
      <w:pPr>
        <w:pStyle w:val="Heading2"/>
        <w:spacing w:after="120" w:before="260"/>
      </w:pPr>
      <w:r>
        <w:rPr>
          <w:b/>
          <w:bCs/>
          <w:color w:val="2E5C8A"/>
          <w:sz w:val="24"/>
          <w:szCs w:val="24"/>
        </w:rPr>
        <w:t xml:space="preserve">6.3 Calendar / Marketing / External</w:t>
      </w:r>
    </w:p>
    <w:p>
      <w:pPr>
        <w:spacing w:after="160" w:line="276"/>
      </w:pPr>
      <w:r>
        <w:rPr>
          <w:sz w:val="21"/>
          <w:szCs w:val="21"/>
        </w:rPr>
        <w:t xml:space="preserve">Date-level context — holidays, promotions, weather, and economic indicators — used to explain and predict demand fluctuations.</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2400"/>
        <w:gridCol w:w="7400"/>
      </w:tblGrid>
      <w:tr>
        <w:trPr>
          <w:tblHeader/>
        </w:trPr>
        <w:tc>
          <w:tcPr>
            <w:tcW w:type="dxa" w:w="2400"/>
            <w:tcBorders>
              <w:top w:val="single" w:color="B7BEC9" w:sz="2"/>
              <w:left w:val="single" w:color="B7BEC9" w:sz="2"/>
              <w:bottom w:val="single" w:color="B7BEC9" w:sz="2"/>
              <w:right w:val="single" w:color="B7BEC9" w:sz="2"/>
            </w:tcBorders>
            <w:shd w:fill="1F3864" w:val="clear"/>
            <w:tcMar>
              <w:top w:type="dxa" w:w="80"/>
              <w:left w:type="dxa" w:w="100"/>
              <w:bottom w:type="dxa" w:w="80"/>
              <w:right w:type="dxa" w:w="100"/>
            </w:tcMar>
            <w:vAlign w:val="center"/>
          </w:tcPr>
          <w:p>
            <w:r>
              <w:rPr>
                <w:b/>
                <w:bCs/>
                <w:color w:val="FFFFFF"/>
                <w:sz w:val="19"/>
                <w:szCs w:val="19"/>
              </w:rPr>
              <w:t xml:space="preserve">Field</w:t>
            </w:r>
          </w:p>
        </w:tc>
        <w:tc>
          <w:tcPr>
            <w:tcW w:type="dxa" w:w="7400"/>
            <w:tcBorders>
              <w:top w:val="single" w:color="B7BEC9" w:sz="2"/>
              <w:left w:val="single" w:color="B7BEC9" w:sz="2"/>
              <w:bottom w:val="single" w:color="B7BEC9" w:sz="2"/>
              <w:right w:val="single" w:color="B7BEC9" w:sz="2"/>
            </w:tcBorders>
            <w:shd w:fill="1F3864" w:val="clear"/>
            <w:tcMar>
              <w:top w:type="dxa" w:w="80"/>
              <w:left w:type="dxa" w:w="100"/>
              <w:bottom w:type="dxa" w:w="80"/>
              <w:right w:type="dxa" w:w="100"/>
            </w:tcMar>
            <w:vAlign w:val="center"/>
          </w:tcPr>
          <w:p>
            <w:r>
              <w:rPr>
                <w:b/>
                <w:bCs/>
                <w:color w:val="FFFFFF"/>
                <w:sz w:val="19"/>
                <w:szCs w:val="19"/>
              </w:rPr>
              <w:t xml:space="preserve">Description</w:t>
            </w:r>
          </w:p>
        </w:tc>
      </w:tr>
      <w:tr>
        <w:tc>
          <w:tcPr>
            <w:tcW w:type="dxa" w:w="2400"/>
            <w:tcBorders>
              <w:top w:val="single" w:color="B7BEC9" w:sz="2"/>
              <w:left w:val="single" w:color="B7BEC9" w:sz="2"/>
              <w:bottom w:val="single" w:color="B7BEC9" w:sz="2"/>
              <w:right w:val="single" w:color="B7BEC9" w:sz="2"/>
            </w:tcBorders>
            <w:tcMar>
              <w:top w:type="dxa" w:w="60"/>
              <w:left w:type="dxa" w:w="100"/>
              <w:bottom w:type="dxa" w:w="60"/>
              <w:right w:type="dxa" w:w="100"/>
            </w:tcMar>
            <w:vAlign w:val="center"/>
          </w:tcPr>
          <w:p>
            <w:r>
              <w:rPr>
                <w:b w:val="false"/>
                <w:bCs w:val="false"/>
                <w:sz w:val="19"/>
                <w:szCs w:val="19"/>
              </w:rPr>
              <w:t xml:space="preserve">date</w:t>
            </w:r>
          </w:p>
        </w:tc>
        <w:tc>
          <w:tcPr>
            <w:tcW w:type="dxa" w:w="7400"/>
            <w:tcBorders>
              <w:top w:val="single" w:color="B7BEC9" w:sz="2"/>
              <w:left w:val="single" w:color="B7BEC9" w:sz="2"/>
              <w:bottom w:val="single" w:color="B7BEC9" w:sz="2"/>
              <w:right w:val="single" w:color="B7BEC9" w:sz="2"/>
            </w:tcBorders>
            <w:tcMar>
              <w:top w:type="dxa" w:w="60"/>
              <w:left w:type="dxa" w:w="100"/>
              <w:bottom w:type="dxa" w:w="60"/>
              <w:right w:type="dxa" w:w="100"/>
            </w:tcMar>
            <w:vAlign w:val="center"/>
          </w:tcPr>
          <w:p>
            <w:r>
              <w:rPr>
                <w:b w:val="false"/>
                <w:bCs w:val="false"/>
                <w:sz w:val="19"/>
                <w:szCs w:val="19"/>
              </w:rPr>
              <w:t xml:space="preserve">Calendar date (primary key for this dataset).</w:t>
            </w:r>
          </w:p>
        </w:tc>
      </w:tr>
      <w:tr>
        <w:tc>
          <w:tcPr>
            <w:tcW w:type="dxa" w:w="2400"/>
            <w:tcBorders>
              <w:top w:val="single" w:color="B7BEC9" w:sz="2"/>
              <w:left w:val="single" w:color="B7BEC9" w:sz="2"/>
              <w:bottom w:val="single" w:color="B7BEC9" w:sz="2"/>
              <w:right w:val="single" w:color="B7BEC9" w:sz="2"/>
            </w:tcBorders>
            <w:shd w:fill="EAF1FB" w:val="clear"/>
            <w:tcMar>
              <w:top w:type="dxa" w:w="60"/>
              <w:left w:type="dxa" w:w="100"/>
              <w:bottom w:type="dxa" w:w="60"/>
              <w:right w:type="dxa" w:w="100"/>
            </w:tcMar>
            <w:vAlign w:val="center"/>
          </w:tcPr>
          <w:p>
            <w:r>
              <w:rPr>
                <w:b w:val="false"/>
                <w:bCs w:val="false"/>
                <w:sz w:val="19"/>
                <w:szCs w:val="19"/>
              </w:rPr>
              <w:t xml:space="preserve">day_of_week / is_weekend</w:t>
            </w:r>
          </w:p>
        </w:tc>
        <w:tc>
          <w:tcPr>
            <w:tcW w:type="dxa" w:w="7400"/>
            <w:tcBorders>
              <w:top w:val="single" w:color="B7BEC9" w:sz="2"/>
              <w:left w:val="single" w:color="B7BEC9" w:sz="2"/>
              <w:bottom w:val="single" w:color="B7BEC9" w:sz="2"/>
              <w:right w:val="single" w:color="B7BEC9" w:sz="2"/>
            </w:tcBorders>
            <w:shd w:fill="EAF1FB" w:val="clear"/>
            <w:tcMar>
              <w:top w:type="dxa" w:w="60"/>
              <w:left w:type="dxa" w:w="100"/>
              <w:bottom w:type="dxa" w:w="60"/>
              <w:right w:type="dxa" w:w="100"/>
            </w:tcMar>
            <w:vAlign w:val="center"/>
          </w:tcPr>
          <w:p>
            <w:r>
              <w:rPr>
                <w:b w:val="false"/>
                <w:bCs w:val="false"/>
                <w:sz w:val="19"/>
                <w:szCs w:val="19"/>
              </w:rPr>
              <w:t xml:space="preserve">Calendar attributes used to capture weekly shopping patterns.</w:t>
            </w:r>
          </w:p>
        </w:tc>
      </w:tr>
      <w:tr>
        <w:tc>
          <w:tcPr>
            <w:tcW w:type="dxa" w:w="2400"/>
            <w:tcBorders>
              <w:top w:val="single" w:color="B7BEC9" w:sz="2"/>
              <w:left w:val="single" w:color="B7BEC9" w:sz="2"/>
              <w:bottom w:val="single" w:color="B7BEC9" w:sz="2"/>
              <w:right w:val="single" w:color="B7BEC9" w:sz="2"/>
            </w:tcBorders>
            <w:tcMar>
              <w:top w:type="dxa" w:w="60"/>
              <w:left w:type="dxa" w:w="100"/>
              <w:bottom w:type="dxa" w:w="60"/>
              <w:right w:type="dxa" w:w="100"/>
            </w:tcMar>
            <w:vAlign w:val="center"/>
          </w:tcPr>
          <w:p>
            <w:r>
              <w:rPr>
                <w:b w:val="false"/>
                <w:bCs w:val="false"/>
                <w:sz w:val="19"/>
                <w:szCs w:val="19"/>
              </w:rPr>
              <w:t xml:space="preserve">holiday_flag / holiday_name / holiday_type</w:t>
            </w:r>
          </w:p>
        </w:tc>
        <w:tc>
          <w:tcPr>
            <w:tcW w:type="dxa" w:w="7400"/>
            <w:tcBorders>
              <w:top w:val="single" w:color="B7BEC9" w:sz="2"/>
              <w:left w:val="single" w:color="B7BEC9" w:sz="2"/>
              <w:bottom w:val="single" w:color="B7BEC9" w:sz="2"/>
              <w:right w:val="single" w:color="B7BEC9" w:sz="2"/>
            </w:tcBorders>
            <w:tcMar>
              <w:top w:type="dxa" w:w="60"/>
              <w:left w:type="dxa" w:w="100"/>
              <w:bottom w:type="dxa" w:w="60"/>
              <w:right w:type="dxa" w:w="100"/>
            </w:tcMar>
            <w:vAlign w:val="center"/>
          </w:tcPr>
          <w:p>
            <w:r>
              <w:rPr>
                <w:b w:val="false"/>
                <w:bCs w:val="false"/>
                <w:sz w:val="19"/>
                <w:szCs w:val="19"/>
              </w:rPr>
              <w:t xml:space="preserve">Indicates national, religious, festival, or commercial holidays and their names.</w:t>
            </w:r>
          </w:p>
        </w:tc>
      </w:tr>
      <w:tr>
        <w:tc>
          <w:tcPr>
            <w:tcW w:type="dxa" w:w="2400"/>
            <w:tcBorders>
              <w:top w:val="single" w:color="B7BEC9" w:sz="2"/>
              <w:left w:val="single" w:color="B7BEC9" w:sz="2"/>
              <w:bottom w:val="single" w:color="B7BEC9" w:sz="2"/>
              <w:right w:val="single" w:color="B7BEC9" w:sz="2"/>
            </w:tcBorders>
            <w:shd w:fill="EAF1FB" w:val="clear"/>
            <w:tcMar>
              <w:top w:type="dxa" w:w="60"/>
              <w:left w:type="dxa" w:w="100"/>
              <w:bottom w:type="dxa" w:w="60"/>
              <w:right w:type="dxa" w:w="100"/>
            </w:tcMar>
            <w:vAlign w:val="center"/>
          </w:tcPr>
          <w:p>
            <w:r>
              <w:rPr>
                <w:b w:val="false"/>
                <w:bCs w:val="false"/>
                <w:sz w:val="19"/>
                <w:szCs w:val="19"/>
              </w:rPr>
              <w:t xml:space="preserve">promotion_event / campaign_type / campaign_intensity</w:t>
            </w:r>
          </w:p>
        </w:tc>
        <w:tc>
          <w:tcPr>
            <w:tcW w:type="dxa" w:w="7400"/>
            <w:tcBorders>
              <w:top w:val="single" w:color="B7BEC9" w:sz="2"/>
              <w:left w:val="single" w:color="B7BEC9" w:sz="2"/>
              <w:bottom w:val="single" w:color="B7BEC9" w:sz="2"/>
              <w:right w:val="single" w:color="B7BEC9" w:sz="2"/>
            </w:tcBorders>
            <w:shd w:fill="EAF1FB" w:val="clear"/>
            <w:tcMar>
              <w:top w:type="dxa" w:w="60"/>
              <w:left w:type="dxa" w:w="100"/>
              <w:bottom w:type="dxa" w:w="60"/>
              <w:right w:type="dxa" w:w="100"/>
            </w:tcMar>
            <w:vAlign w:val="center"/>
          </w:tcPr>
          <w:p>
            <w:r>
              <w:rPr>
                <w:b w:val="false"/>
                <w:bCs w:val="false"/>
                <w:sz w:val="19"/>
                <w:szCs w:val="19"/>
              </w:rPr>
              <w:t xml:space="preserve">Identifies active promotional/sale campaigns and their relative strength.</w:t>
            </w:r>
          </w:p>
        </w:tc>
      </w:tr>
      <w:tr>
        <w:tc>
          <w:tcPr>
            <w:tcW w:type="dxa" w:w="2400"/>
            <w:tcBorders>
              <w:top w:val="single" w:color="B7BEC9" w:sz="2"/>
              <w:left w:val="single" w:color="B7BEC9" w:sz="2"/>
              <w:bottom w:val="single" w:color="B7BEC9" w:sz="2"/>
              <w:right w:val="single" w:color="B7BEC9" w:sz="2"/>
            </w:tcBorders>
            <w:tcMar>
              <w:top w:type="dxa" w:w="60"/>
              <w:left w:type="dxa" w:w="100"/>
              <w:bottom w:type="dxa" w:w="60"/>
              <w:right w:type="dxa" w:w="100"/>
            </w:tcMar>
            <w:vAlign w:val="center"/>
          </w:tcPr>
          <w:p>
            <w:r>
              <w:rPr>
                <w:b w:val="false"/>
                <w:bCs w:val="false"/>
                <w:sz w:val="19"/>
                <w:szCs w:val="19"/>
              </w:rPr>
              <w:t xml:space="preserve">temperature_c / rainfall_mm</w:t>
            </w:r>
          </w:p>
        </w:tc>
        <w:tc>
          <w:tcPr>
            <w:tcW w:type="dxa" w:w="7400"/>
            <w:tcBorders>
              <w:top w:val="single" w:color="B7BEC9" w:sz="2"/>
              <w:left w:val="single" w:color="B7BEC9" w:sz="2"/>
              <w:bottom w:val="single" w:color="B7BEC9" w:sz="2"/>
              <w:right w:val="single" w:color="B7BEC9" w:sz="2"/>
            </w:tcBorders>
            <w:tcMar>
              <w:top w:type="dxa" w:w="60"/>
              <w:left w:type="dxa" w:w="100"/>
              <w:bottom w:type="dxa" w:w="60"/>
              <w:right w:type="dxa" w:w="100"/>
            </w:tcMar>
            <w:vAlign w:val="center"/>
          </w:tcPr>
          <w:p>
            <w:r>
              <w:rPr>
                <w:b w:val="false"/>
                <w:bCs w:val="false"/>
                <w:sz w:val="19"/>
                <w:szCs w:val="19"/>
              </w:rPr>
              <w:t xml:space="preserve">Daily weather indicators, relevant for weather-sensitive categories (e.g. appliances, apparel).</w:t>
            </w:r>
          </w:p>
        </w:tc>
      </w:tr>
      <w:tr>
        <w:tc>
          <w:tcPr>
            <w:tcW w:type="dxa" w:w="2400"/>
            <w:tcBorders>
              <w:top w:val="single" w:color="B7BEC9" w:sz="2"/>
              <w:left w:val="single" w:color="B7BEC9" w:sz="2"/>
              <w:bottom w:val="single" w:color="B7BEC9" w:sz="2"/>
              <w:right w:val="single" w:color="B7BEC9" w:sz="2"/>
            </w:tcBorders>
            <w:shd w:fill="EAF1FB" w:val="clear"/>
            <w:tcMar>
              <w:top w:type="dxa" w:w="60"/>
              <w:left w:type="dxa" w:w="100"/>
              <w:bottom w:type="dxa" w:w="60"/>
              <w:right w:type="dxa" w:w="100"/>
            </w:tcMar>
            <w:vAlign w:val="center"/>
          </w:tcPr>
          <w:p>
            <w:r>
              <w:rPr>
                <w:b w:val="false"/>
                <w:bCs w:val="false"/>
                <w:sz w:val="19"/>
                <w:szCs w:val="19"/>
              </w:rPr>
              <w:t xml:space="preserve">inflation_index / consumer_confidence_index / unemployment_rate / fuel_price_index</w:t>
            </w:r>
          </w:p>
        </w:tc>
        <w:tc>
          <w:tcPr>
            <w:tcW w:type="dxa" w:w="7400"/>
            <w:tcBorders>
              <w:top w:val="single" w:color="B7BEC9" w:sz="2"/>
              <w:left w:val="single" w:color="B7BEC9" w:sz="2"/>
              <w:bottom w:val="single" w:color="B7BEC9" w:sz="2"/>
              <w:right w:val="single" w:color="B7BEC9" w:sz="2"/>
            </w:tcBorders>
            <w:shd w:fill="EAF1FB" w:val="clear"/>
            <w:tcMar>
              <w:top w:type="dxa" w:w="60"/>
              <w:left w:type="dxa" w:w="100"/>
              <w:bottom w:type="dxa" w:w="60"/>
              <w:right w:type="dxa" w:w="100"/>
            </w:tcMar>
            <w:vAlign w:val="center"/>
          </w:tcPr>
          <w:p>
            <w:r>
              <w:rPr>
                <w:b w:val="false"/>
                <w:bCs w:val="false"/>
                <w:sz w:val="19"/>
                <w:szCs w:val="19"/>
              </w:rPr>
              <w:t xml:space="preserve">Macroeconomic indicators used as external demand signals.</w:t>
            </w:r>
          </w:p>
        </w:tc>
      </w:tr>
      <w:tr>
        <w:tc>
          <w:tcPr>
            <w:tcW w:type="dxa" w:w="2400"/>
            <w:tcBorders>
              <w:top w:val="single" w:color="B7BEC9" w:sz="2"/>
              <w:left w:val="single" w:color="B7BEC9" w:sz="2"/>
              <w:bottom w:val="single" w:color="B7BEC9" w:sz="2"/>
              <w:right w:val="single" w:color="B7BEC9" w:sz="2"/>
            </w:tcBorders>
            <w:tcMar>
              <w:top w:type="dxa" w:w="60"/>
              <w:left w:type="dxa" w:w="100"/>
              <w:bottom w:type="dxa" w:w="60"/>
              <w:right w:type="dxa" w:w="100"/>
            </w:tcMar>
            <w:vAlign w:val="center"/>
          </w:tcPr>
          <w:p>
            <w:r>
              <w:rPr>
                <w:b w:val="false"/>
                <w:bCs w:val="false"/>
                <w:sz w:val="19"/>
                <w:szCs w:val="19"/>
              </w:rPr>
              <w:t xml:space="preserve">digital_ad_spend / offline_ad_spend</w:t>
            </w:r>
          </w:p>
        </w:tc>
        <w:tc>
          <w:tcPr>
            <w:tcW w:type="dxa" w:w="7400"/>
            <w:tcBorders>
              <w:top w:val="single" w:color="B7BEC9" w:sz="2"/>
              <w:left w:val="single" w:color="B7BEC9" w:sz="2"/>
              <w:bottom w:val="single" w:color="B7BEC9" w:sz="2"/>
              <w:right w:val="single" w:color="B7BEC9" w:sz="2"/>
            </w:tcBorders>
            <w:tcMar>
              <w:top w:type="dxa" w:w="60"/>
              <w:left w:type="dxa" w:w="100"/>
              <w:bottom w:type="dxa" w:w="60"/>
              <w:right w:type="dxa" w:w="100"/>
            </w:tcMar>
            <w:vAlign w:val="center"/>
          </w:tcPr>
          <w:p>
            <w:r>
              <w:rPr>
                <w:b w:val="false"/>
                <w:bCs w:val="false"/>
                <w:sz w:val="19"/>
                <w:szCs w:val="19"/>
              </w:rPr>
              <w:t xml:space="preserve">Marketing spend associated with the date, used to relate marketing activity to demand.</w:t>
            </w:r>
          </w:p>
        </w:tc>
      </w:tr>
    </w:tbl>
    <w:p>
      <w:pPr>
        <w:spacing w:before="240"/>
      </w:pPr>
    </w:p>
    <w:p>
      <w:pPr>
        <w:pStyle w:val="Heading2"/>
        <w:spacing w:after="120" w:before="260"/>
      </w:pPr>
      <w:r>
        <w:rPr>
          <w:b/>
          <w:bCs/>
          <w:color w:val="2E5C8A"/>
          <w:sz w:val="24"/>
          <w:szCs w:val="24"/>
        </w:rPr>
        <w:t xml:space="preserve">6.4 Sales Transactions</w:t>
      </w:r>
    </w:p>
    <w:p>
      <w:pPr>
        <w:spacing w:after="160" w:line="276"/>
      </w:pPr>
      <w:r>
        <w:rPr>
          <w:sz w:val="21"/>
          <w:szCs w:val="21"/>
        </w:rPr>
        <w:t xml:space="preserve">The core transactional record of what was actually sold, and the primary source of the forecasting target (units_sold).</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2400"/>
        <w:gridCol w:w="7400"/>
      </w:tblGrid>
      <w:tr>
        <w:trPr>
          <w:tblHeader/>
        </w:trPr>
        <w:tc>
          <w:tcPr>
            <w:tcW w:type="dxa" w:w="2400"/>
            <w:tcBorders>
              <w:top w:val="single" w:color="B7BEC9" w:sz="2"/>
              <w:left w:val="single" w:color="B7BEC9" w:sz="2"/>
              <w:bottom w:val="single" w:color="B7BEC9" w:sz="2"/>
              <w:right w:val="single" w:color="B7BEC9" w:sz="2"/>
            </w:tcBorders>
            <w:shd w:fill="1F3864" w:val="clear"/>
            <w:tcMar>
              <w:top w:type="dxa" w:w="80"/>
              <w:left w:type="dxa" w:w="100"/>
              <w:bottom w:type="dxa" w:w="80"/>
              <w:right w:type="dxa" w:w="100"/>
            </w:tcMar>
            <w:vAlign w:val="center"/>
          </w:tcPr>
          <w:p>
            <w:r>
              <w:rPr>
                <w:b/>
                <w:bCs/>
                <w:color w:val="FFFFFF"/>
                <w:sz w:val="19"/>
                <w:szCs w:val="19"/>
              </w:rPr>
              <w:t xml:space="preserve">Field</w:t>
            </w:r>
          </w:p>
        </w:tc>
        <w:tc>
          <w:tcPr>
            <w:tcW w:type="dxa" w:w="7400"/>
            <w:tcBorders>
              <w:top w:val="single" w:color="B7BEC9" w:sz="2"/>
              <w:left w:val="single" w:color="B7BEC9" w:sz="2"/>
              <w:bottom w:val="single" w:color="B7BEC9" w:sz="2"/>
              <w:right w:val="single" w:color="B7BEC9" w:sz="2"/>
            </w:tcBorders>
            <w:shd w:fill="1F3864" w:val="clear"/>
            <w:tcMar>
              <w:top w:type="dxa" w:w="80"/>
              <w:left w:type="dxa" w:w="100"/>
              <w:bottom w:type="dxa" w:w="80"/>
              <w:right w:type="dxa" w:w="100"/>
            </w:tcMar>
            <w:vAlign w:val="center"/>
          </w:tcPr>
          <w:p>
            <w:r>
              <w:rPr>
                <w:b/>
                <w:bCs/>
                <w:color w:val="FFFFFF"/>
                <w:sz w:val="19"/>
                <w:szCs w:val="19"/>
              </w:rPr>
              <w:t xml:space="preserve">Description</w:t>
            </w:r>
          </w:p>
        </w:tc>
      </w:tr>
      <w:tr>
        <w:tc>
          <w:tcPr>
            <w:tcW w:type="dxa" w:w="2400"/>
            <w:tcBorders>
              <w:top w:val="single" w:color="B7BEC9" w:sz="2"/>
              <w:left w:val="single" w:color="B7BEC9" w:sz="2"/>
              <w:bottom w:val="single" w:color="B7BEC9" w:sz="2"/>
              <w:right w:val="single" w:color="B7BEC9" w:sz="2"/>
            </w:tcBorders>
            <w:tcMar>
              <w:top w:type="dxa" w:w="60"/>
              <w:left w:type="dxa" w:w="100"/>
              <w:bottom w:type="dxa" w:w="60"/>
              <w:right w:type="dxa" w:w="100"/>
            </w:tcMar>
            <w:vAlign w:val="center"/>
          </w:tcPr>
          <w:p>
            <w:r>
              <w:rPr>
                <w:b w:val="false"/>
                <w:bCs w:val="false"/>
                <w:sz w:val="19"/>
                <w:szCs w:val="19"/>
              </w:rPr>
              <w:t xml:space="preserve">transaction_id</w:t>
            </w:r>
          </w:p>
        </w:tc>
        <w:tc>
          <w:tcPr>
            <w:tcW w:type="dxa" w:w="7400"/>
            <w:tcBorders>
              <w:top w:val="single" w:color="B7BEC9" w:sz="2"/>
              <w:left w:val="single" w:color="B7BEC9" w:sz="2"/>
              <w:bottom w:val="single" w:color="B7BEC9" w:sz="2"/>
              <w:right w:val="single" w:color="B7BEC9" w:sz="2"/>
            </w:tcBorders>
            <w:tcMar>
              <w:top w:type="dxa" w:w="60"/>
              <w:left w:type="dxa" w:w="100"/>
              <w:bottom w:type="dxa" w:w="60"/>
              <w:right w:type="dxa" w:w="100"/>
            </w:tcMar>
            <w:vAlign w:val="center"/>
          </w:tcPr>
          <w:p>
            <w:r>
              <w:rPr>
                <w:b w:val="false"/>
                <w:bCs w:val="false"/>
                <w:sz w:val="19"/>
                <w:szCs w:val="19"/>
              </w:rPr>
              <w:t xml:space="preserve">Unique identifier for each sales record (primary key).</w:t>
            </w:r>
          </w:p>
        </w:tc>
      </w:tr>
      <w:tr>
        <w:tc>
          <w:tcPr>
            <w:tcW w:type="dxa" w:w="2400"/>
            <w:tcBorders>
              <w:top w:val="single" w:color="B7BEC9" w:sz="2"/>
              <w:left w:val="single" w:color="B7BEC9" w:sz="2"/>
              <w:bottom w:val="single" w:color="B7BEC9" w:sz="2"/>
              <w:right w:val="single" w:color="B7BEC9" w:sz="2"/>
            </w:tcBorders>
            <w:shd w:fill="EAF1FB" w:val="clear"/>
            <w:tcMar>
              <w:top w:type="dxa" w:w="60"/>
              <w:left w:type="dxa" w:w="100"/>
              <w:bottom w:type="dxa" w:w="60"/>
              <w:right w:type="dxa" w:w="100"/>
            </w:tcMar>
            <w:vAlign w:val="center"/>
          </w:tcPr>
          <w:p>
            <w:r>
              <w:rPr>
                <w:b w:val="false"/>
                <w:bCs w:val="false"/>
                <w:sz w:val="19"/>
                <w:szCs w:val="19"/>
              </w:rPr>
              <w:t xml:space="preserve">date / product_id / store_id</w:t>
            </w:r>
          </w:p>
        </w:tc>
        <w:tc>
          <w:tcPr>
            <w:tcW w:type="dxa" w:w="7400"/>
            <w:tcBorders>
              <w:top w:val="single" w:color="B7BEC9" w:sz="2"/>
              <w:left w:val="single" w:color="B7BEC9" w:sz="2"/>
              <w:bottom w:val="single" w:color="B7BEC9" w:sz="2"/>
              <w:right w:val="single" w:color="B7BEC9" w:sz="2"/>
            </w:tcBorders>
            <w:shd w:fill="EAF1FB" w:val="clear"/>
            <w:tcMar>
              <w:top w:type="dxa" w:w="60"/>
              <w:left w:type="dxa" w:w="100"/>
              <w:bottom w:type="dxa" w:w="60"/>
              <w:right w:type="dxa" w:w="100"/>
            </w:tcMar>
            <w:vAlign w:val="center"/>
          </w:tcPr>
          <w:p>
            <w:r>
              <w:rPr>
                <w:b w:val="false"/>
                <w:bCs w:val="false"/>
                <w:sz w:val="19"/>
                <w:szCs w:val="19"/>
              </w:rPr>
              <w:t xml:space="preserve">Identifies when, what, and where a sale occurred (links to the Calendar, Products, and Stores data).</w:t>
            </w:r>
          </w:p>
        </w:tc>
      </w:tr>
      <w:tr>
        <w:tc>
          <w:tcPr>
            <w:tcW w:type="dxa" w:w="2400"/>
            <w:tcBorders>
              <w:top w:val="single" w:color="B7BEC9" w:sz="2"/>
              <w:left w:val="single" w:color="B7BEC9" w:sz="2"/>
              <w:bottom w:val="single" w:color="B7BEC9" w:sz="2"/>
              <w:right w:val="single" w:color="B7BEC9" w:sz="2"/>
            </w:tcBorders>
            <w:tcMar>
              <w:top w:type="dxa" w:w="60"/>
              <w:left w:type="dxa" w:w="100"/>
              <w:bottom w:type="dxa" w:w="60"/>
              <w:right w:type="dxa" w:w="100"/>
            </w:tcMar>
            <w:vAlign w:val="center"/>
          </w:tcPr>
          <w:p>
            <w:r>
              <w:rPr>
                <w:b w:val="false"/>
                <w:bCs w:val="false"/>
                <w:sz w:val="19"/>
                <w:szCs w:val="19"/>
              </w:rPr>
              <w:t xml:space="preserve">channel_id</w:t>
            </w:r>
          </w:p>
        </w:tc>
        <w:tc>
          <w:tcPr>
            <w:tcW w:type="dxa" w:w="7400"/>
            <w:tcBorders>
              <w:top w:val="single" w:color="B7BEC9" w:sz="2"/>
              <w:left w:val="single" w:color="B7BEC9" w:sz="2"/>
              <w:bottom w:val="single" w:color="B7BEC9" w:sz="2"/>
              <w:right w:val="single" w:color="B7BEC9" w:sz="2"/>
            </w:tcBorders>
            <w:tcMar>
              <w:top w:type="dxa" w:w="60"/>
              <w:left w:type="dxa" w:w="100"/>
              <w:bottom w:type="dxa" w:w="60"/>
              <w:right w:type="dxa" w:w="100"/>
            </w:tcMar>
            <w:vAlign w:val="center"/>
          </w:tcPr>
          <w:p>
            <w:r>
              <w:rPr>
                <w:b w:val="false"/>
                <w:bCs w:val="false"/>
                <w:sz w:val="19"/>
                <w:szCs w:val="19"/>
              </w:rPr>
              <w:t xml:space="preserve">Sales channel: Online, Physical Store, Mobile App, or Marketplace.</w:t>
            </w:r>
          </w:p>
        </w:tc>
      </w:tr>
      <w:tr>
        <w:tc>
          <w:tcPr>
            <w:tcW w:type="dxa" w:w="2400"/>
            <w:tcBorders>
              <w:top w:val="single" w:color="B7BEC9" w:sz="2"/>
              <w:left w:val="single" w:color="B7BEC9" w:sz="2"/>
              <w:bottom w:val="single" w:color="B7BEC9" w:sz="2"/>
              <w:right w:val="single" w:color="B7BEC9" w:sz="2"/>
            </w:tcBorders>
            <w:shd w:fill="EAF1FB" w:val="clear"/>
            <w:tcMar>
              <w:top w:type="dxa" w:w="60"/>
              <w:left w:type="dxa" w:w="100"/>
              <w:bottom w:type="dxa" w:w="60"/>
              <w:right w:type="dxa" w:w="100"/>
            </w:tcMar>
            <w:vAlign w:val="center"/>
          </w:tcPr>
          <w:p>
            <w:r>
              <w:rPr>
                <w:b w:val="false"/>
                <w:bCs w:val="false"/>
                <w:sz w:val="19"/>
                <w:szCs w:val="19"/>
              </w:rPr>
              <w:t xml:space="preserve">units_sold</w:t>
            </w:r>
          </w:p>
        </w:tc>
        <w:tc>
          <w:tcPr>
            <w:tcW w:type="dxa" w:w="7400"/>
            <w:tcBorders>
              <w:top w:val="single" w:color="B7BEC9" w:sz="2"/>
              <w:left w:val="single" w:color="B7BEC9" w:sz="2"/>
              <w:bottom w:val="single" w:color="B7BEC9" w:sz="2"/>
              <w:right w:val="single" w:color="B7BEC9" w:sz="2"/>
            </w:tcBorders>
            <w:shd w:fill="EAF1FB" w:val="clear"/>
            <w:tcMar>
              <w:top w:type="dxa" w:w="60"/>
              <w:left w:type="dxa" w:w="100"/>
              <w:bottom w:type="dxa" w:w="60"/>
              <w:right w:type="dxa" w:w="100"/>
            </w:tcMar>
            <w:vAlign w:val="center"/>
          </w:tcPr>
          <w:p>
            <w:r>
              <w:rPr>
                <w:b w:val="false"/>
                <w:bCs w:val="false"/>
                <w:sz w:val="19"/>
                <w:szCs w:val="19"/>
              </w:rPr>
              <w:t xml:space="preserve">Number of units sold — the primary quantity being forecast.</w:t>
            </w:r>
          </w:p>
        </w:tc>
      </w:tr>
      <w:tr>
        <w:tc>
          <w:tcPr>
            <w:tcW w:type="dxa" w:w="2400"/>
            <w:tcBorders>
              <w:top w:val="single" w:color="B7BEC9" w:sz="2"/>
              <w:left w:val="single" w:color="B7BEC9" w:sz="2"/>
              <w:bottom w:val="single" w:color="B7BEC9" w:sz="2"/>
              <w:right w:val="single" w:color="B7BEC9" w:sz="2"/>
            </w:tcBorders>
            <w:tcMar>
              <w:top w:type="dxa" w:w="60"/>
              <w:left w:type="dxa" w:w="100"/>
              <w:bottom w:type="dxa" w:w="60"/>
              <w:right w:type="dxa" w:w="100"/>
            </w:tcMar>
            <w:vAlign w:val="center"/>
          </w:tcPr>
          <w:p>
            <w:r>
              <w:rPr>
                <w:b w:val="false"/>
                <w:bCs w:val="false"/>
                <w:sz w:val="19"/>
                <w:szCs w:val="19"/>
              </w:rPr>
              <w:t xml:space="preserve">unit_price / discount_percentage</w:t>
            </w:r>
          </w:p>
        </w:tc>
        <w:tc>
          <w:tcPr>
            <w:tcW w:type="dxa" w:w="7400"/>
            <w:tcBorders>
              <w:top w:val="single" w:color="B7BEC9" w:sz="2"/>
              <w:left w:val="single" w:color="B7BEC9" w:sz="2"/>
              <w:bottom w:val="single" w:color="B7BEC9" w:sz="2"/>
              <w:right w:val="single" w:color="B7BEC9" w:sz="2"/>
            </w:tcBorders>
            <w:tcMar>
              <w:top w:type="dxa" w:w="60"/>
              <w:left w:type="dxa" w:w="100"/>
              <w:bottom w:type="dxa" w:w="60"/>
              <w:right w:type="dxa" w:w="100"/>
            </w:tcMar>
            <w:vAlign w:val="center"/>
          </w:tcPr>
          <w:p>
            <w:r>
              <w:rPr>
                <w:b w:val="false"/>
                <w:bCs w:val="false"/>
                <w:sz w:val="19"/>
                <w:szCs w:val="19"/>
              </w:rPr>
              <w:t xml:space="preserve">Actual selling price and any discount applied.</w:t>
            </w:r>
          </w:p>
        </w:tc>
      </w:tr>
      <w:tr>
        <w:tc>
          <w:tcPr>
            <w:tcW w:type="dxa" w:w="2400"/>
            <w:tcBorders>
              <w:top w:val="single" w:color="B7BEC9" w:sz="2"/>
              <w:left w:val="single" w:color="B7BEC9" w:sz="2"/>
              <w:bottom w:val="single" w:color="B7BEC9" w:sz="2"/>
              <w:right w:val="single" w:color="B7BEC9" w:sz="2"/>
            </w:tcBorders>
            <w:shd w:fill="EAF1FB" w:val="clear"/>
            <w:tcMar>
              <w:top w:type="dxa" w:w="60"/>
              <w:left w:type="dxa" w:w="100"/>
              <w:bottom w:type="dxa" w:w="60"/>
              <w:right w:type="dxa" w:w="100"/>
            </w:tcMar>
            <w:vAlign w:val="center"/>
          </w:tcPr>
          <w:p>
            <w:r>
              <w:rPr>
                <w:b w:val="false"/>
                <w:bCs w:val="false"/>
                <w:sz w:val="19"/>
                <w:szCs w:val="19"/>
              </w:rPr>
              <w:t xml:space="preserve">gross_sales / discount_amount / net_sales</w:t>
            </w:r>
          </w:p>
        </w:tc>
        <w:tc>
          <w:tcPr>
            <w:tcW w:type="dxa" w:w="7400"/>
            <w:tcBorders>
              <w:top w:val="single" w:color="B7BEC9" w:sz="2"/>
              <w:left w:val="single" w:color="B7BEC9" w:sz="2"/>
              <w:bottom w:val="single" w:color="B7BEC9" w:sz="2"/>
              <w:right w:val="single" w:color="B7BEC9" w:sz="2"/>
            </w:tcBorders>
            <w:shd w:fill="EAF1FB" w:val="clear"/>
            <w:tcMar>
              <w:top w:type="dxa" w:w="60"/>
              <w:left w:type="dxa" w:w="100"/>
              <w:bottom w:type="dxa" w:w="60"/>
              <w:right w:type="dxa" w:w="100"/>
            </w:tcMar>
            <w:vAlign w:val="center"/>
          </w:tcPr>
          <w:p>
            <w:r>
              <w:rPr>
                <w:b w:val="false"/>
                <w:bCs w:val="false"/>
                <w:sz w:val="19"/>
                <w:szCs w:val="19"/>
              </w:rPr>
              <w:t xml:space="preserve">Revenue figures before and after discounting.</w:t>
            </w:r>
          </w:p>
        </w:tc>
      </w:tr>
      <w:tr>
        <w:tc>
          <w:tcPr>
            <w:tcW w:type="dxa" w:w="2400"/>
            <w:tcBorders>
              <w:top w:val="single" w:color="B7BEC9" w:sz="2"/>
              <w:left w:val="single" w:color="B7BEC9" w:sz="2"/>
              <w:bottom w:val="single" w:color="B7BEC9" w:sz="2"/>
              <w:right w:val="single" w:color="B7BEC9" w:sz="2"/>
            </w:tcBorders>
            <w:tcMar>
              <w:top w:type="dxa" w:w="60"/>
              <w:left w:type="dxa" w:w="100"/>
              <w:bottom w:type="dxa" w:w="60"/>
              <w:right w:type="dxa" w:w="100"/>
            </w:tcMar>
            <w:vAlign w:val="center"/>
          </w:tcPr>
          <w:p>
            <w:r>
              <w:rPr>
                <w:b w:val="false"/>
                <w:bCs w:val="false"/>
                <w:sz w:val="19"/>
                <w:szCs w:val="19"/>
              </w:rPr>
              <w:t xml:space="preserve">promotion_id</w:t>
            </w:r>
          </w:p>
        </w:tc>
        <w:tc>
          <w:tcPr>
            <w:tcW w:type="dxa" w:w="7400"/>
            <w:tcBorders>
              <w:top w:val="single" w:color="B7BEC9" w:sz="2"/>
              <w:left w:val="single" w:color="B7BEC9" w:sz="2"/>
              <w:bottom w:val="single" w:color="B7BEC9" w:sz="2"/>
              <w:right w:val="single" w:color="B7BEC9" w:sz="2"/>
            </w:tcBorders>
            <w:tcMar>
              <w:top w:type="dxa" w:w="60"/>
              <w:left w:type="dxa" w:w="100"/>
              <w:bottom w:type="dxa" w:w="60"/>
              <w:right w:type="dxa" w:w="100"/>
            </w:tcMar>
            <w:vAlign w:val="center"/>
          </w:tcPr>
          <w:p>
            <w:r>
              <w:rPr>
                <w:b w:val="false"/>
                <w:bCs w:val="false"/>
                <w:sz w:val="19"/>
                <w:szCs w:val="19"/>
              </w:rPr>
              <w:t xml:space="preserve">Identifies the specific promotion active on the transaction, if any.</w:t>
            </w:r>
          </w:p>
        </w:tc>
      </w:tr>
      <w:tr>
        <w:tc>
          <w:tcPr>
            <w:tcW w:type="dxa" w:w="2400"/>
            <w:tcBorders>
              <w:top w:val="single" w:color="B7BEC9" w:sz="2"/>
              <w:left w:val="single" w:color="B7BEC9" w:sz="2"/>
              <w:bottom w:val="single" w:color="B7BEC9" w:sz="2"/>
              <w:right w:val="single" w:color="B7BEC9" w:sz="2"/>
            </w:tcBorders>
            <w:shd w:fill="EAF1FB" w:val="clear"/>
            <w:tcMar>
              <w:top w:type="dxa" w:w="60"/>
              <w:left w:type="dxa" w:w="100"/>
              <w:bottom w:type="dxa" w:w="60"/>
              <w:right w:type="dxa" w:w="100"/>
            </w:tcMar>
            <w:vAlign w:val="center"/>
          </w:tcPr>
          <w:p>
            <w:r>
              <w:rPr>
                <w:b w:val="false"/>
                <w:bCs w:val="false"/>
                <w:sz w:val="19"/>
                <w:szCs w:val="19"/>
              </w:rPr>
              <w:t xml:space="preserve">inventory_available / stockout_flag</w:t>
            </w:r>
          </w:p>
        </w:tc>
        <w:tc>
          <w:tcPr>
            <w:tcW w:type="dxa" w:w="7400"/>
            <w:tcBorders>
              <w:top w:val="single" w:color="B7BEC9" w:sz="2"/>
              <w:left w:val="single" w:color="B7BEC9" w:sz="2"/>
              <w:bottom w:val="single" w:color="B7BEC9" w:sz="2"/>
              <w:right w:val="single" w:color="B7BEC9" w:sz="2"/>
            </w:tcBorders>
            <w:shd w:fill="EAF1FB" w:val="clear"/>
            <w:tcMar>
              <w:top w:type="dxa" w:w="60"/>
              <w:left w:type="dxa" w:w="100"/>
              <w:bottom w:type="dxa" w:w="60"/>
              <w:right w:type="dxa" w:w="100"/>
            </w:tcMar>
            <w:vAlign w:val="center"/>
          </w:tcPr>
          <w:p>
            <w:r>
              <w:rPr>
                <w:b w:val="false"/>
                <w:bCs w:val="false"/>
                <w:sz w:val="19"/>
                <w:szCs w:val="19"/>
              </w:rPr>
              <w:t xml:space="preserve">Stock on hand and whether demand exceeded available inventory that day — used to distinguish "low sales" from "unmet demand".</w:t>
            </w:r>
          </w:p>
        </w:tc>
      </w:tr>
      <w:tr>
        <w:tc>
          <w:tcPr>
            <w:tcW w:type="dxa" w:w="2400"/>
            <w:tcBorders>
              <w:top w:val="single" w:color="B7BEC9" w:sz="2"/>
              <w:left w:val="single" w:color="B7BEC9" w:sz="2"/>
              <w:bottom w:val="single" w:color="B7BEC9" w:sz="2"/>
              <w:right w:val="single" w:color="B7BEC9" w:sz="2"/>
            </w:tcBorders>
            <w:tcMar>
              <w:top w:type="dxa" w:w="60"/>
              <w:left w:type="dxa" w:w="100"/>
              <w:bottom w:type="dxa" w:w="60"/>
              <w:right w:type="dxa" w:w="100"/>
            </w:tcMar>
            <w:vAlign w:val="center"/>
          </w:tcPr>
          <w:p>
            <w:r>
              <w:rPr>
                <w:b w:val="false"/>
                <w:bCs w:val="false"/>
                <w:sz w:val="19"/>
                <w:szCs w:val="19"/>
              </w:rPr>
              <w:t xml:space="preserve">return_units / return_amount</w:t>
            </w:r>
          </w:p>
        </w:tc>
        <w:tc>
          <w:tcPr>
            <w:tcW w:type="dxa" w:w="7400"/>
            <w:tcBorders>
              <w:top w:val="single" w:color="B7BEC9" w:sz="2"/>
              <w:left w:val="single" w:color="B7BEC9" w:sz="2"/>
              <w:bottom w:val="single" w:color="B7BEC9" w:sz="2"/>
              <w:right w:val="single" w:color="B7BEC9" w:sz="2"/>
            </w:tcBorders>
            <w:tcMar>
              <w:top w:type="dxa" w:w="60"/>
              <w:left w:type="dxa" w:w="100"/>
              <w:bottom w:type="dxa" w:w="60"/>
              <w:right w:type="dxa" w:w="100"/>
            </w:tcMar>
            <w:vAlign w:val="center"/>
          </w:tcPr>
          <w:p>
            <w:r>
              <w:rPr>
                <w:b w:val="false"/>
                <w:bCs w:val="false"/>
                <w:sz w:val="19"/>
                <w:szCs w:val="19"/>
              </w:rPr>
              <w:t xml:space="preserve">Units and value returned, used for data quality and margin analysis.</w:t>
            </w:r>
          </w:p>
        </w:tc>
      </w:tr>
    </w:tbl>
    <w:p>
      <w:pPr>
        <w:spacing w:before="240"/>
      </w:pPr>
    </w:p>
    <w:p>
      <w:pPr>
        <w:pStyle w:val="Heading2"/>
        <w:spacing w:after="120" w:before="260"/>
      </w:pPr>
      <w:r>
        <w:rPr>
          <w:b/>
          <w:bCs/>
          <w:color w:val="2E5C8A"/>
          <w:sz w:val="24"/>
          <w:szCs w:val="24"/>
        </w:rPr>
        <w:t xml:space="preserve">6.5 Data Relationships</w:t>
      </w:r>
    </w:p>
    <w:p>
      <w:pPr>
        <w:spacing w:after="160" w:line="276"/>
      </w:pPr>
      <w:r>
        <w:rPr>
          <w:sz w:val="21"/>
          <w:szCs w:val="21"/>
        </w:rPr>
        <w:t xml:space="preserve">Sales Transactions is the central fact dataset. Each transaction links to exactly one product (via product_id), one store (via store_id), and one calendar date (via date) — a standard one-to-many relationship from each reference dataset into the transactional data.</w:t>
      </w:r>
    </w:p>
    <w:p>
      <w:pPr>
        <w:pStyle w:val="Heading1"/>
        <w:spacing w:after="160" w:before="360"/>
      </w:pPr>
      <w:r>
        <w:rPr>
          <w:b/>
          <w:bCs/>
          <w:color w:val="1F3864"/>
          <w:sz w:val="28"/>
          <w:szCs w:val="28"/>
        </w:rPr>
        <w:t xml:space="preserve">7. Functional Requirements</w:t>
      </w:r>
    </w:p>
    <w:p>
      <w:pPr>
        <w:spacing w:after="160" w:line="276"/>
      </w:pPr>
      <w:r>
        <w:rPr>
          <w:sz w:val="21"/>
          <w:szCs w:val="21"/>
        </w:rPr>
        <w:t xml:space="preserve">The platform is delivered through two screens, described below as user stories with supporting acceptance criteria.</w:t>
      </w:r>
    </w:p>
    <w:p>
      <w:pPr>
        <w:pStyle w:val="Heading2"/>
        <w:spacing w:after="120" w:before="260"/>
      </w:pPr>
      <w:r>
        <w:rPr>
          <w:b/>
          <w:bCs/>
          <w:color w:val="2E5C8A"/>
          <w:sz w:val="24"/>
          <w:szCs w:val="24"/>
        </w:rPr>
        <w:t xml:space="preserve">7.1 Screen 1 — Forecast Dashboard</w:t>
      </w:r>
    </w:p>
    <w:p>
      <w:pPr>
        <w:spacing w:after="160" w:line="276"/>
      </w:pPr>
      <w:r>
        <w:rPr>
          <w:sz w:val="21"/>
          <w:szCs w:val="21"/>
        </w:rPr>
        <w:t xml:space="preserve">Allows a planner to select a product category and store and review historical performance alongside the model's forecast.</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1500"/>
        <w:gridCol w:w="8300"/>
      </w:tblGrid>
      <w:tr>
        <w:trPr>
          <w:tblHeader/>
        </w:trPr>
        <w:tc>
          <w:tcPr>
            <w:tcW w:type="dxa" w:w="1500"/>
            <w:tcBorders>
              <w:top w:val="single" w:color="B7BEC9" w:sz="2"/>
              <w:left w:val="single" w:color="B7BEC9" w:sz="2"/>
              <w:bottom w:val="single" w:color="B7BEC9" w:sz="2"/>
              <w:right w:val="single" w:color="B7BEC9" w:sz="2"/>
            </w:tcBorders>
            <w:shd w:fill="1F3864" w:val="clear"/>
            <w:tcMar>
              <w:top w:type="dxa" w:w="80"/>
              <w:left w:type="dxa" w:w="100"/>
              <w:bottom w:type="dxa" w:w="80"/>
              <w:right w:type="dxa" w:w="100"/>
            </w:tcMar>
            <w:vAlign w:val="center"/>
          </w:tcPr>
          <w:p>
            <w:r>
              <w:rPr>
                <w:b/>
                <w:bCs/>
                <w:color w:val="FFFFFF"/>
                <w:sz w:val="19"/>
                <w:szCs w:val="19"/>
              </w:rPr>
              <w:t xml:space="preserve">ID</w:t>
            </w:r>
          </w:p>
        </w:tc>
        <w:tc>
          <w:tcPr>
            <w:tcW w:type="dxa" w:w="8300"/>
            <w:tcBorders>
              <w:top w:val="single" w:color="B7BEC9" w:sz="2"/>
              <w:left w:val="single" w:color="B7BEC9" w:sz="2"/>
              <w:bottom w:val="single" w:color="B7BEC9" w:sz="2"/>
              <w:right w:val="single" w:color="B7BEC9" w:sz="2"/>
            </w:tcBorders>
            <w:shd w:fill="1F3864" w:val="clear"/>
            <w:tcMar>
              <w:top w:type="dxa" w:w="80"/>
              <w:left w:type="dxa" w:w="100"/>
              <w:bottom w:type="dxa" w:w="80"/>
              <w:right w:type="dxa" w:w="100"/>
            </w:tcMar>
            <w:vAlign w:val="center"/>
          </w:tcPr>
          <w:p>
            <w:r>
              <w:rPr>
                <w:b/>
                <w:bCs/>
                <w:color w:val="FFFFFF"/>
                <w:sz w:val="19"/>
                <w:szCs w:val="19"/>
              </w:rPr>
              <w:t xml:space="preserve">Requirement</w:t>
            </w:r>
          </w:p>
        </w:tc>
      </w:tr>
      <w:tr>
        <w:tc>
          <w:tcPr>
            <w:tcW w:type="dxa" w:w="1500"/>
            <w:tcBorders>
              <w:top w:val="single" w:color="B7BEC9" w:sz="2"/>
              <w:left w:val="single" w:color="B7BEC9" w:sz="2"/>
              <w:bottom w:val="single" w:color="B7BEC9" w:sz="2"/>
              <w:right w:val="single" w:color="B7BEC9" w:sz="2"/>
            </w:tcBorders>
            <w:tcMar>
              <w:top w:type="dxa" w:w="60"/>
              <w:left w:type="dxa" w:w="100"/>
              <w:bottom w:type="dxa" w:w="60"/>
              <w:right w:type="dxa" w:w="100"/>
            </w:tcMar>
            <w:vAlign w:val="center"/>
          </w:tcPr>
          <w:p>
            <w:r>
              <w:rPr>
                <w:b w:val="false"/>
                <w:bCs w:val="false"/>
                <w:sz w:val="19"/>
                <w:szCs w:val="19"/>
              </w:rPr>
              <w:t xml:space="preserve">FR-1.1</w:t>
            </w:r>
          </w:p>
        </w:tc>
        <w:tc>
          <w:tcPr>
            <w:tcW w:type="dxa" w:w="8300"/>
            <w:tcBorders>
              <w:top w:val="single" w:color="B7BEC9" w:sz="2"/>
              <w:left w:val="single" w:color="B7BEC9" w:sz="2"/>
              <w:bottom w:val="single" w:color="B7BEC9" w:sz="2"/>
              <w:right w:val="single" w:color="B7BEC9" w:sz="2"/>
            </w:tcBorders>
            <w:tcMar>
              <w:top w:type="dxa" w:w="60"/>
              <w:left w:type="dxa" w:w="100"/>
              <w:bottom w:type="dxa" w:w="60"/>
              <w:right w:type="dxa" w:w="100"/>
            </w:tcMar>
            <w:vAlign w:val="center"/>
          </w:tcPr>
          <w:p>
            <w:r>
              <w:rPr>
                <w:b w:val="false"/>
                <w:bCs w:val="false"/>
                <w:sz w:val="19"/>
                <w:szCs w:val="19"/>
              </w:rPr>
              <w:t xml:space="preserve">The user shall be able to select a product category and a store from dropdown lists populated from the current product and store master data.</w:t>
            </w:r>
          </w:p>
        </w:tc>
      </w:tr>
      <w:tr>
        <w:tc>
          <w:tcPr>
            <w:tcW w:type="dxa" w:w="1500"/>
            <w:tcBorders>
              <w:top w:val="single" w:color="B7BEC9" w:sz="2"/>
              <w:left w:val="single" w:color="B7BEC9" w:sz="2"/>
              <w:bottom w:val="single" w:color="B7BEC9" w:sz="2"/>
              <w:right w:val="single" w:color="B7BEC9" w:sz="2"/>
            </w:tcBorders>
            <w:shd w:fill="EAF1FB" w:val="clear"/>
            <w:tcMar>
              <w:top w:type="dxa" w:w="60"/>
              <w:left w:type="dxa" w:w="100"/>
              <w:bottom w:type="dxa" w:w="60"/>
              <w:right w:type="dxa" w:w="100"/>
            </w:tcMar>
            <w:vAlign w:val="center"/>
          </w:tcPr>
          <w:p>
            <w:r>
              <w:rPr>
                <w:b w:val="false"/>
                <w:bCs w:val="false"/>
                <w:sz w:val="19"/>
                <w:szCs w:val="19"/>
              </w:rPr>
              <w:t xml:space="preserve">FR-1.2</w:t>
            </w:r>
          </w:p>
        </w:tc>
        <w:tc>
          <w:tcPr>
            <w:tcW w:type="dxa" w:w="8300"/>
            <w:tcBorders>
              <w:top w:val="single" w:color="B7BEC9" w:sz="2"/>
              <w:left w:val="single" w:color="B7BEC9" w:sz="2"/>
              <w:bottom w:val="single" w:color="B7BEC9" w:sz="2"/>
              <w:right w:val="single" w:color="B7BEC9" w:sz="2"/>
            </w:tcBorders>
            <w:shd w:fill="EAF1FB" w:val="clear"/>
            <w:tcMar>
              <w:top w:type="dxa" w:w="60"/>
              <w:left w:type="dxa" w:w="100"/>
              <w:bottom w:type="dxa" w:w="60"/>
              <w:right w:type="dxa" w:w="100"/>
            </w:tcMar>
            <w:vAlign w:val="center"/>
          </w:tcPr>
          <w:p>
            <w:r>
              <w:rPr>
                <w:b w:val="false"/>
                <w:bCs w:val="false"/>
                <w:sz w:val="19"/>
                <w:szCs w:val="19"/>
              </w:rPr>
              <w:t xml:space="preserve">Upon selection, the system shall display a chart showing recent historical actual sales and the 30-day-ahead forecast on a single, continuous timeline, with a clear visual break between actuals and forecast.</w:t>
            </w:r>
          </w:p>
        </w:tc>
      </w:tr>
      <w:tr>
        <w:tc>
          <w:tcPr>
            <w:tcW w:type="dxa" w:w="1500"/>
            <w:tcBorders>
              <w:top w:val="single" w:color="B7BEC9" w:sz="2"/>
              <w:left w:val="single" w:color="B7BEC9" w:sz="2"/>
              <w:bottom w:val="single" w:color="B7BEC9" w:sz="2"/>
              <w:right w:val="single" w:color="B7BEC9" w:sz="2"/>
            </w:tcBorders>
            <w:tcMar>
              <w:top w:type="dxa" w:w="60"/>
              <w:left w:type="dxa" w:w="100"/>
              <w:bottom w:type="dxa" w:w="60"/>
              <w:right w:type="dxa" w:w="100"/>
            </w:tcMar>
            <w:vAlign w:val="center"/>
          </w:tcPr>
          <w:p>
            <w:r>
              <w:rPr>
                <w:b w:val="false"/>
                <w:bCs w:val="false"/>
                <w:sz w:val="19"/>
                <w:szCs w:val="19"/>
              </w:rPr>
              <w:t xml:space="preserve">FR-1.3</w:t>
            </w:r>
          </w:p>
        </w:tc>
        <w:tc>
          <w:tcPr>
            <w:tcW w:type="dxa" w:w="8300"/>
            <w:tcBorders>
              <w:top w:val="single" w:color="B7BEC9" w:sz="2"/>
              <w:left w:val="single" w:color="B7BEC9" w:sz="2"/>
              <w:bottom w:val="single" w:color="B7BEC9" w:sz="2"/>
              <w:right w:val="single" w:color="B7BEC9" w:sz="2"/>
            </w:tcBorders>
            <w:tcMar>
              <w:top w:type="dxa" w:w="60"/>
              <w:left w:type="dxa" w:w="100"/>
              <w:bottom w:type="dxa" w:w="60"/>
              <w:right w:type="dxa" w:w="100"/>
            </w:tcMar>
            <w:vAlign w:val="center"/>
          </w:tcPr>
          <w:p>
            <w:r>
              <w:rPr>
                <w:b w:val="false"/>
                <w:bCs w:val="false"/>
                <w:sz w:val="19"/>
                <w:szCs w:val="19"/>
              </w:rPr>
              <w:t xml:space="preserve">The dashboard shall display summary KPIs, including the business's top-selling product, count of at-risk products/stores, and total predicted revenue and units for the upcoming period.</w:t>
            </w:r>
          </w:p>
        </w:tc>
      </w:tr>
      <w:tr>
        <w:tc>
          <w:tcPr>
            <w:tcW w:type="dxa" w:w="1500"/>
            <w:tcBorders>
              <w:top w:val="single" w:color="B7BEC9" w:sz="2"/>
              <w:left w:val="single" w:color="B7BEC9" w:sz="2"/>
              <w:bottom w:val="single" w:color="B7BEC9" w:sz="2"/>
              <w:right w:val="single" w:color="B7BEC9" w:sz="2"/>
            </w:tcBorders>
            <w:shd w:fill="EAF1FB" w:val="clear"/>
            <w:tcMar>
              <w:top w:type="dxa" w:w="60"/>
              <w:left w:type="dxa" w:w="100"/>
              <w:bottom w:type="dxa" w:w="60"/>
              <w:right w:type="dxa" w:w="100"/>
            </w:tcMar>
            <w:vAlign w:val="center"/>
          </w:tcPr>
          <w:p>
            <w:r>
              <w:rPr>
                <w:b w:val="false"/>
                <w:bCs w:val="false"/>
                <w:sz w:val="19"/>
                <w:szCs w:val="19"/>
              </w:rPr>
              <w:t xml:space="preserve">FR-1.4</w:t>
            </w:r>
          </w:p>
        </w:tc>
        <w:tc>
          <w:tcPr>
            <w:tcW w:type="dxa" w:w="8300"/>
            <w:tcBorders>
              <w:top w:val="single" w:color="B7BEC9" w:sz="2"/>
              <w:left w:val="single" w:color="B7BEC9" w:sz="2"/>
              <w:bottom w:val="single" w:color="B7BEC9" w:sz="2"/>
              <w:right w:val="single" w:color="B7BEC9" w:sz="2"/>
            </w:tcBorders>
            <w:shd w:fill="EAF1FB" w:val="clear"/>
            <w:tcMar>
              <w:top w:type="dxa" w:w="60"/>
              <w:left w:type="dxa" w:w="100"/>
              <w:bottom w:type="dxa" w:w="60"/>
              <w:right w:type="dxa" w:w="100"/>
            </w:tcMar>
            <w:vAlign w:val="center"/>
          </w:tcPr>
          <w:p>
            <w:r>
              <w:rPr>
                <w:b w:val="false"/>
                <w:bCs w:val="false"/>
                <w:sz w:val="19"/>
                <w:szCs w:val="19"/>
              </w:rPr>
              <w:t xml:space="preserve">The user shall be able to request a plain-language explanation of the selected forecast, including key business drivers, risks or opportunities, and a recommended action.</w:t>
            </w:r>
          </w:p>
        </w:tc>
      </w:tr>
      <w:tr>
        <w:tc>
          <w:tcPr>
            <w:tcW w:type="dxa" w:w="1500"/>
            <w:tcBorders>
              <w:top w:val="single" w:color="B7BEC9" w:sz="2"/>
              <w:left w:val="single" w:color="B7BEC9" w:sz="2"/>
              <w:bottom w:val="single" w:color="B7BEC9" w:sz="2"/>
              <w:right w:val="single" w:color="B7BEC9" w:sz="2"/>
            </w:tcBorders>
            <w:tcMar>
              <w:top w:type="dxa" w:w="60"/>
              <w:left w:type="dxa" w:w="100"/>
              <w:bottom w:type="dxa" w:w="60"/>
              <w:right w:type="dxa" w:w="100"/>
            </w:tcMar>
            <w:vAlign w:val="center"/>
          </w:tcPr>
          <w:p>
            <w:r>
              <w:rPr>
                <w:b w:val="false"/>
                <w:bCs w:val="false"/>
                <w:sz w:val="19"/>
                <w:szCs w:val="19"/>
              </w:rPr>
              <w:t xml:space="preserve">FR-1.5</w:t>
            </w:r>
          </w:p>
        </w:tc>
        <w:tc>
          <w:tcPr>
            <w:tcW w:type="dxa" w:w="8300"/>
            <w:tcBorders>
              <w:top w:val="single" w:color="B7BEC9" w:sz="2"/>
              <w:left w:val="single" w:color="B7BEC9" w:sz="2"/>
              <w:bottom w:val="single" w:color="B7BEC9" w:sz="2"/>
              <w:right w:val="single" w:color="B7BEC9" w:sz="2"/>
            </w:tcBorders>
            <w:tcMar>
              <w:top w:type="dxa" w:w="60"/>
              <w:left w:type="dxa" w:w="100"/>
              <w:bottom w:type="dxa" w:w="60"/>
              <w:right w:type="dxa" w:w="100"/>
            </w:tcMar>
            <w:vAlign w:val="center"/>
          </w:tcPr>
          <w:p>
            <w:r>
              <w:rPr>
                <w:b w:val="false"/>
                <w:bCs w:val="false"/>
                <w:sz w:val="19"/>
                <w:szCs w:val="19"/>
              </w:rPr>
              <w:t xml:space="preserve">The user shall be able to ask a specific follow-up question about the selected forecast (e.g. "why is this declining") and receive an answer grounded in the same underlying data as the forecast.</w:t>
            </w:r>
          </w:p>
        </w:tc>
      </w:tr>
      <w:tr>
        <w:tc>
          <w:tcPr>
            <w:tcW w:type="dxa" w:w="1500"/>
            <w:tcBorders>
              <w:top w:val="single" w:color="B7BEC9" w:sz="2"/>
              <w:left w:val="single" w:color="B7BEC9" w:sz="2"/>
              <w:bottom w:val="single" w:color="B7BEC9" w:sz="2"/>
              <w:right w:val="single" w:color="B7BEC9" w:sz="2"/>
            </w:tcBorders>
            <w:shd w:fill="EAF1FB" w:val="clear"/>
            <w:tcMar>
              <w:top w:type="dxa" w:w="60"/>
              <w:left w:type="dxa" w:w="100"/>
              <w:bottom w:type="dxa" w:w="60"/>
              <w:right w:type="dxa" w:w="100"/>
            </w:tcMar>
            <w:vAlign w:val="center"/>
          </w:tcPr>
          <w:p>
            <w:r>
              <w:rPr>
                <w:b w:val="false"/>
                <w:bCs w:val="false"/>
                <w:sz w:val="19"/>
                <w:szCs w:val="19"/>
              </w:rPr>
              <w:t xml:space="preserve">FR-1.6</w:t>
            </w:r>
          </w:p>
        </w:tc>
        <w:tc>
          <w:tcPr>
            <w:tcW w:type="dxa" w:w="8300"/>
            <w:tcBorders>
              <w:top w:val="single" w:color="B7BEC9" w:sz="2"/>
              <w:left w:val="single" w:color="B7BEC9" w:sz="2"/>
              <w:bottom w:val="single" w:color="B7BEC9" w:sz="2"/>
              <w:right w:val="single" w:color="B7BEC9" w:sz="2"/>
            </w:tcBorders>
            <w:shd w:fill="EAF1FB" w:val="clear"/>
            <w:tcMar>
              <w:top w:type="dxa" w:w="60"/>
              <w:left w:type="dxa" w:w="100"/>
              <w:bottom w:type="dxa" w:w="60"/>
              <w:right w:type="dxa" w:w="100"/>
            </w:tcMar>
            <w:vAlign w:val="center"/>
          </w:tcPr>
          <w:p>
            <w:r>
              <w:rPr>
                <w:b w:val="false"/>
                <w:bCs w:val="false"/>
                <w:sz w:val="19"/>
                <w:szCs w:val="19"/>
              </w:rPr>
              <w:t xml:space="preserve">The explanation and any recommendation shall never contradict or restate a different number than the one produced by the forecasting model.</w:t>
            </w:r>
          </w:p>
        </w:tc>
      </w:tr>
    </w:tbl>
    <w:p>
      <w:pPr>
        <w:spacing w:before="260"/>
      </w:pPr>
    </w:p>
    <w:p>
      <w:pPr>
        <w:pStyle w:val="Heading2"/>
        <w:spacing w:after="120" w:before="260"/>
      </w:pPr>
      <w:r>
        <w:rPr>
          <w:b/>
          <w:bCs/>
          <w:color w:val="2E5C8A"/>
          <w:sz w:val="24"/>
          <w:szCs w:val="24"/>
        </w:rPr>
        <w:t xml:space="preserve">7.2 Screen 2 — Analytics Assistant (Chat)</w:t>
      </w:r>
    </w:p>
    <w:p>
      <w:pPr>
        <w:spacing w:after="160" w:line="276"/>
      </w:pPr>
      <w:r>
        <w:rPr>
          <w:sz w:val="21"/>
          <w:szCs w:val="21"/>
        </w:rPr>
        <w:t xml:space="preserve">Allows a category manager or planner to ask open-ended business questions across the full product and store portfolio, without needing to select a single product/store first.</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1500"/>
        <w:gridCol w:w="8300"/>
      </w:tblGrid>
      <w:tr>
        <w:trPr>
          <w:tblHeader/>
        </w:trPr>
        <w:tc>
          <w:tcPr>
            <w:tcW w:type="dxa" w:w="1500"/>
            <w:tcBorders>
              <w:top w:val="single" w:color="B7BEC9" w:sz="2"/>
              <w:left w:val="single" w:color="B7BEC9" w:sz="2"/>
              <w:bottom w:val="single" w:color="B7BEC9" w:sz="2"/>
              <w:right w:val="single" w:color="B7BEC9" w:sz="2"/>
            </w:tcBorders>
            <w:shd w:fill="1F3864" w:val="clear"/>
            <w:tcMar>
              <w:top w:type="dxa" w:w="80"/>
              <w:left w:type="dxa" w:w="100"/>
              <w:bottom w:type="dxa" w:w="80"/>
              <w:right w:type="dxa" w:w="100"/>
            </w:tcMar>
            <w:vAlign w:val="center"/>
          </w:tcPr>
          <w:p>
            <w:r>
              <w:rPr>
                <w:b/>
                <w:bCs/>
                <w:color w:val="FFFFFF"/>
                <w:sz w:val="19"/>
                <w:szCs w:val="19"/>
              </w:rPr>
              <w:t xml:space="preserve">ID</w:t>
            </w:r>
          </w:p>
        </w:tc>
        <w:tc>
          <w:tcPr>
            <w:tcW w:type="dxa" w:w="8300"/>
            <w:tcBorders>
              <w:top w:val="single" w:color="B7BEC9" w:sz="2"/>
              <w:left w:val="single" w:color="B7BEC9" w:sz="2"/>
              <w:bottom w:val="single" w:color="B7BEC9" w:sz="2"/>
              <w:right w:val="single" w:color="B7BEC9" w:sz="2"/>
            </w:tcBorders>
            <w:shd w:fill="1F3864" w:val="clear"/>
            <w:tcMar>
              <w:top w:type="dxa" w:w="80"/>
              <w:left w:type="dxa" w:w="100"/>
              <w:bottom w:type="dxa" w:w="80"/>
              <w:right w:type="dxa" w:w="100"/>
            </w:tcMar>
            <w:vAlign w:val="center"/>
          </w:tcPr>
          <w:p>
            <w:r>
              <w:rPr>
                <w:b/>
                <w:bCs/>
                <w:color w:val="FFFFFF"/>
                <w:sz w:val="19"/>
                <w:szCs w:val="19"/>
              </w:rPr>
              <w:t xml:space="preserve">Requirement</w:t>
            </w:r>
          </w:p>
        </w:tc>
      </w:tr>
      <w:tr>
        <w:tc>
          <w:tcPr>
            <w:tcW w:type="dxa" w:w="1500"/>
            <w:tcBorders>
              <w:top w:val="single" w:color="B7BEC9" w:sz="2"/>
              <w:left w:val="single" w:color="B7BEC9" w:sz="2"/>
              <w:bottom w:val="single" w:color="B7BEC9" w:sz="2"/>
              <w:right w:val="single" w:color="B7BEC9" w:sz="2"/>
            </w:tcBorders>
            <w:tcMar>
              <w:top w:type="dxa" w:w="60"/>
              <w:left w:type="dxa" w:w="100"/>
              <w:bottom w:type="dxa" w:w="60"/>
              <w:right w:type="dxa" w:w="100"/>
            </w:tcMar>
            <w:vAlign w:val="center"/>
          </w:tcPr>
          <w:p>
            <w:r>
              <w:rPr>
                <w:b w:val="false"/>
                <w:bCs w:val="false"/>
                <w:sz w:val="19"/>
                <w:szCs w:val="19"/>
              </w:rPr>
              <w:t xml:space="preserve">FR-2.1</w:t>
            </w:r>
          </w:p>
        </w:tc>
        <w:tc>
          <w:tcPr>
            <w:tcW w:type="dxa" w:w="8300"/>
            <w:tcBorders>
              <w:top w:val="single" w:color="B7BEC9" w:sz="2"/>
              <w:left w:val="single" w:color="B7BEC9" w:sz="2"/>
              <w:bottom w:val="single" w:color="B7BEC9" w:sz="2"/>
              <w:right w:val="single" w:color="B7BEC9" w:sz="2"/>
            </w:tcBorders>
            <w:tcMar>
              <w:top w:type="dxa" w:w="60"/>
              <w:left w:type="dxa" w:w="100"/>
              <w:bottom w:type="dxa" w:w="60"/>
              <w:right w:type="dxa" w:w="100"/>
            </w:tcMar>
            <w:vAlign w:val="center"/>
          </w:tcPr>
          <w:p>
            <w:r>
              <w:rPr>
                <w:b w:val="false"/>
                <w:bCs w:val="false"/>
                <w:sz w:val="19"/>
                <w:szCs w:val="19"/>
              </w:rPr>
              <w:t xml:space="preserve">The user shall be able to type a free-text business question (e.g. "which category is growing fastest") and receive an answer generated from real underlying business data, not an estimate or guess.</w:t>
            </w:r>
          </w:p>
        </w:tc>
      </w:tr>
      <w:tr>
        <w:tc>
          <w:tcPr>
            <w:tcW w:type="dxa" w:w="1500"/>
            <w:tcBorders>
              <w:top w:val="single" w:color="B7BEC9" w:sz="2"/>
              <w:left w:val="single" w:color="B7BEC9" w:sz="2"/>
              <w:bottom w:val="single" w:color="B7BEC9" w:sz="2"/>
              <w:right w:val="single" w:color="B7BEC9" w:sz="2"/>
            </w:tcBorders>
            <w:shd w:fill="EAF1FB" w:val="clear"/>
            <w:tcMar>
              <w:top w:type="dxa" w:w="60"/>
              <w:left w:type="dxa" w:w="100"/>
              <w:bottom w:type="dxa" w:w="60"/>
              <w:right w:type="dxa" w:w="100"/>
            </w:tcMar>
            <w:vAlign w:val="center"/>
          </w:tcPr>
          <w:p>
            <w:r>
              <w:rPr>
                <w:b w:val="false"/>
                <w:bCs w:val="false"/>
                <w:sz w:val="19"/>
                <w:szCs w:val="19"/>
              </w:rPr>
              <w:t xml:space="preserve">FR-2.2</w:t>
            </w:r>
          </w:p>
        </w:tc>
        <w:tc>
          <w:tcPr>
            <w:tcW w:type="dxa" w:w="8300"/>
            <w:tcBorders>
              <w:top w:val="single" w:color="B7BEC9" w:sz="2"/>
              <w:left w:val="single" w:color="B7BEC9" w:sz="2"/>
              <w:bottom w:val="single" w:color="B7BEC9" w:sz="2"/>
              <w:right w:val="single" w:color="B7BEC9" w:sz="2"/>
            </w:tcBorders>
            <w:shd w:fill="EAF1FB" w:val="clear"/>
            <w:tcMar>
              <w:top w:type="dxa" w:w="60"/>
              <w:left w:type="dxa" w:w="100"/>
              <w:bottom w:type="dxa" w:w="60"/>
              <w:right w:type="dxa" w:w="100"/>
            </w:tcMar>
            <w:vAlign w:val="center"/>
          </w:tcPr>
          <w:p>
            <w:r>
              <w:rPr>
                <w:b w:val="false"/>
                <w:bCs w:val="false"/>
                <w:sz w:val="19"/>
                <w:szCs w:val="19"/>
              </w:rPr>
              <w:t xml:space="preserve">The system shall offer a set of one-click predefined questions covering common needs (e.g. top-selling category, underperforming stores, category comparison) so users can get value without composing a question.</w:t>
            </w:r>
          </w:p>
        </w:tc>
      </w:tr>
      <w:tr>
        <w:tc>
          <w:tcPr>
            <w:tcW w:type="dxa" w:w="1500"/>
            <w:tcBorders>
              <w:top w:val="single" w:color="B7BEC9" w:sz="2"/>
              <w:left w:val="single" w:color="B7BEC9" w:sz="2"/>
              <w:bottom w:val="single" w:color="B7BEC9" w:sz="2"/>
              <w:right w:val="single" w:color="B7BEC9" w:sz="2"/>
            </w:tcBorders>
            <w:tcMar>
              <w:top w:type="dxa" w:w="60"/>
              <w:left w:type="dxa" w:w="100"/>
              <w:bottom w:type="dxa" w:w="60"/>
              <w:right w:type="dxa" w:w="100"/>
            </w:tcMar>
            <w:vAlign w:val="center"/>
          </w:tcPr>
          <w:p>
            <w:r>
              <w:rPr>
                <w:b w:val="false"/>
                <w:bCs w:val="false"/>
                <w:sz w:val="19"/>
                <w:szCs w:val="19"/>
              </w:rPr>
              <w:t xml:space="preserve">FR-2.3</w:t>
            </w:r>
          </w:p>
        </w:tc>
        <w:tc>
          <w:tcPr>
            <w:tcW w:type="dxa" w:w="8300"/>
            <w:tcBorders>
              <w:top w:val="single" w:color="B7BEC9" w:sz="2"/>
              <w:left w:val="single" w:color="B7BEC9" w:sz="2"/>
              <w:bottom w:val="single" w:color="B7BEC9" w:sz="2"/>
              <w:right w:val="single" w:color="B7BEC9" w:sz="2"/>
            </w:tcBorders>
            <w:tcMar>
              <w:top w:type="dxa" w:w="60"/>
              <w:left w:type="dxa" w:w="100"/>
              <w:bottom w:type="dxa" w:w="60"/>
              <w:right w:type="dxa" w:w="100"/>
            </w:tcMar>
            <w:vAlign w:val="center"/>
          </w:tcPr>
          <w:p>
            <w:r>
              <w:rPr>
                <w:b w:val="false"/>
                <w:bCs w:val="false"/>
                <w:sz w:val="19"/>
                <w:szCs w:val="19"/>
              </w:rPr>
              <w:t xml:space="preserve">The assistant shall maintain conversation context across multiple turns within a session, so follow-up questions do not require the user to repeat context already given.</w:t>
            </w:r>
          </w:p>
        </w:tc>
      </w:tr>
      <w:tr>
        <w:tc>
          <w:tcPr>
            <w:tcW w:type="dxa" w:w="1500"/>
            <w:tcBorders>
              <w:top w:val="single" w:color="B7BEC9" w:sz="2"/>
              <w:left w:val="single" w:color="B7BEC9" w:sz="2"/>
              <w:bottom w:val="single" w:color="B7BEC9" w:sz="2"/>
              <w:right w:val="single" w:color="B7BEC9" w:sz="2"/>
            </w:tcBorders>
            <w:shd w:fill="EAF1FB" w:val="clear"/>
            <w:tcMar>
              <w:top w:type="dxa" w:w="60"/>
              <w:left w:type="dxa" w:w="100"/>
              <w:bottom w:type="dxa" w:w="60"/>
              <w:right w:type="dxa" w:w="100"/>
            </w:tcMar>
            <w:vAlign w:val="center"/>
          </w:tcPr>
          <w:p>
            <w:r>
              <w:rPr>
                <w:b w:val="false"/>
                <w:bCs w:val="false"/>
                <w:sz w:val="19"/>
                <w:szCs w:val="19"/>
              </w:rPr>
              <w:t xml:space="preserve">FR-2.4</w:t>
            </w:r>
          </w:p>
        </w:tc>
        <w:tc>
          <w:tcPr>
            <w:tcW w:type="dxa" w:w="8300"/>
            <w:tcBorders>
              <w:top w:val="single" w:color="B7BEC9" w:sz="2"/>
              <w:left w:val="single" w:color="B7BEC9" w:sz="2"/>
              <w:bottom w:val="single" w:color="B7BEC9" w:sz="2"/>
              <w:right w:val="single" w:color="B7BEC9" w:sz="2"/>
            </w:tcBorders>
            <w:shd w:fill="EAF1FB" w:val="clear"/>
            <w:tcMar>
              <w:top w:type="dxa" w:w="60"/>
              <w:left w:type="dxa" w:w="100"/>
              <w:bottom w:type="dxa" w:w="60"/>
              <w:right w:type="dxa" w:w="100"/>
            </w:tcMar>
            <w:vAlign w:val="center"/>
          </w:tcPr>
          <w:p>
            <w:r>
              <w:rPr>
                <w:b w:val="false"/>
                <w:bCs w:val="false"/>
                <w:sz w:val="19"/>
                <w:szCs w:val="19"/>
              </w:rPr>
              <w:t xml:space="preserve">Where a question requires data the system does not have, the assistant shall state that clearly rather than producing an estimated or fabricated answer.</w:t>
            </w:r>
          </w:p>
        </w:tc>
      </w:tr>
      <w:tr>
        <w:tc>
          <w:tcPr>
            <w:tcW w:type="dxa" w:w="1500"/>
            <w:tcBorders>
              <w:top w:val="single" w:color="B7BEC9" w:sz="2"/>
              <w:left w:val="single" w:color="B7BEC9" w:sz="2"/>
              <w:bottom w:val="single" w:color="B7BEC9" w:sz="2"/>
              <w:right w:val="single" w:color="B7BEC9" w:sz="2"/>
            </w:tcBorders>
            <w:tcMar>
              <w:top w:type="dxa" w:w="60"/>
              <w:left w:type="dxa" w:w="100"/>
              <w:bottom w:type="dxa" w:w="60"/>
              <w:right w:type="dxa" w:w="100"/>
            </w:tcMar>
            <w:vAlign w:val="center"/>
          </w:tcPr>
          <w:p>
            <w:r>
              <w:rPr>
                <w:b w:val="false"/>
                <w:bCs w:val="false"/>
                <w:sz w:val="19"/>
                <w:szCs w:val="19"/>
              </w:rPr>
              <w:t xml:space="preserve">FR-2.5</w:t>
            </w:r>
          </w:p>
        </w:tc>
        <w:tc>
          <w:tcPr>
            <w:tcW w:type="dxa" w:w="8300"/>
            <w:tcBorders>
              <w:top w:val="single" w:color="B7BEC9" w:sz="2"/>
              <w:left w:val="single" w:color="B7BEC9" w:sz="2"/>
              <w:bottom w:val="single" w:color="B7BEC9" w:sz="2"/>
              <w:right w:val="single" w:color="B7BEC9" w:sz="2"/>
            </w:tcBorders>
            <w:tcMar>
              <w:top w:type="dxa" w:w="60"/>
              <w:left w:type="dxa" w:w="100"/>
              <w:bottom w:type="dxa" w:w="60"/>
              <w:right w:type="dxa" w:w="100"/>
            </w:tcMar>
            <w:vAlign w:val="center"/>
          </w:tcPr>
          <w:p>
            <w:r>
              <w:rPr>
                <w:b w:val="false"/>
                <w:bCs w:val="false"/>
                <w:sz w:val="19"/>
                <w:szCs w:val="19"/>
              </w:rPr>
              <w:t xml:space="preserve">The assistant's responses shall be presented in clear business language (plain text/formatted lists), not raw data tables or code.</w:t>
            </w:r>
          </w:p>
        </w:tc>
      </w:tr>
    </w:tbl>
    <w:p>
      <w:pPr>
        <w:spacing w:before="260"/>
      </w:pPr>
    </w:p>
    <w:p>
      <w:pPr>
        <w:pStyle w:val="Heading2"/>
        <w:spacing w:after="120" w:before="260"/>
      </w:pPr>
      <w:r>
        <w:rPr>
          <w:b/>
          <w:bCs/>
          <w:color w:val="2E5C8A"/>
          <w:sz w:val="24"/>
          <w:szCs w:val="24"/>
        </w:rPr>
        <w:t xml:space="preserve">7.3 Data Refresh &amp; Retraining</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1500"/>
        <w:gridCol w:w="8300"/>
      </w:tblGrid>
      <w:tr>
        <w:trPr>
          <w:tblHeader/>
        </w:trPr>
        <w:tc>
          <w:tcPr>
            <w:tcW w:type="dxa" w:w="1500"/>
            <w:tcBorders>
              <w:top w:val="single" w:color="B7BEC9" w:sz="2"/>
              <w:left w:val="single" w:color="B7BEC9" w:sz="2"/>
              <w:bottom w:val="single" w:color="B7BEC9" w:sz="2"/>
              <w:right w:val="single" w:color="B7BEC9" w:sz="2"/>
            </w:tcBorders>
            <w:shd w:fill="1F3864" w:val="clear"/>
            <w:tcMar>
              <w:top w:type="dxa" w:w="80"/>
              <w:left w:type="dxa" w:w="100"/>
              <w:bottom w:type="dxa" w:w="80"/>
              <w:right w:type="dxa" w:w="100"/>
            </w:tcMar>
            <w:vAlign w:val="center"/>
          </w:tcPr>
          <w:p>
            <w:r>
              <w:rPr>
                <w:b/>
                <w:bCs/>
                <w:color w:val="FFFFFF"/>
                <w:sz w:val="19"/>
                <w:szCs w:val="19"/>
              </w:rPr>
              <w:t xml:space="preserve">ID</w:t>
            </w:r>
          </w:p>
        </w:tc>
        <w:tc>
          <w:tcPr>
            <w:tcW w:type="dxa" w:w="8300"/>
            <w:tcBorders>
              <w:top w:val="single" w:color="B7BEC9" w:sz="2"/>
              <w:left w:val="single" w:color="B7BEC9" w:sz="2"/>
              <w:bottom w:val="single" w:color="B7BEC9" w:sz="2"/>
              <w:right w:val="single" w:color="B7BEC9" w:sz="2"/>
            </w:tcBorders>
            <w:shd w:fill="1F3864" w:val="clear"/>
            <w:tcMar>
              <w:top w:type="dxa" w:w="80"/>
              <w:left w:type="dxa" w:w="100"/>
              <w:bottom w:type="dxa" w:w="80"/>
              <w:right w:type="dxa" w:w="100"/>
            </w:tcMar>
            <w:vAlign w:val="center"/>
          </w:tcPr>
          <w:p>
            <w:r>
              <w:rPr>
                <w:b/>
                <w:bCs/>
                <w:color w:val="FFFFFF"/>
                <w:sz w:val="19"/>
                <w:szCs w:val="19"/>
              </w:rPr>
              <w:t xml:space="preserve">Requirement</w:t>
            </w:r>
          </w:p>
        </w:tc>
      </w:tr>
      <w:tr>
        <w:tc>
          <w:tcPr>
            <w:tcW w:type="dxa" w:w="1500"/>
            <w:tcBorders>
              <w:top w:val="single" w:color="B7BEC9" w:sz="2"/>
              <w:left w:val="single" w:color="B7BEC9" w:sz="2"/>
              <w:bottom w:val="single" w:color="B7BEC9" w:sz="2"/>
              <w:right w:val="single" w:color="B7BEC9" w:sz="2"/>
            </w:tcBorders>
            <w:tcMar>
              <w:top w:type="dxa" w:w="60"/>
              <w:left w:type="dxa" w:w="100"/>
              <w:bottom w:type="dxa" w:w="60"/>
              <w:right w:type="dxa" w:w="100"/>
            </w:tcMar>
            <w:vAlign w:val="center"/>
          </w:tcPr>
          <w:p>
            <w:r>
              <w:rPr>
                <w:b w:val="false"/>
                <w:bCs w:val="false"/>
                <w:sz w:val="19"/>
                <w:szCs w:val="19"/>
              </w:rPr>
              <w:t xml:space="preserve">FR-3.1</w:t>
            </w:r>
          </w:p>
        </w:tc>
        <w:tc>
          <w:tcPr>
            <w:tcW w:type="dxa" w:w="8300"/>
            <w:tcBorders>
              <w:top w:val="single" w:color="B7BEC9" w:sz="2"/>
              <w:left w:val="single" w:color="B7BEC9" w:sz="2"/>
              <w:bottom w:val="single" w:color="B7BEC9" w:sz="2"/>
              <w:right w:val="single" w:color="B7BEC9" w:sz="2"/>
            </w:tcBorders>
            <w:tcMar>
              <w:top w:type="dxa" w:w="60"/>
              <w:left w:type="dxa" w:w="100"/>
              <w:bottom w:type="dxa" w:w="60"/>
              <w:right w:type="dxa" w:w="100"/>
            </w:tcMar>
            <w:vAlign w:val="center"/>
          </w:tcPr>
          <w:p>
            <w:r>
              <w:rPr>
                <w:b w:val="false"/>
                <w:bCs w:val="false"/>
                <w:sz w:val="19"/>
                <w:szCs w:val="19"/>
              </w:rPr>
              <w:t xml:space="preserve">An authorized user shall be able to upload a new month of sales and campaign data through the application.</w:t>
            </w:r>
          </w:p>
        </w:tc>
      </w:tr>
      <w:tr>
        <w:tc>
          <w:tcPr>
            <w:tcW w:type="dxa" w:w="1500"/>
            <w:tcBorders>
              <w:top w:val="single" w:color="B7BEC9" w:sz="2"/>
              <w:left w:val="single" w:color="B7BEC9" w:sz="2"/>
              <w:bottom w:val="single" w:color="B7BEC9" w:sz="2"/>
              <w:right w:val="single" w:color="B7BEC9" w:sz="2"/>
            </w:tcBorders>
            <w:shd w:fill="EAF1FB" w:val="clear"/>
            <w:tcMar>
              <w:top w:type="dxa" w:w="60"/>
              <w:left w:type="dxa" w:w="100"/>
              <w:bottom w:type="dxa" w:w="60"/>
              <w:right w:type="dxa" w:w="100"/>
            </w:tcMar>
            <w:vAlign w:val="center"/>
          </w:tcPr>
          <w:p>
            <w:r>
              <w:rPr>
                <w:b w:val="false"/>
                <w:bCs w:val="false"/>
                <w:sz w:val="19"/>
                <w:szCs w:val="19"/>
              </w:rPr>
              <w:t xml:space="preserve">FR-3.2</w:t>
            </w:r>
          </w:p>
        </w:tc>
        <w:tc>
          <w:tcPr>
            <w:tcW w:type="dxa" w:w="8300"/>
            <w:tcBorders>
              <w:top w:val="single" w:color="B7BEC9" w:sz="2"/>
              <w:left w:val="single" w:color="B7BEC9" w:sz="2"/>
              <w:bottom w:val="single" w:color="B7BEC9" w:sz="2"/>
              <w:right w:val="single" w:color="B7BEC9" w:sz="2"/>
            </w:tcBorders>
            <w:shd w:fill="EAF1FB" w:val="clear"/>
            <w:tcMar>
              <w:top w:type="dxa" w:w="60"/>
              <w:left w:type="dxa" w:w="100"/>
              <w:bottom w:type="dxa" w:w="60"/>
              <w:right w:type="dxa" w:w="100"/>
            </w:tcMar>
            <w:vAlign w:val="center"/>
          </w:tcPr>
          <w:p>
            <w:r>
              <w:rPr>
                <w:b w:val="false"/>
                <w:bCs w:val="false"/>
                <w:sz w:val="19"/>
                <w:szCs w:val="19"/>
              </w:rPr>
              <w:t xml:space="preserve">Upon upload, the user shall be able to trigger a full pipeline refresh (data ingestion, validation, feature preparation, model retraining, and forecast regeneration) from the application, without needing direct platform/database access.</w:t>
            </w:r>
          </w:p>
        </w:tc>
      </w:tr>
      <w:tr>
        <w:tc>
          <w:tcPr>
            <w:tcW w:type="dxa" w:w="1500"/>
            <w:tcBorders>
              <w:top w:val="single" w:color="B7BEC9" w:sz="2"/>
              <w:left w:val="single" w:color="B7BEC9" w:sz="2"/>
              <w:bottom w:val="single" w:color="B7BEC9" w:sz="2"/>
              <w:right w:val="single" w:color="B7BEC9" w:sz="2"/>
            </w:tcBorders>
            <w:tcMar>
              <w:top w:type="dxa" w:w="60"/>
              <w:left w:type="dxa" w:w="100"/>
              <w:bottom w:type="dxa" w:w="60"/>
              <w:right w:type="dxa" w:w="100"/>
            </w:tcMar>
            <w:vAlign w:val="center"/>
          </w:tcPr>
          <w:p>
            <w:r>
              <w:rPr>
                <w:b w:val="false"/>
                <w:bCs w:val="false"/>
                <w:sz w:val="19"/>
                <w:szCs w:val="19"/>
              </w:rPr>
              <w:t xml:space="preserve">FR-3.3</w:t>
            </w:r>
          </w:p>
        </w:tc>
        <w:tc>
          <w:tcPr>
            <w:tcW w:type="dxa" w:w="8300"/>
            <w:tcBorders>
              <w:top w:val="single" w:color="B7BEC9" w:sz="2"/>
              <w:left w:val="single" w:color="B7BEC9" w:sz="2"/>
              <w:bottom w:val="single" w:color="B7BEC9" w:sz="2"/>
              <w:right w:val="single" w:color="B7BEC9" w:sz="2"/>
            </w:tcBorders>
            <w:tcMar>
              <w:top w:type="dxa" w:w="60"/>
              <w:left w:type="dxa" w:w="100"/>
              <w:bottom w:type="dxa" w:w="60"/>
              <w:right w:type="dxa" w:w="100"/>
            </w:tcMar>
            <w:vAlign w:val="center"/>
          </w:tcPr>
          <w:p>
            <w:r>
              <w:rPr>
                <w:b w:val="false"/>
                <w:bCs w:val="false"/>
                <w:sz w:val="19"/>
                <w:szCs w:val="19"/>
              </w:rPr>
              <w:t xml:space="preserve">The user shall be able to trigger a pipeline refresh independently of a new upload (i.e. re-run against the current data).</w:t>
            </w:r>
          </w:p>
        </w:tc>
      </w:tr>
      <w:tr>
        <w:tc>
          <w:tcPr>
            <w:tcW w:type="dxa" w:w="1500"/>
            <w:tcBorders>
              <w:top w:val="single" w:color="B7BEC9" w:sz="2"/>
              <w:left w:val="single" w:color="B7BEC9" w:sz="2"/>
              <w:bottom w:val="single" w:color="B7BEC9" w:sz="2"/>
              <w:right w:val="single" w:color="B7BEC9" w:sz="2"/>
            </w:tcBorders>
            <w:shd w:fill="EAF1FB" w:val="clear"/>
            <w:tcMar>
              <w:top w:type="dxa" w:w="60"/>
              <w:left w:type="dxa" w:w="100"/>
              <w:bottom w:type="dxa" w:w="60"/>
              <w:right w:type="dxa" w:w="100"/>
            </w:tcMar>
            <w:vAlign w:val="center"/>
          </w:tcPr>
          <w:p>
            <w:r>
              <w:rPr>
                <w:b w:val="false"/>
                <w:bCs w:val="false"/>
                <w:sz w:val="19"/>
                <w:szCs w:val="19"/>
              </w:rPr>
              <w:t xml:space="preserve">FR-3.4</w:t>
            </w:r>
          </w:p>
        </w:tc>
        <w:tc>
          <w:tcPr>
            <w:tcW w:type="dxa" w:w="8300"/>
            <w:tcBorders>
              <w:top w:val="single" w:color="B7BEC9" w:sz="2"/>
              <w:left w:val="single" w:color="B7BEC9" w:sz="2"/>
              <w:bottom w:val="single" w:color="B7BEC9" w:sz="2"/>
              <w:right w:val="single" w:color="B7BEC9" w:sz="2"/>
            </w:tcBorders>
            <w:shd w:fill="EAF1FB" w:val="clear"/>
            <w:tcMar>
              <w:top w:type="dxa" w:w="60"/>
              <w:left w:type="dxa" w:w="100"/>
              <w:bottom w:type="dxa" w:w="60"/>
              <w:right w:type="dxa" w:w="100"/>
            </w:tcMar>
            <w:vAlign w:val="center"/>
          </w:tcPr>
          <w:p>
            <w:r>
              <w:rPr>
                <w:b w:val="false"/>
                <w:bCs w:val="false"/>
                <w:sz w:val="19"/>
                <w:szCs w:val="19"/>
              </w:rPr>
              <w:t xml:space="preserve">The application shall show the status of a triggered pipeline run (in progress, succeeded, or failed) so the user knows when a refreshed forecast is ready to view.</w:t>
            </w:r>
          </w:p>
        </w:tc>
      </w:tr>
      <w:tr>
        <w:tc>
          <w:tcPr>
            <w:tcW w:type="dxa" w:w="1500"/>
            <w:tcBorders>
              <w:top w:val="single" w:color="B7BEC9" w:sz="2"/>
              <w:left w:val="single" w:color="B7BEC9" w:sz="2"/>
              <w:bottom w:val="single" w:color="B7BEC9" w:sz="2"/>
              <w:right w:val="single" w:color="B7BEC9" w:sz="2"/>
            </w:tcBorders>
            <w:tcMar>
              <w:top w:type="dxa" w:w="60"/>
              <w:left w:type="dxa" w:w="100"/>
              <w:bottom w:type="dxa" w:w="60"/>
              <w:right w:type="dxa" w:w="100"/>
            </w:tcMar>
            <w:vAlign w:val="center"/>
          </w:tcPr>
          <w:p>
            <w:r>
              <w:rPr>
                <w:b w:val="false"/>
                <w:bCs w:val="false"/>
                <w:sz w:val="19"/>
                <w:szCs w:val="19"/>
              </w:rPr>
              <w:t xml:space="preserve">FR-3.5</w:t>
            </w:r>
          </w:p>
        </w:tc>
        <w:tc>
          <w:tcPr>
            <w:tcW w:type="dxa" w:w="8300"/>
            <w:tcBorders>
              <w:top w:val="single" w:color="B7BEC9" w:sz="2"/>
              <w:left w:val="single" w:color="B7BEC9" w:sz="2"/>
              <w:bottom w:val="single" w:color="B7BEC9" w:sz="2"/>
              <w:right w:val="single" w:color="B7BEC9" w:sz="2"/>
            </w:tcBorders>
            <w:tcMar>
              <w:top w:type="dxa" w:w="60"/>
              <w:left w:type="dxa" w:w="100"/>
              <w:bottom w:type="dxa" w:w="60"/>
              <w:right w:type="dxa" w:w="100"/>
            </w:tcMar>
            <w:vAlign w:val="center"/>
          </w:tcPr>
          <w:p>
            <w:r>
              <w:rPr>
                <w:b w:val="false"/>
                <w:bCs w:val="false"/>
                <w:sz w:val="19"/>
                <w:szCs w:val="19"/>
              </w:rPr>
              <w:t xml:space="preserve">A newly trained model shall only replace the model used in production if it performs at least as well as the current one on held-out historical data; otherwise it shall be retained for review rather than automatically deployed.</w:t>
            </w:r>
          </w:p>
        </w:tc>
      </w:tr>
    </w:tbl>
    <w:p>
      <w:r>
        <w:br w:type="page"/>
      </w:r>
    </w:p>
    <w:p>
      <w:pPr>
        <w:pStyle w:val="Heading1"/>
        <w:spacing w:after="160" w:before="360"/>
      </w:pPr>
      <w:r>
        <w:rPr>
          <w:b/>
          <w:bCs/>
          <w:color w:val="1F3864"/>
          <w:sz w:val="28"/>
          <w:szCs w:val="28"/>
        </w:rPr>
        <w:t xml:space="preserve">8. Non-Functional Requirements</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2400"/>
        <w:gridCol w:w="7400"/>
      </w:tblGrid>
      <w:tr>
        <w:trPr>
          <w:tblHeader/>
        </w:trPr>
        <w:tc>
          <w:tcPr>
            <w:tcW w:type="dxa" w:w="2400"/>
            <w:tcBorders>
              <w:top w:val="single" w:color="B7BEC9" w:sz="2"/>
              <w:left w:val="single" w:color="B7BEC9" w:sz="2"/>
              <w:bottom w:val="single" w:color="B7BEC9" w:sz="2"/>
              <w:right w:val="single" w:color="B7BEC9" w:sz="2"/>
            </w:tcBorders>
            <w:shd w:fill="1F3864" w:val="clear"/>
            <w:tcMar>
              <w:top w:type="dxa" w:w="80"/>
              <w:left w:type="dxa" w:w="100"/>
              <w:bottom w:type="dxa" w:w="80"/>
              <w:right w:type="dxa" w:w="100"/>
            </w:tcMar>
            <w:vAlign w:val="center"/>
          </w:tcPr>
          <w:p>
            <w:r>
              <w:rPr>
                <w:b/>
                <w:bCs/>
                <w:color w:val="FFFFFF"/>
                <w:sz w:val="19"/>
                <w:szCs w:val="19"/>
              </w:rPr>
              <w:t xml:space="preserve">Category</w:t>
            </w:r>
          </w:p>
        </w:tc>
        <w:tc>
          <w:tcPr>
            <w:tcW w:type="dxa" w:w="7400"/>
            <w:tcBorders>
              <w:top w:val="single" w:color="B7BEC9" w:sz="2"/>
              <w:left w:val="single" w:color="B7BEC9" w:sz="2"/>
              <w:bottom w:val="single" w:color="B7BEC9" w:sz="2"/>
              <w:right w:val="single" w:color="B7BEC9" w:sz="2"/>
            </w:tcBorders>
            <w:shd w:fill="1F3864" w:val="clear"/>
            <w:tcMar>
              <w:top w:type="dxa" w:w="80"/>
              <w:left w:type="dxa" w:w="100"/>
              <w:bottom w:type="dxa" w:w="80"/>
              <w:right w:type="dxa" w:w="100"/>
            </w:tcMar>
            <w:vAlign w:val="center"/>
          </w:tcPr>
          <w:p>
            <w:r>
              <w:rPr>
                <w:b/>
                <w:bCs/>
                <w:color w:val="FFFFFF"/>
                <w:sz w:val="19"/>
                <w:szCs w:val="19"/>
              </w:rPr>
              <w:t xml:space="preserve">Requirement</w:t>
            </w:r>
          </w:p>
        </w:tc>
      </w:tr>
      <w:tr>
        <w:tc>
          <w:tcPr>
            <w:tcW w:type="dxa" w:w="2400"/>
            <w:tcBorders>
              <w:top w:val="single" w:color="B7BEC9" w:sz="2"/>
              <w:left w:val="single" w:color="B7BEC9" w:sz="2"/>
              <w:bottom w:val="single" w:color="B7BEC9" w:sz="2"/>
              <w:right w:val="single" w:color="B7BEC9" w:sz="2"/>
            </w:tcBorders>
            <w:tcMar>
              <w:top w:type="dxa" w:w="60"/>
              <w:left w:type="dxa" w:w="100"/>
              <w:bottom w:type="dxa" w:w="60"/>
              <w:right w:type="dxa" w:w="100"/>
            </w:tcMar>
            <w:vAlign w:val="center"/>
          </w:tcPr>
          <w:p>
            <w:r>
              <w:rPr>
                <w:b w:val="false"/>
                <w:bCs w:val="false"/>
                <w:sz w:val="19"/>
                <w:szCs w:val="19"/>
              </w:rPr>
              <w:t xml:space="preserve">Performance</w:t>
            </w:r>
          </w:p>
        </w:tc>
        <w:tc>
          <w:tcPr>
            <w:tcW w:type="dxa" w:w="7400"/>
            <w:tcBorders>
              <w:top w:val="single" w:color="B7BEC9" w:sz="2"/>
              <w:left w:val="single" w:color="B7BEC9" w:sz="2"/>
              <w:bottom w:val="single" w:color="B7BEC9" w:sz="2"/>
              <w:right w:val="single" w:color="B7BEC9" w:sz="2"/>
            </w:tcBorders>
            <w:tcMar>
              <w:top w:type="dxa" w:w="60"/>
              <w:left w:type="dxa" w:w="100"/>
              <w:bottom w:type="dxa" w:w="60"/>
              <w:right w:type="dxa" w:w="100"/>
            </w:tcMar>
            <w:vAlign w:val="center"/>
          </w:tcPr>
          <w:p>
            <w:r>
              <w:rPr>
                <w:b w:val="false"/>
                <w:bCs w:val="false"/>
                <w:sz w:val="19"/>
                <w:szCs w:val="19"/>
              </w:rPr>
              <w:t xml:space="preserve">Dashboard forecast views shall load within a few seconds under normal conditions. A full pipeline refresh (data through retraining) is a batch operation and is not required to complete in real time.</w:t>
            </w:r>
          </w:p>
        </w:tc>
      </w:tr>
      <w:tr>
        <w:tc>
          <w:tcPr>
            <w:tcW w:type="dxa" w:w="2400"/>
            <w:tcBorders>
              <w:top w:val="single" w:color="B7BEC9" w:sz="2"/>
              <w:left w:val="single" w:color="B7BEC9" w:sz="2"/>
              <w:bottom w:val="single" w:color="B7BEC9" w:sz="2"/>
              <w:right w:val="single" w:color="B7BEC9" w:sz="2"/>
            </w:tcBorders>
            <w:shd w:fill="EAF1FB" w:val="clear"/>
            <w:tcMar>
              <w:top w:type="dxa" w:w="60"/>
              <w:left w:type="dxa" w:w="100"/>
              <w:bottom w:type="dxa" w:w="60"/>
              <w:right w:type="dxa" w:w="100"/>
            </w:tcMar>
            <w:vAlign w:val="center"/>
          </w:tcPr>
          <w:p>
            <w:r>
              <w:rPr>
                <w:b w:val="false"/>
                <w:bCs w:val="false"/>
                <w:sz w:val="19"/>
                <w:szCs w:val="19"/>
              </w:rPr>
              <w:t xml:space="preserve">Availability</w:t>
            </w:r>
          </w:p>
        </w:tc>
        <w:tc>
          <w:tcPr>
            <w:tcW w:type="dxa" w:w="7400"/>
            <w:tcBorders>
              <w:top w:val="single" w:color="B7BEC9" w:sz="2"/>
              <w:left w:val="single" w:color="B7BEC9" w:sz="2"/>
              <w:bottom w:val="single" w:color="B7BEC9" w:sz="2"/>
              <w:right w:val="single" w:color="B7BEC9" w:sz="2"/>
            </w:tcBorders>
            <w:shd w:fill="EAF1FB" w:val="clear"/>
            <w:tcMar>
              <w:top w:type="dxa" w:w="60"/>
              <w:left w:type="dxa" w:w="100"/>
              <w:bottom w:type="dxa" w:w="60"/>
              <w:right w:type="dxa" w:w="100"/>
            </w:tcMar>
            <w:vAlign w:val="center"/>
          </w:tcPr>
          <w:p>
            <w:r>
              <w:rPr>
                <w:b w:val="false"/>
                <w:bCs w:val="false"/>
                <w:sz w:val="19"/>
                <w:szCs w:val="19"/>
              </w:rPr>
              <w:t xml:space="preserve">The application shall be available during business hours with reasonable resilience to transient backend errors, surfaced to the user as clear, non-technical error messages.</w:t>
            </w:r>
          </w:p>
        </w:tc>
      </w:tr>
      <w:tr>
        <w:tc>
          <w:tcPr>
            <w:tcW w:type="dxa" w:w="2400"/>
            <w:tcBorders>
              <w:top w:val="single" w:color="B7BEC9" w:sz="2"/>
              <w:left w:val="single" w:color="B7BEC9" w:sz="2"/>
              <w:bottom w:val="single" w:color="B7BEC9" w:sz="2"/>
              <w:right w:val="single" w:color="B7BEC9" w:sz="2"/>
            </w:tcBorders>
            <w:tcMar>
              <w:top w:type="dxa" w:w="60"/>
              <w:left w:type="dxa" w:w="100"/>
              <w:bottom w:type="dxa" w:w="60"/>
              <w:right w:type="dxa" w:w="100"/>
            </w:tcMar>
            <w:vAlign w:val="center"/>
          </w:tcPr>
          <w:p>
            <w:r>
              <w:rPr>
                <w:b w:val="false"/>
                <w:bCs w:val="false"/>
                <w:sz w:val="19"/>
                <w:szCs w:val="19"/>
              </w:rPr>
              <w:t xml:space="preserve">Security &amp; Access</w:t>
            </w:r>
          </w:p>
        </w:tc>
        <w:tc>
          <w:tcPr>
            <w:tcW w:type="dxa" w:w="7400"/>
            <w:tcBorders>
              <w:top w:val="single" w:color="B7BEC9" w:sz="2"/>
              <w:left w:val="single" w:color="B7BEC9" w:sz="2"/>
              <w:bottom w:val="single" w:color="B7BEC9" w:sz="2"/>
              <w:right w:val="single" w:color="B7BEC9" w:sz="2"/>
            </w:tcBorders>
            <w:tcMar>
              <w:top w:type="dxa" w:w="60"/>
              <w:left w:type="dxa" w:w="100"/>
              <w:bottom w:type="dxa" w:w="60"/>
              <w:right w:type="dxa" w:w="100"/>
            </w:tcMar>
            <w:vAlign w:val="center"/>
          </w:tcPr>
          <w:p>
            <w:r>
              <w:rPr>
                <w:b w:val="false"/>
                <w:bCs w:val="false"/>
                <w:sz w:val="19"/>
                <w:szCs w:val="19"/>
              </w:rPr>
              <w:t xml:space="preserve">Access to upload data and trigger pipeline runs shall be restricted to authorized users. Credentials and API keys shall not be exposed to the browser/client.</w:t>
            </w:r>
          </w:p>
        </w:tc>
      </w:tr>
      <w:tr>
        <w:tc>
          <w:tcPr>
            <w:tcW w:type="dxa" w:w="2400"/>
            <w:tcBorders>
              <w:top w:val="single" w:color="B7BEC9" w:sz="2"/>
              <w:left w:val="single" w:color="B7BEC9" w:sz="2"/>
              <w:bottom w:val="single" w:color="B7BEC9" w:sz="2"/>
              <w:right w:val="single" w:color="B7BEC9" w:sz="2"/>
            </w:tcBorders>
            <w:shd w:fill="EAF1FB" w:val="clear"/>
            <w:tcMar>
              <w:top w:type="dxa" w:w="60"/>
              <w:left w:type="dxa" w:w="100"/>
              <w:bottom w:type="dxa" w:w="60"/>
              <w:right w:type="dxa" w:w="100"/>
            </w:tcMar>
            <w:vAlign w:val="center"/>
          </w:tcPr>
          <w:p>
            <w:r>
              <w:rPr>
                <w:b w:val="false"/>
                <w:bCs w:val="false"/>
                <w:sz w:val="19"/>
                <w:szCs w:val="19"/>
              </w:rPr>
              <w:t xml:space="preserve">Data Quality</w:t>
            </w:r>
          </w:p>
        </w:tc>
        <w:tc>
          <w:tcPr>
            <w:tcW w:type="dxa" w:w="7400"/>
            <w:tcBorders>
              <w:top w:val="single" w:color="B7BEC9" w:sz="2"/>
              <w:left w:val="single" w:color="B7BEC9" w:sz="2"/>
              <w:bottom w:val="single" w:color="B7BEC9" w:sz="2"/>
              <w:right w:val="single" w:color="B7BEC9" w:sz="2"/>
            </w:tcBorders>
            <w:shd w:fill="EAF1FB" w:val="clear"/>
            <w:tcMar>
              <w:top w:type="dxa" w:w="60"/>
              <w:left w:type="dxa" w:w="100"/>
              <w:bottom w:type="dxa" w:w="60"/>
              <w:right w:type="dxa" w:w="100"/>
            </w:tcMar>
            <w:vAlign w:val="center"/>
          </w:tcPr>
          <w:p>
            <w:r>
              <w:rPr>
                <w:b w:val="false"/>
                <w:bCs w:val="false"/>
                <w:sz w:val="19"/>
                <w:szCs w:val="19"/>
              </w:rPr>
              <w:t xml:space="preserve">Incoming data shall be validated (referential integrity, business-rule checks) before being used for forecasting; invalid records shall be flagged rather than silently accepted.</w:t>
            </w:r>
          </w:p>
        </w:tc>
      </w:tr>
      <w:tr>
        <w:tc>
          <w:tcPr>
            <w:tcW w:type="dxa" w:w="2400"/>
            <w:tcBorders>
              <w:top w:val="single" w:color="B7BEC9" w:sz="2"/>
              <w:left w:val="single" w:color="B7BEC9" w:sz="2"/>
              <w:bottom w:val="single" w:color="B7BEC9" w:sz="2"/>
              <w:right w:val="single" w:color="B7BEC9" w:sz="2"/>
            </w:tcBorders>
            <w:tcMar>
              <w:top w:type="dxa" w:w="60"/>
              <w:left w:type="dxa" w:w="100"/>
              <w:bottom w:type="dxa" w:w="60"/>
              <w:right w:type="dxa" w:w="100"/>
            </w:tcMar>
            <w:vAlign w:val="center"/>
          </w:tcPr>
          <w:p>
            <w:r>
              <w:rPr>
                <w:b w:val="false"/>
                <w:bCs w:val="false"/>
                <w:sz w:val="19"/>
                <w:szCs w:val="19"/>
              </w:rPr>
              <w:t xml:space="preserve">Auditability</w:t>
            </w:r>
          </w:p>
        </w:tc>
        <w:tc>
          <w:tcPr>
            <w:tcW w:type="dxa" w:w="7400"/>
            <w:tcBorders>
              <w:top w:val="single" w:color="B7BEC9" w:sz="2"/>
              <w:left w:val="single" w:color="B7BEC9" w:sz="2"/>
              <w:bottom w:val="single" w:color="B7BEC9" w:sz="2"/>
              <w:right w:val="single" w:color="B7BEC9" w:sz="2"/>
            </w:tcBorders>
            <w:tcMar>
              <w:top w:type="dxa" w:w="60"/>
              <w:left w:type="dxa" w:w="100"/>
              <w:bottom w:type="dxa" w:w="60"/>
              <w:right w:type="dxa" w:w="100"/>
            </w:tcMar>
            <w:vAlign w:val="center"/>
          </w:tcPr>
          <w:p>
            <w:r>
              <w:rPr>
                <w:b w:val="false"/>
                <w:bCs w:val="false"/>
                <w:sz w:val="19"/>
                <w:szCs w:val="19"/>
              </w:rPr>
              <w:t xml:space="preserve">Every forecast and model version shall be traceable to the specific model version and data snapshot that produced it.</w:t>
            </w:r>
          </w:p>
        </w:tc>
      </w:tr>
      <w:tr>
        <w:tc>
          <w:tcPr>
            <w:tcW w:type="dxa" w:w="2400"/>
            <w:tcBorders>
              <w:top w:val="single" w:color="B7BEC9" w:sz="2"/>
              <w:left w:val="single" w:color="B7BEC9" w:sz="2"/>
              <w:bottom w:val="single" w:color="B7BEC9" w:sz="2"/>
              <w:right w:val="single" w:color="B7BEC9" w:sz="2"/>
            </w:tcBorders>
            <w:shd w:fill="EAF1FB" w:val="clear"/>
            <w:tcMar>
              <w:top w:type="dxa" w:w="60"/>
              <w:left w:type="dxa" w:w="100"/>
              <w:bottom w:type="dxa" w:w="60"/>
              <w:right w:type="dxa" w:w="100"/>
            </w:tcMar>
            <w:vAlign w:val="center"/>
          </w:tcPr>
          <w:p>
            <w:r>
              <w:rPr>
                <w:b w:val="false"/>
                <w:bCs w:val="false"/>
                <w:sz w:val="19"/>
                <w:szCs w:val="19"/>
              </w:rPr>
              <w:t xml:space="preserve">Explainability</w:t>
            </w:r>
          </w:p>
        </w:tc>
        <w:tc>
          <w:tcPr>
            <w:tcW w:type="dxa" w:w="7400"/>
            <w:tcBorders>
              <w:top w:val="single" w:color="B7BEC9" w:sz="2"/>
              <w:left w:val="single" w:color="B7BEC9" w:sz="2"/>
              <w:bottom w:val="single" w:color="B7BEC9" w:sz="2"/>
              <w:right w:val="single" w:color="B7BEC9" w:sz="2"/>
            </w:tcBorders>
            <w:shd w:fill="EAF1FB" w:val="clear"/>
            <w:tcMar>
              <w:top w:type="dxa" w:w="60"/>
              <w:left w:type="dxa" w:w="100"/>
              <w:bottom w:type="dxa" w:w="60"/>
              <w:right w:type="dxa" w:w="100"/>
            </w:tcMar>
            <w:vAlign w:val="center"/>
          </w:tcPr>
          <w:p>
            <w:r>
              <w:rPr>
                <w:b w:val="false"/>
                <w:bCs w:val="false"/>
                <w:sz w:val="19"/>
                <w:szCs w:val="19"/>
              </w:rPr>
              <w:t xml:space="preserve">Every AI-generated explanation shall be grounded in real computed data and shall not introduce numeric claims that cannot be traced back to that data.</w:t>
            </w:r>
          </w:p>
        </w:tc>
      </w:tr>
      <w:tr>
        <w:tc>
          <w:tcPr>
            <w:tcW w:type="dxa" w:w="2400"/>
            <w:tcBorders>
              <w:top w:val="single" w:color="B7BEC9" w:sz="2"/>
              <w:left w:val="single" w:color="B7BEC9" w:sz="2"/>
              <w:bottom w:val="single" w:color="B7BEC9" w:sz="2"/>
              <w:right w:val="single" w:color="B7BEC9" w:sz="2"/>
            </w:tcBorders>
            <w:tcMar>
              <w:top w:type="dxa" w:w="60"/>
              <w:left w:type="dxa" w:w="100"/>
              <w:bottom w:type="dxa" w:w="60"/>
              <w:right w:type="dxa" w:w="100"/>
            </w:tcMar>
            <w:vAlign w:val="center"/>
          </w:tcPr>
          <w:p>
            <w:r>
              <w:rPr>
                <w:b w:val="false"/>
                <w:bCs w:val="false"/>
                <w:sz w:val="19"/>
                <w:szCs w:val="19"/>
              </w:rPr>
              <w:t xml:space="preserve">Scalability</w:t>
            </w:r>
          </w:p>
        </w:tc>
        <w:tc>
          <w:tcPr>
            <w:tcW w:type="dxa" w:w="7400"/>
            <w:tcBorders>
              <w:top w:val="single" w:color="B7BEC9" w:sz="2"/>
              <w:left w:val="single" w:color="B7BEC9" w:sz="2"/>
              <w:bottom w:val="single" w:color="B7BEC9" w:sz="2"/>
              <w:right w:val="single" w:color="B7BEC9" w:sz="2"/>
            </w:tcBorders>
            <w:tcMar>
              <w:top w:type="dxa" w:w="60"/>
              <w:left w:type="dxa" w:w="100"/>
              <w:bottom w:type="dxa" w:w="60"/>
              <w:right w:type="dxa" w:w="100"/>
            </w:tcMar>
            <w:vAlign w:val="center"/>
          </w:tcPr>
          <w:p>
            <w:r>
              <w:rPr>
                <w:b w:val="false"/>
                <w:bCs w:val="false"/>
                <w:sz w:val="19"/>
                <w:szCs w:val="19"/>
              </w:rPr>
              <w:t xml:space="preserve">The data and modeling approach shall support additional products, stores, and history being added over time without a fundamental redesign.</w:t>
            </w:r>
          </w:p>
        </w:tc>
      </w:tr>
    </w:tbl>
    <w:p>
      <w:pPr>
        <w:pStyle w:val="Heading1"/>
        <w:spacing w:after="160" w:before="360"/>
      </w:pPr>
      <w:r>
        <w:rPr>
          <w:b/>
          <w:bCs/>
          <w:color w:val="1F3864"/>
          <w:sz w:val="28"/>
          <w:szCs w:val="28"/>
        </w:rPr>
        <w:t xml:space="preserve">9. Assumptions &amp; Constraints</w:t>
      </w:r>
    </w:p>
    <w:p>
      <w:pPr>
        <w:pStyle w:val="Heading2"/>
        <w:spacing w:after="120" w:before="260"/>
      </w:pPr>
      <w:r>
        <w:rPr>
          <w:b/>
          <w:bCs/>
          <w:color w:val="2E5C8A"/>
          <w:sz w:val="24"/>
          <w:szCs w:val="24"/>
        </w:rPr>
        <w:t xml:space="preserve">9.1 Assumptions</w:t>
      </w:r>
    </w:p>
    <w:p>
      <w:pPr>
        <w:pStyle w:val="ListParagraph"/>
        <w:numPr>
          <w:ilvl w:val="0"/>
          <w:numId w:val="2"/>
        </w:numPr>
        <w:spacing w:after="80"/>
      </w:pPr>
      <w:r>
        <w:rPr>
          <w:sz w:val="21"/>
          <w:szCs w:val="21"/>
        </w:rPr>
        <w:t xml:space="preserve">Historical sales, product, store, and calendar/marketing data are available and of sufficient quality and history to support machine learning forecasting.</w:t>
      </w:r>
    </w:p>
    <w:p>
      <w:pPr>
        <w:pStyle w:val="ListParagraph"/>
        <w:numPr>
          <w:ilvl w:val="0"/>
          <w:numId w:val="2"/>
        </w:numPr>
        <w:spacing w:after="80"/>
      </w:pPr>
      <w:r>
        <w:rPr>
          <w:sz w:val="21"/>
          <w:szCs w:val="21"/>
        </w:rPr>
        <w:t xml:space="preserve">The current product and store master data represents the pilot scope; expansion to additional products/stores is a future phase.</w:t>
      </w:r>
    </w:p>
    <w:p>
      <w:pPr>
        <w:pStyle w:val="ListParagraph"/>
        <w:numPr>
          <w:ilvl w:val="0"/>
          <w:numId w:val="2"/>
        </w:numPr>
        <w:spacing w:after="80"/>
      </w:pPr>
      <w:r>
        <w:rPr>
          <w:sz w:val="21"/>
          <w:szCs w:val="21"/>
        </w:rPr>
        <w:t xml:space="preserve">Business users have basic familiarity with reading trend charts and do not require formal training to use the dashboard.</w:t>
      </w:r>
    </w:p>
    <w:p>
      <w:pPr>
        <w:pStyle w:val="ListParagraph"/>
        <w:numPr>
          <w:ilvl w:val="0"/>
          <w:numId w:val="2"/>
        </w:numPr>
        <w:spacing w:after="80"/>
      </w:pPr>
      <w:r>
        <w:rPr>
          <w:sz w:val="21"/>
          <w:szCs w:val="21"/>
        </w:rPr>
        <w:t xml:space="preserve">Forecast explanations generated by the Generative AI layer are decision support, not an autonomous decision-maker — a human reviews and acts on recommendations.</w:t>
      </w:r>
    </w:p>
    <w:p>
      <w:pPr>
        <w:pStyle w:val="Heading2"/>
        <w:spacing w:after="120" w:before="260"/>
      </w:pPr>
      <w:r>
        <w:rPr>
          <w:b/>
          <w:bCs/>
          <w:color w:val="2E5C8A"/>
          <w:sz w:val="24"/>
          <w:szCs w:val="24"/>
        </w:rPr>
        <w:t xml:space="preserve">9.2 Constraints</w:t>
      </w:r>
    </w:p>
    <w:p>
      <w:pPr>
        <w:pStyle w:val="ListParagraph"/>
        <w:numPr>
          <w:ilvl w:val="0"/>
          <w:numId w:val="2"/>
        </w:numPr>
        <w:spacing w:after="80"/>
      </w:pPr>
      <w:r>
        <w:rPr>
          <w:sz w:val="21"/>
          <w:szCs w:val="21"/>
        </w:rPr>
        <w:t xml:space="preserve">The forecast horizon is fixed at 30 days ahead in this phase.</w:t>
      </w:r>
    </w:p>
    <w:p>
      <w:pPr>
        <w:pStyle w:val="ListParagraph"/>
        <w:numPr>
          <w:ilvl w:val="0"/>
          <w:numId w:val="2"/>
        </w:numPr>
        <w:spacing w:after="80"/>
      </w:pPr>
      <w:r>
        <w:rPr>
          <w:sz w:val="21"/>
          <w:szCs w:val="21"/>
        </w:rPr>
        <w:t xml:space="preserve">The platform depends on an underlying cloud data and AI platform (data pipeline, model registry, and hosted language model service); its availability constrains the application's availability.</w:t>
      </w:r>
    </w:p>
    <w:p>
      <w:pPr>
        <w:pStyle w:val="ListParagraph"/>
        <w:numPr>
          <w:ilvl w:val="0"/>
          <w:numId w:val="2"/>
        </w:numPr>
        <w:spacing w:after="80"/>
      </w:pPr>
      <w:r>
        <w:rPr>
          <w:sz w:val="21"/>
          <w:szCs w:val="21"/>
        </w:rPr>
        <w:t xml:space="preserve">Forecast accuracy is bounded by the quality and completeness of the uploaded source data — the platform cannot compensate for materially incomplete or incorrect input data.</w:t>
      </w:r>
    </w:p>
    <w:p>
      <w:r>
        <w:br w:type="page"/>
      </w:r>
    </w:p>
    <w:p>
      <w:pPr>
        <w:pStyle w:val="Heading1"/>
        <w:spacing w:after="160" w:before="360"/>
      </w:pPr>
      <w:r>
        <w:rPr>
          <w:b/>
          <w:bCs/>
          <w:color w:val="1F3864"/>
          <w:sz w:val="28"/>
          <w:szCs w:val="28"/>
        </w:rPr>
        <w:t xml:space="preserve">10. Success Criteria</w:t>
      </w:r>
    </w:p>
    <w:p>
      <w:pPr>
        <w:spacing w:after="160" w:line="276"/>
      </w:pPr>
      <w:r>
        <w:rPr>
          <w:sz w:val="21"/>
          <w:szCs w:val="21"/>
        </w:rPr>
        <w:t xml:space="preserve">The platform will be considered successful against this phase's objectives if:</w:t>
      </w:r>
    </w:p>
    <w:p>
      <w:pPr>
        <w:pStyle w:val="ListParagraph"/>
        <w:numPr>
          <w:ilvl w:val="0"/>
          <w:numId w:val="2"/>
        </w:numPr>
        <w:spacing w:after="80"/>
      </w:pPr>
      <w:r>
        <w:rPr>
          <w:sz w:val="21"/>
          <w:szCs w:val="21"/>
        </w:rPr>
        <w:t xml:space="preserve">The forecasting model demonstrates materially lower forecast error (WAPE) than a naive last-period baseline on held-out historical data.</w:t>
      </w:r>
    </w:p>
    <w:p>
      <w:pPr>
        <w:pStyle w:val="ListParagraph"/>
        <w:numPr>
          <w:ilvl w:val="0"/>
          <w:numId w:val="2"/>
        </w:numPr>
        <w:spacing w:after="80"/>
      </w:pPr>
      <w:r>
        <w:rPr>
          <w:sz w:val="21"/>
          <w:szCs w:val="21"/>
        </w:rPr>
        <w:t xml:space="preserve">Demand planners are able to review a category/store forecast and its explanation without requiring analyst support.</w:t>
      </w:r>
    </w:p>
    <w:p>
      <w:pPr>
        <w:pStyle w:val="ListParagraph"/>
        <w:numPr>
          <w:ilvl w:val="0"/>
          <w:numId w:val="2"/>
        </w:numPr>
        <w:spacing w:after="80"/>
      </w:pPr>
      <w:r>
        <w:rPr>
          <w:sz w:val="21"/>
          <w:szCs w:val="21"/>
        </w:rPr>
        <w:t xml:space="preserve">Category managers can answer common cross-portfolio business questions (top performers, at-risk items, category comparisons) directly through the Analytics Assistant.</w:t>
      </w:r>
    </w:p>
    <w:p>
      <w:pPr>
        <w:pStyle w:val="ListParagraph"/>
        <w:numPr>
          <w:ilvl w:val="0"/>
          <w:numId w:val="2"/>
        </w:numPr>
        <w:spacing w:after="80"/>
      </w:pPr>
      <w:r>
        <w:rPr>
          <w:sz w:val="21"/>
          <w:szCs w:val="21"/>
        </w:rPr>
        <w:t xml:space="preserve">A new month of sales data can be uploaded and a refreshed forecast produced through the application without manual data engineering intervention.</w:t>
      </w:r>
    </w:p>
    <w:p>
      <w:pPr>
        <w:pStyle w:val="ListParagraph"/>
        <w:numPr>
          <w:ilvl w:val="0"/>
          <w:numId w:val="2"/>
        </w:numPr>
        <w:spacing w:after="80"/>
      </w:pPr>
      <w:r>
        <w:rPr>
          <w:sz w:val="21"/>
          <w:szCs w:val="21"/>
        </w:rPr>
        <w:t xml:space="preserve">Business stakeholders can trace any forecast or explanation shown in the application back to the specific data and model version that produced it.</w:t>
      </w:r>
    </w:p>
    <w:p>
      <w:pPr>
        <w:pStyle w:val="Heading1"/>
        <w:spacing w:after="160" w:before="360"/>
      </w:pPr>
      <w:r>
        <w:rPr>
          <w:b/>
          <w:bCs/>
          <w:color w:val="1F3864"/>
          <w:sz w:val="28"/>
          <w:szCs w:val="28"/>
        </w:rPr>
        <w:t xml:space="preserve">11. High-Level Solution Overview</w:t>
      </w:r>
    </w:p>
    <w:p>
      <w:pPr>
        <w:spacing w:after="160" w:line="276"/>
      </w:pPr>
      <w:r>
        <w:rPr>
          <w:sz w:val="21"/>
          <w:szCs w:val="21"/>
        </w:rPr>
        <w:t xml:space="preserve">This section is a business-level summary of the solution approach; detailed technical architecture is maintained separately in the solution design documentation.</w:t>
      </w:r>
    </w:p>
    <w:p>
      <w:pPr>
        <w:pStyle w:val="ListParagraph"/>
        <w:numPr>
          <w:ilvl w:val="0"/>
          <w:numId w:val="2"/>
        </w:numPr>
        <w:spacing w:after="80"/>
      </w:pPr>
      <w:r>
        <w:rPr>
          <w:sz w:val="21"/>
          <w:szCs w:val="21"/>
        </w:rPr>
        <w:t xml:space="preserve">A governed data platform ingests and progressively cleans and integrates the four source datasets into a single, model-ready dataset.</w:t>
      </w:r>
    </w:p>
    <w:p>
      <w:pPr>
        <w:pStyle w:val="ListParagraph"/>
        <w:numPr>
          <w:ilvl w:val="0"/>
          <w:numId w:val="2"/>
        </w:numPr>
        <w:spacing w:after="80"/>
      </w:pPr>
      <w:r>
        <w:rPr>
          <w:sz w:val="21"/>
          <w:szCs w:val="21"/>
        </w:rPr>
        <w:t xml:space="preserve">A machine learning model is trained on this integrated dataset to forecast demand, and is evaluated against both a naive baseline and its own prior version before being promoted to production use.</w:t>
      </w:r>
    </w:p>
    <w:p>
      <w:pPr>
        <w:pStyle w:val="ListParagraph"/>
        <w:numPr>
          <w:ilvl w:val="0"/>
          <w:numId w:val="2"/>
        </w:numPr>
        <w:spacing w:after="80"/>
      </w:pPr>
      <w:r>
        <w:rPr>
          <w:sz w:val="21"/>
          <w:szCs w:val="21"/>
        </w:rPr>
        <w:t xml:space="preserve">A Generative AI layer consumes the model's forecast — never generating or altering the number itself — and produces the plain-language explanations, driver analysis, and chat responses shown to business users.</w:t>
      </w:r>
    </w:p>
    <w:p>
      <w:pPr>
        <w:pStyle w:val="ListParagraph"/>
        <w:numPr>
          <w:ilvl w:val="0"/>
          <w:numId w:val="2"/>
        </w:numPr>
        <w:spacing w:after="80"/>
      </w:pPr>
      <w:r>
        <w:rPr>
          <w:sz w:val="21"/>
          <w:szCs w:val="21"/>
        </w:rPr>
        <w:t xml:space="preserve">The Forecast Dashboard and Analytics Assistant are delivered as a single web application, calling this backend through a secured API layer.</w:t>
      </w:r>
    </w:p>
    <w:p>
      <w:pPr>
        <w:pStyle w:val="ListParagraph"/>
        <w:numPr>
          <w:ilvl w:val="0"/>
          <w:numId w:val="2"/>
        </w:numPr>
        <w:spacing w:after="80"/>
      </w:pPr>
      <w:r>
        <w:rPr>
          <w:sz w:val="21"/>
          <w:szCs w:val="21"/>
        </w:rPr>
        <w:t xml:space="preserve">Pipeline refresh and retraining can be triggered on demand from the application, running as a governed, monitored job rather than an ad hoc manual process.</w:t>
      </w:r>
    </w:p>
    <w:p>
      <w:pPr>
        <w:pStyle w:val="Heading1"/>
        <w:spacing w:after="160" w:before="360"/>
      </w:pPr>
      <w:r>
        <w:rPr>
          <w:b/>
          <w:bCs/>
          <w:color w:val="1F3864"/>
          <w:sz w:val="28"/>
          <w:szCs w:val="28"/>
        </w:rPr>
        <w:t xml:space="preserve">12. Risks &amp; Mitigations</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4200"/>
        <w:gridCol w:w="5600"/>
      </w:tblGrid>
      <w:tr>
        <w:trPr>
          <w:tblHeader/>
        </w:trPr>
        <w:tc>
          <w:tcPr>
            <w:tcW w:type="dxa" w:w="4200"/>
            <w:tcBorders>
              <w:top w:val="single" w:color="B7BEC9" w:sz="2"/>
              <w:left w:val="single" w:color="B7BEC9" w:sz="2"/>
              <w:bottom w:val="single" w:color="B7BEC9" w:sz="2"/>
              <w:right w:val="single" w:color="B7BEC9" w:sz="2"/>
            </w:tcBorders>
            <w:shd w:fill="1F3864" w:val="clear"/>
            <w:tcMar>
              <w:top w:type="dxa" w:w="80"/>
              <w:left w:type="dxa" w:w="100"/>
              <w:bottom w:type="dxa" w:w="80"/>
              <w:right w:type="dxa" w:w="100"/>
            </w:tcMar>
            <w:vAlign w:val="center"/>
          </w:tcPr>
          <w:p>
            <w:r>
              <w:rPr>
                <w:b/>
                <w:bCs/>
                <w:color w:val="FFFFFF"/>
                <w:sz w:val="19"/>
                <w:szCs w:val="19"/>
              </w:rPr>
              <w:t xml:space="preserve">Risk</w:t>
            </w:r>
          </w:p>
        </w:tc>
        <w:tc>
          <w:tcPr>
            <w:tcW w:type="dxa" w:w="5600"/>
            <w:tcBorders>
              <w:top w:val="single" w:color="B7BEC9" w:sz="2"/>
              <w:left w:val="single" w:color="B7BEC9" w:sz="2"/>
              <w:bottom w:val="single" w:color="B7BEC9" w:sz="2"/>
              <w:right w:val="single" w:color="B7BEC9" w:sz="2"/>
            </w:tcBorders>
            <w:shd w:fill="1F3864" w:val="clear"/>
            <w:tcMar>
              <w:top w:type="dxa" w:w="80"/>
              <w:left w:type="dxa" w:w="100"/>
              <w:bottom w:type="dxa" w:w="80"/>
              <w:right w:type="dxa" w:w="100"/>
            </w:tcMar>
            <w:vAlign w:val="center"/>
          </w:tcPr>
          <w:p>
            <w:r>
              <w:rPr>
                <w:b/>
                <w:bCs/>
                <w:color w:val="FFFFFF"/>
                <w:sz w:val="19"/>
                <w:szCs w:val="19"/>
              </w:rPr>
              <w:t xml:space="preserve">Mitigation</w:t>
            </w:r>
          </w:p>
        </w:tc>
      </w:tr>
      <w:tr>
        <w:tc>
          <w:tcPr>
            <w:tcW w:type="dxa" w:w="4200"/>
            <w:tcBorders>
              <w:top w:val="single" w:color="B7BEC9" w:sz="2"/>
              <w:left w:val="single" w:color="B7BEC9" w:sz="2"/>
              <w:bottom w:val="single" w:color="B7BEC9" w:sz="2"/>
              <w:right w:val="single" w:color="B7BEC9" w:sz="2"/>
            </w:tcBorders>
            <w:tcMar>
              <w:top w:type="dxa" w:w="60"/>
              <w:left w:type="dxa" w:w="100"/>
              <w:bottom w:type="dxa" w:w="60"/>
              <w:right w:type="dxa" w:w="100"/>
            </w:tcMar>
            <w:vAlign w:val="center"/>
          </w:tcPr>
          <w:p>
            <w:r>
              <w:rPr>
                <w:b w:val="false"/>
                <w:bCs w:val="false"/>
                <w:sz w:val="19"/>
                <w:szCs w:val="19"/>
              </w:rPr>
              <w:t xml:space="preserve">Forecast accuracy degrades over time as market conditions change (model drift).</w:t>
            </w:r>
          </w:p>
        </w:tc>
        <w:tc>
          <w:tcPr>
            <w:tcW w:type="dxa" w:w="5600"/>
            <w:tcBorders>
              <w:top w:val="single" w:color="B7BEC9" w:sz="2"/>
              <w:left w:val="single" w:color="B7BEC9" w:sz="2"/>
              <w:bottom w:val="single" w:color="B7BEC9" w:sz="2"/>
              <w:right w:val="single" w:color="B7BEC9" w:sz="2"/>
            </w:tcBorders>
            <w:tcMar>
              <w:top w:type="dxa" w:w="60"/>
              <w:left w:type="dxa" w:w="100"/>
              <w:bottom w:type="dxa" w:w="60"/>
              <w:right w:type="dxa" w:w="100"/>
            </w:tcMar>
            <w:vAlign w:val="center"/>
          </w:tcPr>
          <w:p>
            <w:r>
              <w:rPr>
                <w:b w:val="false"/>
                <w:bCs w:val="false"/>
                <w:sz w:val="19"/>
                <w:szCs w:val="19"/>
              </w:rPr>
              <w:t xml:space="preserve">Model performance is monitored against actuals on an ongoing basis, with a defined retraining trigger rather than a one-time model deployment.</w:t>
            </w:r>
          </w:p>
        </w:tc>
      </w:tr>
      <w:tr>
        <w:tc>
          <w:tcPr>
            <w:tcW w:type="dxa" w:w="4200"/>
            <w:tcBorders>
              <w:top w:val="single" w:color="B7BEC9" w:sz="2"/>
              <w:left w:val="single" w:color="B7BEC9" w:sz="2"/>
              <w:bottom w:val="single" w:color="B7BEC9" w:sz="2"/>
              <w:right w:val="single" w:color="B7BEC9" w:sz="2"/>
            </w:tcBorders>
            <w:shd w:fill="EAF1FB" w:val="clear"/>
            <w:tcMar>
              <w:top w:type="dxa" w:w="60"/>
              <w:left w:type="dxa" w:w="100"/>
              <w:bottom w:type="dxa" w:w="60"/>
              <w:right w:type="dxa" w:w="100"/>
            </w:tcMar>
            <w:vAlign w:val="center"/>
          </w:tcPr>
          <w:p>
            <w:r>
              <w:rPr>
                <w:b w:val="false"/>
                <w:bCs w:val="false"/>
                <w:sz w:val="19"/>
                <w:szCs w:val="19"/>
              </w:rPr>
              <w:t xml:space="preserve">Business users over-trust AI-generated explanations or recommendations.</w:t>
            </w:r>
          </w:p>
        </w:tc>
        <w:tc>
          <w:tcPr>
            <w:tcW w:type="dxa" w:w="5600"/>
            <w:tcBorders>
              <w:top w:val="single" w:color="B7BEC9" w:sz="2"/>
              <w:left w:val="single" w:color="B7BEC9" w:sz="2"/>
              <w:bottom w:val="single" w:color="B7BEC9" w:sz="2"/>
              <w:right w:val="single" w:color="B7BEC9" w:sz="2"/>
            </w:tcBorders>
            <w:shd w:fill="EAF1FB" w:val="clear"/>
            <w:tcMar>
              <w:top w:type="dxa" w:w="60"/>
              <w:left w:type="dxa" w:w="100"/>
              <w:bottom w:type="dxa" w:w="60"/>
              <w:right w:type="dxa" w:w="100"/>
            </w:tcMar>
            <w:vAlign w:val="center"/>
          </w:tcPr>
          <w:p>
            <w:r>
              <w:rPr>
                <w:b w:val="false"/>
                <w:bCs w:val="false"/>
                <w:sz w:val="19"/>
                <w:szCs w:val="19"/>
              </w:rPr>
              <w:t xml:space="preserve">Explanations are always grounded in and traceable to real computed data, and the platform is positioned as decision support, not automated decision-making.</w:t>
            </w:r>
          </w:p>
        </w:tc>
      </w:tr>
      <w:tr>
        <w:tc>
          <w:tcPr>
            <w:tcW w:type="dxa" w:w="4200"/>
            <w:tcBorders>
              <w:top w:val="single" w:color="B7BEC9" w:sz="2"/>
              <w:left w:val="single" w:color="B7BEC9" w:sz="2"/>
              <w:bottom w:val="single" w:color="B7BEC9" w:sz="2"/>
              <w:right w:val="single" w:color="B7BEC9" w:sz="2"/>
            </w:tcBorders>
            <w:tcMar>
              <w:top w:type="dxa" w:w="60"/>
              <w:left w:type="dxa" w:w="100"/>
              <w:bottom w:type="dxa" w:w="60"/>
              <w:right w:type="dxa" w:w="100"/>
            </w:tcMar>
            <w:vAlign w:val="center"/>
          </w:tcPr>
          <w:p>
            <w:r>
              <w:rPr>
                <w:b w:val="false"/>
                <w:bCs w:val="false"/>
                <w:sz w:val="19"/>
                <w:szCs w:val="19"/>
              </w:rPr>
              <w:t xml:space="preserve">Incomplete or poor-quality uploaded data degrades forecast quality without users realizing it.</w:t>
            </w:r>
          </w:p>
        </w:tc>
        <w:tc>
          <w:tcPr>
            <w:tcW w:type="dxa" w:w="5600"/>
            <w:tcBorders>
              <w:top w:val="single" w:color="B7BEC9" w:sz="2"/>
              <w:left w:val="single" w:color="B7BEC9" w:sz="2"/>
              <w:bottom w:val="single" w:color="B7BEC9" w:sz="2"/>
              <w:right w:val="single" w:color="B7BEC9" w:sz="2"/>
            </w:tcBorders>
            <w:tcMar>
              <w:top w:type="dxa" w:w="60"/>
              <w:left w:type="dxa" w:w="100"/>
              <w:bottom w:type="dxa" w:w="60"/>
              <w:right w:type="dxa" w:w="100"/>
            </w:tcMar>
            <w:vAlign w:val="center"/>
          </w:tcPr>
          <w:p>
            <w:r>
              <w:rPr>
                <w:b w:val="false"/>
                <w:bCs w:val="false"/>
                <w:sz w:val="19"/>
                <w:szCs w:val="19"/>
              </w:rPr>
              <w:t xml:space="preserve">Uploaded data passes through validation and quality checks before being used for training or forecasting.</w:t>
            </w:r>
          </w:p>
        </w:tc>
      </w:tr>
      <w:tr>
        <w:tc>
          <w:tcPr>
            <w:tcW w:type="dxa" w:w="4200"/>
            <w:tcBorders>
              <w:top w:val="single" w:color="B7BEC9" w:sz="2"/>
              <w:left w:val="single" w:color="B7BEC9" w:sz="2"/>
              <w:bottom w:val="single" w:color="B7BEC9" w:sz="2"/>
              <w:right w:val="single" w:color="B7BEC9" w:sz="2"/>
            </w:tcBorders>
            <w:shd w:fill="EAF1FB" w:val="clear"/>
            <w:tcMar>
              <w:top w:type="dxa" w:w="60"/>
              <w:left w:type="dxa" w:w="100"/>
              <w:bottom w:type="dxa" w:w="60"/>
              <w:right w:type="dxa" w:w="100"/>
            </w:tcMar>
            <w:vAlign w:val="center"/>
          </w:tcPr>
          <w:p>
            <w:r>
              <w:rPr>
                <w:b w:val="false"/>
                <w:bCs w:val="false"/>
                <w:sz w:val="19"/>
                <w:szCs w:val="19"/>
              </w:rPr>
              <w:t xml:space="preserve">Low user adoption if the tool is seen as a "black box."</w:t>
            </w:r>
          </w:p>
        </w:tc>
        <w:tc>
          <w:tcPr>
            <w:tcW w:type="dxa" w:w="5600"/>
            <w:tcBorders>
              <w:top w:val="single" w:color="B7BEC9" w:sz="2"/>
              <w:left w:val="single" w:color="B7BEC9" w:sz="2"/>
              <w:bottom w:val="single" w:color="B7BEC9" w:sz="2"/>
              <w:right w:val="single" w:color="B7BEC9" w:sz="2"/>
            </w:tcBorders>
            <w:shd w:fill="EAF1FB" w:val="clear"/>
            <w:tcMar>
              <w:top w:type="dxa" w:w="60"/>
              <w:left w:type="dxa" w:w="100"/>
              <w:bottom w:type="dxa" w:w="60"/>
              <w:right w:type="dxa" w:w="100"/>
            </w:tcMar>
            <w:vAlign w:val="center"/>
          </w:tcPr>
          <w:p>
            <w:r>
              <w:rPr>
                <w:b w:val="false"/>
                <w:bCs w:val="false"/>
                <w:sz w:val="19"/>
                <w:szCs w:val="19"/>
              </w:rPr>
              <w:t xml:space="preserve">The explanation feature is a core requirement specifically to build trust by showing the reasoning behind each forecast.</w:t>
            </w:r>
          </w:p>
        </w:tc>
      </w:tr>
    </w:tbl>
    <w:p>
      <w:r>
        <w:br w:type="page"/>
      </w:r>
    </w:p>
    <w:p>
      <w:pPr>
        <w:pStyle w:val="Heading1"/>
        <w:spacing w:after="160" w:before="360"/>
      </w:pPr>
      <w:r>
        <w:rPr>
          <w:b/>
          <w:bCs/>
          <w:color w:val="1F3864"/>
          <w:sz w:val="28"/>
          <w:szCs w:val="28"/>
        </w:rPr>
        <w:t xml:space="preserve">13. Appendix — Glossary</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2400"/>
        <w:gridCol w:w="7400"/>
      </w:tblGrid>
      <w:tr>
        <w:trPr>
          <w:tblHeader/>
        </w:trPr>
        <w:tc>
          <w:tcPr>
            <w:tcW w:type="dxa" w:w="2400"/>
            <w:tcBorders>
              <w:top w:val="single" w:color="B7BEC9" w:sz="2"/>
              <w:left w:val="single" w:color="B7BEC9" w:sz="2"/>
              <w:bottom w:val="single" w:color="B7BEC9" w:sz="2"/>
              <w:right w:val="single" w:color="B7BEC9" w:sz="2"/>
            </w:tcBorders>
            <w:shd w:fill="1F3864" w:val="clear"/>
            <w:tcMar>
              <w:top w:type="dxa" w:w="80"/>
              <w:left w:type="dxa" w:w="100"/>
              <w:bottom w:type="dxa" w:w="80"/>
              <w:right w:type="dxa" w:w="100"/>
            </w:tcMar>
            <w:vAlign w:val="center"/>
          </w:tcPr>
          <w:p>
            <w:r>
              <w:rPr>
                <w:b/>
                <w:bCs/>
                <w:color w:val="FFFFFF"/>
                <w:sz w:val="19"/>
                <w:szCs w:val="19"/>
              </w:rPr>
              <w:t xml:space="preserve">Term</w:t>
            </w:r>
          </w:p>
        </w:tc>
        <w:tc>
          <w:tcPr>
            <w:tcW w:type="dxa" w:w="7400"/>
            <w:tcBorders>
              <w:top w:val="single" w:color="B7BEC9" w:sz="2"/>
              <w:left w:val="single" w:color="B7BEC9" w:sz="2"/>
              <w:bottom w:val="single" w:color="B7BEC9" w:sz="2"/>
              <w:right w:val="single" w:color="B7BEC9" w:sz="2"/>
            </w:tcBorders>
            <w:shd w:fill="1F3864" w:val="clear"/>
            <w:tcMar>
              <w:top w:type="dxa" w:w="80"/>
              <w:left w:type="dxa" w:w="100"/>
              <w:bottom w:type="dxa" w:w="80"/>
              <w:right w:type="dxa" w:w="100"/>
            </w:tcMar>
            <w:vAlign w:val="center"/>
          </w:tcPr>
          <w:p>
            <w:r>
              <w:rPr>
                <w:b/>
                <w:bCs/>
                <w:color w:val="FFFFFF"/>
                <w:sz w:val="19"/>
                <w:szCs w:val="19"/>
              </w:rPr>
              <w:t xml:space="preserve">Meaning</w:t>
            </w:r>
          </w:p>
        </w:tc>
      </w:tr>
      <w:tr>
        <w:tc>
          <w:tcPr>
            <w:tcW w:type="dxa" w:w="2400"/>
            <w:tcBorders>
              <w:top w:val="single" w:color="B7BEC9" w:sz="2"/>
              <w:left w:val="single" w:color="B7BEC9" w:sz="2"/>
              <w:bottom w:val="single" w:color="B7BEC9" w:sz="2"/>
              <w:right w:val="single" w:color="B7BEC9" w:sz="2"/>
            </w:tcBorders>
            <w:tcMar>
              <w:top w:type="dxa" w:w="60"/>
              <w:left w:type="dxa" w:w="100"/>
              <w:bottom w:type="dxa" w:w="60"/>
              <w:right w:type="dxa" w:w="100"/>
            </w:tcMar>
            <w:vAlign w:val="center"/>
          </w:tcPr>
          <w:p>
            <w:r>
              <w:rPr>
                <w:b w:val="false"/>
                <w:bCs w:val="false"/>
                <w:sz w:val="19"/>
                <w:szCs w:val="19"/>
              </w:rPr>
              <w:t xml:space="preserve">Forecast Horizon</w:t>
            </w:r>
          </w:p>
        </w:tc>
        <w:tc>
          <w:tcPr>
            <w:tcW w:type="dxa" w:w="7400"/>
            <w:tcBorders>
              <w:top w:val="single" w:color="B7BEC9" w:sz="2"/>
              <w:left w:val="single" w:color="B7BEC9" w:sz="2"/>
              <w:bottom w:val="single" w:color="B7BEC9" w:sz="2"/>
              <w:right w:val="single" w:color="B7BEC9" w:sz="2"/>
            </w:tcBorders>
            <w:tcMar>
              <w:top w:type="dxa" w:w="60"/>
              <w:left w:type="dxa" w:w="100"/>
              <w:bottom w:type="dxa" w:w="60"/>
              <w:right w:type="dxa" w:w="100"/>
            </w:tcMar>
            <w:vAlign w:val="center"/>
          </w:tcPr>
          <w:p>
            <w:r>
              <w:rPr>
                <w:b w:val="false"/>
                <w:bCs w:val="false"/>
                <w:sz w:val="19"/>
                <w:szCs w:val="19"/>
              </w:rPr>
              <w:t xml:space="preserve">The number of days into the future a forecast is generated for (30 days in this phase).</w:t>
            </w:r>
          </w:p>
        </w:tc>
      </w:tr>
      <w:tr>
        <w:tc>
          <w:tcPr>
            <w:tcW w:type="dxa" w:w="2400"/>
            <w:tcBorders>
              <w:top w:val="single" w:color="B7BEC9" w:sz="2"/>
              <w:left w:val="single" w:color="B7BEC9" w:sz="2"/>
              <w:bottom w:val="single" w:color="B7BEC9" w:sz="2"/>
              <w:right w:val="single" w:color="B7BEC9" w:sz="2"/>
            </w:tcBorders>
            <w:shd w:fill="EAF1FB" w:val="clear"/>
            <w:tcMar>
              <w:top w:type="dxa" w:w="60"/>
              <w:left w:type="dxa" w:w="100"/>
              <w:bottom w:type="dxa" w:w="60"/>
              <w:right w:type="dxa" w:w="100"/>
            </w:tcMar>
            <w:vAlign w:val="center"/>
          </w:tcPr>
          <w:p>
            <w:r>
              <w:rPr>
                <w:b w:val="false"/>
                <w:bCs w:val="false"/>
                <w:sz w:val="19"/>
                <w:szCs w:val="19"/>
              </w:rPr>
              <w:t xml:space="preserve">WAPE</w:t>
            </w:r>
          </w:p>
        </w:tc>
        <w:tc>
          <w:tcPr>
            <w:tcW w:type="dxa" w:w="7400"/>
            <w:tcBorders>
              <w:top w:val="single" w:color="B7BEC9" w:sz="2"/>
              <w:left w:val="single" w:color="B7BEC9" w:sz="2"/>
              <w:bottom w:val="single" w:color="B7BEC9" w:sz="2"/>
              <w:right w:val="single" w:color="B7BEC9" w:sz="2"/>
            </w:tcBorders>
            <w:shd w:fill="EAF1FB" w:val="clear"/>
            <w:tcMar>
              <w:top w:type="dxa" w:w="60"/>
              <w:left w:type="dxa" w:w="100"/>
              <w:bottom w:type="dxa" w:w="60"/>
              <w:right w:type="dxa" w:w="100"/>
            </w:tcMar>
            <w:vAlign w:val="center"/>
          </w:tcPr>
          <w:p>
            <w:r>
              <w:rPr>
                <w:b w:val="false"/>
                <w:bCs w:val="false"/>
                <w:sz w:val="19"/>
                <w:szCs w:val="19"/>
              </w:rPr>
              <w:t xml:space="preserve">Weighted Absolute Percentage Error — the primary accuracy metric used to evaluate the forecasting model, chosen because it remains meaningful even on days with zero sales.</w:t>
            </w:r>
          </w:p>
        </w:tc>
      </w:tr>
      <w:tr>
        <w:tc>
          <w:tcPr>
            <w:tcW w:type="dxa" w:w="2400"/>
            <w:tcBorders>
              <w:top w:val="single" w:color="B7BEC9" w:sz="2"/>
              <w:left w:val="single" w:color="B7BEC9" w:sz="2"/>
              <w:bottom w:val="single" w:color="B7BEC9" w:sz="2"/>
              <w:right w:val="single" w:color="B7BEC9" w:sz="2"/>
            </w:tcBorders>
            <w:tcMar>
              <w:top w:type="dxa" w:w="60"/>
              <w:left w:type="dxa" w:w="100"/>
              <w:bottom w:type="dxa" w:w="60"/>
              <w:right w:type="dxa" w:w="100"/>
            </w:tcMar>
            <w:vAlign w:val="center"/>
          </w:tcPr>
          <w:p>
            <w:r>
              <w:rPr>
                <w:b w:val="false"/>
                <w:bCs w:val="false"/>
                <w:sz w:val="19"/>
                <w:szCs w:val="19"/>
              </w:rPr>
              <w:t xml:space="preserve">Model Version / Registry</w:t>
            </w:r>
          </w:p>
        </w:tc>
        <w:tc>
          <w:tcPr>
            <w:tcW w:type="dxa" w:w="7400"/>
            <w:tcBorders>
              <w:top w:val="single" w:color="B7BEC9" w:sz="2"/>
              <w:left w:val="single" w:color="B7BEC9" w:sz="2"/>
              <w:bottom w:val="single" w:color="B7BEC9" w:sz="2"/>
              <w:right w:val="single" w:color="B7BEC9" w:sz="2"/>
            </w:tcBorders>
            <w:tcMar>
              <w:top w:type="dxa" w:w="60"/>
              <w:left w:type="dxa" w:w="100"/>
              <w:bottom w:type="dxa" w:w="60"/>
              <w:right w:type="dxa" w:w="100"/>
            </w:tcMar>
            <w:vAlign w:val="center"/>
          </w:tcPr>
          <w:p>
            <w:r>
              <w:rPr>
                <w:b w:val="false"/>
                <w:bCs w:val="false"/>
                <w:sz w:val="19"/>
                <w:szCs w:val="19"/>
              </w:rPr>
              <w:t xml:space="preserve">A tracked, versioned record of each trained model, allowing any forecast to be traced back to exactly which model produced it.</w:t>
            </w:r>
          </w:p>
        </w:tc>
      </w:tr>
      <w:tr>
        <w:tc>
          <w:tcPr>
            <w:tcW w:type="dxa" w:w="2400"/>
            <w:tcBorders>
              <w:top w:val="single" w:color="B7BEC9" w:sz="2"/>
              <w:left w:val="single" w:color="B7BEC9" w:sz="2"/>
              <w:bottom w:val="single" w:color="B7BEC9" w:sz="2"/>
              <w:right w:val="single" w:color="B7BEC9" w:sz="2"/>
            </w:tcBorders>
            <w:shd w:fill="EAF1FB" w:val="clear"/>
            <w:tcMar>
              <w:top w:type="dxa" w:w="60"/>
              <w:left w:type="dxa" w:w="100"/>
              <w:bottom w:type="dxa" w:w="60"/>
              <w:right w:type="dxa" w:w="100"/>
            </w:tcMar>
            <w:vAlign w:val="center"/>
          </w:tcPr>
          <w:p>
            <w:r>
              <w:rPr>
                <w:b w:val="false"/>
                <w:bCs w:val="false"/>
                <w:sz w:val="19"/>
                <w:szCs w:val="19"/>
              </w:rPr>
              <w:t xml:space="preserve">Grounded Explanation</w:t>
            </w:r>
          </w:p>
        </w:tc>
        <w:tc>
          <w:tcPr>
            <w:tcW w:type="dxa" w:w="7400"/>
            <w:tcBorders>
              <w:top w:val="single" w:color="B7BEC9" w:sz="2"/>
              <w:left w:val="single" w:color="B7BEC9" w:sz="2"/>
              <w:bottom w:val="single" w:color="B7BEC9" w:sz="2"/>
              <w:right w:val="single" w:color="B7BEC9" w:sz="2"/>
            </w:tcBorders>
            <w:shd w:fill="EAF1FB" w:val="clear"/>
            <w:tcMar>
              <w:top w:type="dxa" w:w="60"/>
              <w:left w:type="dxa" w:w="100"/>
              <w:bottom w:type="dxa" w:w="60"/>
              <w:right w:type="dxa" w:w="100"/>
            </w:tcMar>
            <w:vAlign w:val="center"/>
          </w:tcPr>
          <w:p>
            <w:r>
              <w:rPr>
                <w:b w:val="false"/>
                <w:bCs w:val="false"/>
                <w:sz w:val="19"/>
                <w:szCs w:val="19"/>
              </w:rPr>
              <w:t xml:space="preserve">An AI-generated explanation whose factual and numeric content is drawn only from real, computed business data — not invented by the language model.</w:t>
            </w:r>
          </w:p>
        </w:tc>
      </w:tr>
      <w:tr>
        <w:tc>
          <w:tcPr>
            <w:tcW w:type="dxa" w:w="2400"/>
            <w:tcBorders>
              <w:top w:val="single" w:color="B7BEC9" w:sz="2"/>
              <w:left w:val="single" w:color="B7BEC9" w:sz="2"/>
              <w:bottom w:val="single" w:color="B7BEC9" w:sz="2"/>
              <w:right w:val="single" w:color="B7BEC9" w:sz="2"/>
            </w:tcBorders>
            <w:tcMar>
              <w:top w:type="dxa" w:w="60"/>
              <w:left w:type="dxa" w:w="100"/>
              <w:bottom w:type="dxa" w:w="60"/>
              <w:right w:type="dxa" w:w="100"/>
            </w:tcMar>
            <w:vAlign w:val="center"/>
          </w:tcPr>
          <w:p>
            <w:r>
              <w:rPr>
                <w:b w:val="false"/>
                <w:bCs w:val="false"/>
                <w:sz w:val="19"/>
                <w:szCs w:val="19"/>
              </w:rPr>
              <w:t xml:space="preserve">Pipeline Refresh</w:t>
            </w:r>
          </w:p>
        </w:tc>
        <w:tc>
          <w:tcPr>
            <w:tcW w:type="dxa" w:w="7400"/>
            <w:tcBorders>
              <w:top w:val="single" w:color="B7BEC9" w:sz="2"/>
              <w:left w:val="single" w:color="B7BEC9" w:sz="2"/>
              <w:bottom w:val="single" w:color="B7BEC9" w:sz="2"/>
              <w:right w:val="single" w:color="B7BEC9" w:sz="2"/>
            </w:tcBorders>
            <w:tcMar>
              <w:top w:type="dxa" w:w="60"/>
              <w:left w:type="dxa" w:w="100"/>
              <w:bottom w:type="dxa" w:w="60"/>
              <w:right w:type="dxa" w:w="100"/>
            </w:tcMar>
            <w:vAlign w:val="center"/>
          </w:tcPr>
          <w:p>
            <w:r>
              <w:rPr>
                <w:b w:val="false"/>
                <w:bCs w:val="false"/>
                <w:sz w:val="19"/>
                <w:szCs w:val="19"/>
              </w:rPr>
              <w:t xml:space="preserve">The end-to-end process of re-ingesting data, retraining the model, and regenerating forecasts.</w:t>
            </w:r>
          </w:p>
        </w:tc>
      </w:tr>
      <w:tr>
        <w:tc>
          <w:tcPr>
            <w:tcW w:type="dxa" w:w="2400"/>
            <w:tcBorders>
              <w:top w:val="single" w:color="B7BEC9" w:sz="2"/>
              <w:left w:val="single" w:color="B7BEC9" w:sz="2"/>
              <w:bottom w:val="single" w:color="B7BEC9" w:sz="2"/>
              <w:right w:val="single" w:color="B7BEC9" w:sz="2"/>
            </w:tcBorders>
            <w:shd w:fill="EAF1FB" w:val="clear"/>
            <w:tcMar>
              <w:top w:type="dxa" w:w="60"/>
              <w:left w:type="dxa" w:w="100"/>
              <w:bottom w:type="dxa" w:w="60"/>
              <w:right w:type="dxa" w:w="100"/>
            </w:tcMar>
            <w:vAlign w:val="center"/>
          </w:tcPr>
          <w:p>
            <w:r>
              <w:rPr>
                <w:b w:val="false"/>
                <w:bCs w:val="false"/>
                <w:sz w:val="19"/>
                <w:szCs w:val="19"/>
              </w:rPr>
              <w:t xml:space="preserve">Stockout</w:t>
            </w:r>
          </w:p>
        </w:tc>
        <w:tc>
          <w:tcPr>
            <w:tcW w:type="dxa" w:w="7400"/>
            <w:tcBorders>
              <w:top w:val="single" w:color="B7BEC9" w:sz="2"/>
              <w:left w:val="single" w:color="B7BEC9" w:sz="2"/>
              <w:bottom w:val="single" w:color="B7BEC9" w:sz="2"/>
              <w:right w:val="single" w:color="B7BEC9" w:sz="2"/>
            </w:tcBorders>
            <w:shd w:fill="EAF1FB" w:val="clear"/>
            <w:tcMar>
              <w:top w:type="dxa" w:w="60"/>
              <w:left w:type="dxa" w:w="100"/>
              <w:bottom w:type="dxa" w:w="60"/>
              <w:right w:type="dxa" w:w="100"/>
            </w:tcMar>
            <w:vAlign w:val="center"/>
          </w:tcPr>
          <w:p>
            <w:r>
              <w:rPr>
                <w:b w:val="false"/>
                <w:bCs w:val="false"/>
                <w:sz w:val="19"/>
                <w:szCs w:val="19"/>
              </w:rPr>
              <w:t xml:space="preserve">A situation where customer demand exceeded available inventory, meaning observed sales understate true demand.</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7BEC9" w:sz="4" w:space="4"/>
      </w:pBdr>
      <w:tabs>
        <w:tab w:val="right" w:pos="9026"/>
      </w:tabs>
    </w:pPr>
    <w:r>
      <w:rPr>
        <w:color w:val="5B6270"/>
        <w:sz w:val="16"/>
        <w:szCs w:val="16"/>
      </w:rPr>
      <w:t xml:space="preserve">© 2026 AaiTech — Sales AI Business Requirements Document</w:t>
    </w:r>
    <w:r>
      <w:rPr>
        <w:sz w:val="16"/>
        <w:szCs w:val="16"/>
      </w:rPr>
      <w:t xml:space="preserve">	</w:t>
    </w:r>
    <w:r>
      <w:rPr>
        <w:color w:val="5B6270"/>
        <w:sz w:val="16"/>
        <w:szCs w:val="16"/>
      </w:rPr>
      <w:t xml:space="preserve">Page </w:t>
    </w:r>
    <w:r>
      <w:rPr>
        <w:color w:val="5B6270"/>
        <w:sz w:val="16"/>
        <w:szCs w:val="16"/>
      </w:rPr>
      <w:fldChar w:fldCharType="begin"/>
      <w:instrText xml:space="preserve">PAGE</w:instrText>
      <w:fldChar w:fldCharType="separate"/>
      <w:fldChar w:fldCharType="end"/>
    </w:r>
    <w:r>
      <w:rPr>
        <w:color w:val="5B6270"/>
        <w:sz w:val="16"/>
        <w:szCs w:val="16"/>
      </w:rPr>
      <w:t xml:space="preserve"> of </w:t>
    </w:r>
    <w:r>
      <w:rPr>
        <w:color w:val="5B627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026"/>
      </w:tabs>
    </w:pPr>
    <w:r>
      <w:rPr>
        <w:b/>
        <w:bCs/>
        <w:color w:val="8A8F98"/>
        <w:sz w:val="16"/>
        <w:szCs w:val="16"/>
      </w:rPr>
      <w:t xml:space="preserve">AaiTech</w:t>
    </w:r>
    <w:r>
      <w:rPr>
        <w:sz w:val="15"/>
        <w:szCs w:val="15"/>
      </w:rPr>
      <w:t xml:space="preserve">	</w:t>
    </w:r>
    <w:r>
      <w:rPr>
        <w:color w:val="8A8F98"/>
        <w:sz w:val="15"/>
        <w:szCs w:val="15"/>
      </w:rPr>
      <w:t xml:space="preserve">CONFIDENTIAL — INTERNAL USE ONLY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8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2026-09-15T04:04:02.909Z</dcterms:created>
  <dcterms:modified xsi:type="dcterms:W3CDTF">2026-09-15T04:04:02.919Z</dcterms:modified>
</cp:coreProperties>
</file>

<file path=docProps/custom.xml><?xml version="1.0" encoding="utf-8"?>
<Properties xmlns="http://schemas.openxmlformats.org/officeDocument/2006/custom-properties" xmlns:vt="http://schemas.openxmlformats.org/officeDocument/2006/docPropsVTypes"/>
</file>