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LogProof</w:t>
      </w:r>
    </w:p>
    <w:p w14:paraId="0000000A">
      <w:pPr>
        <w:pStyle w:val="Title"/>
        <w:spacing w:line="240" w:lineRule="auto"/>
        <w:rPr>
          <w:rFonts w:ascii="Helvetica Neue" w:cs="Helvetica Neue" w:eastAsia="Helvetica Neue" w:hAnsi="Helvetica Neue"/>
          <w:sz w:val="72"/>
          <w:szCs w:val="72"/>
        </w:rPr>
      </w:pPr>
      <w:r>
        <w:t>Platform Working Guide</w:t>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Prototype guide</w:t>
            </w:r>
          </w:p>
        </w:tc>
        <w:tc>
          <w:tcPr/>
          <w:p>
            <w:r/>
          </w:p>
        </w:tc>
        <w:tc>
          <w:tcPr/>
          <w:p>
            <w:r>
              <w:t>OWNER</w:t>
              <w:br/>
              <w:t>LogProof project</w:t>
            </w:r>
          </w:p>
        </w:tc>
        <w:tc>
          <w:tcPr/>
          <w:p>
            <w:r/>
          </w:p>
        </w:tc>
        <w:tc>
          <w:tcPr/>
          <w:p>
            <w:r>
              <w:t>LAST UPDATED</w:t>
              <w:br/>
              <w:t>September 25,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E6E7E8"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Project team (not assigned)</w:t>
            </w:r>
          </w:p>
        </w:tc>
      </w:tr>
      <w:tr>
        <w:trPr>
          <w:cantSplit w:val="1"/>
          <w:trHeight w:val="404.3103027343749" w:hRule="atLeast"/>
          <w:tblHeader w:val="0"/>
        </w:trPr>
        <w:tc>
          <w:tcPr>
            <w:shd w:fill="E6E7E8"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r>
      <w:tr>
        <w:trPr>
          <w:cantSplit w:val="1"/>
          <w:tblHeader w:val="0"/>
        </w:trPr>
        <w:tc>
          <w:tcPr>
            <w:shd w:fill="E6E7E8"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README.md; WitFoo dataset card (link in §6)</w:t>
            </w:r>
          </w:p>
        </w:tc>
      </w:tr>
      <w:tr>
        <w:trPr>
          <w:cantSplit w:val="1"/>
          <w:tblHeader w:val="0"/>
        </w:trPr>
        <w:tc>
          <w:tcPr>
            <w:shd w:fill="E6E7E8"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Current demo behavior, controls, data path, guarantees, and production gaps.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1.  Abstract</w:t>
      </w:r>
    </w:p>
    <w:p w14:paraId="00000027">
      <w:pPr>
        <w:spacing w:after="110" w:line="300" w:lineRule="auto"/>
        <w:jc w:val="both"/>
        <w:rPr>
          <w:rFonts w:ascii="Helvetica Neue" w:cs="Helvetica Neue" w:eastAsia="Helvetica Neue" w:hAnsi="Helvetica Neue"/>
        </w:rPr>
      </w:pPr>
      <w:r>
        <w:t>LogProof is a local-first log preprocessing prototype. It accepts varied security and operations events, stores original bytes, parses them into a shared event record, and keeps field-level links for review. Operators can inspect evidence, detect shape changes, compare a candidate firewall parser with a fixed corpus, and approve or roll back that example parser. The current build demonstrates a review workflow; it does not claim production scale, source authenticity, or SIEM integration.</w:t>
      </w:r>
    </w:p>
    <w:p w14:paraId="00000028">
      <w:pPr>
        <w:spacing w:after="110" w:line="300" w:lineRule="auto"/>
        <w:jc w:val="both"/>
        <w:rPr>
          <w:rFonts w:ascii="Helvetica Neue" w:cs="Helvetica Neue" w:eastAsia="Helvetica Neue" w:hAnsi="Helvetica Neue"/>
        </w:rPr>
      </w:pPr>
      <w:r>
        <w:t>The demo supports individual events and small batches on a single local service. The API accepts up to 256,000 bytes per event; NDJSON batches allow up to 100 records, 2 MB total, and 256,000 bytes per event. SQLite stores metadata and local files store raw bytes. Authentication, high availability, distributed throughput, and ministry deployment are future engineering work.</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Retain and inspect received bytes.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Prove source authenticity or trusted chain of custody.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Normalize varied demo formats with traceable field maps.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Claim full OCSF coverage or universal parser support.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Demonstrate drift detection and gated firewall replay.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Provide production HA, multi-tenant auth, or billion-event scale.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Run locally or in the included container setup.</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Deliver ministry-ready deployment or SIEM export today.</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t>3.  Background and Problem Statement</w:t>
      </w:r>
    </w:p>
    <w:p w14:paraId="00000037">
      <w:pPr>
        <w:spacing w:after="110" w:line="300" w:lineRule="auto"/>
        <w:jc w:val="both"/>
        <w:rPr>
          <w:rFonts w:ascii="Helvetica Neue" w:cs="Helvetica Neue" w:eastAsia="Helvetica Neue" w:hAnsi="Helvetica Neue"/>
        </w:rPr>
      </w:pPr>
      <w:r>
        <w:t>Security logs arrive as JSON, Syslog, CEF, web access lines, XML, CSV, and vendor-shaped records. Source-specific parsing makes investigations harder when the original bytes, parser version, and field interpretation cannot be reviewed together. LogProof puts a traceable preprocessing step before a SIEM or data lake. The prototype demonstrates ten source families across those formats; it preserves bytes and maps parsed fields but does not yet normalize to full OCSF or connect to a SIEM.</w:t>
      </w:r>
    </w:p>
    <w:p w14:paraId="00000038">
      <w:pPr>
        <w:spacing w:after="110" w:line="300" w:lineRule="auto"/>
        <w:jc w:val="both"/>
        <w:rPr>
          <w:rFonts w:ascii="Helvetica Neue" w:cs="Helvetica Neue" w:eastAsia="Helvetica Neue" w:hAnsi="Helvetica Neue"/>
          <w:color w:val="000000"/>
        </w:rPr>
      </w:pPr>
      <w:r>
        <w:t>The browser presents ingestion and review tools. A FastAPI service validates source and size, saves original bytes, then calls a source-specific parser. SQLite holds event, receipt, field-map, quality, drift, and parser-registry metadata. The invariant is simple: a normalized value must remain traceable to the received bytes and parser version. SHA-256 verifies stored-byte integrity; it does not prove who produced the event.</w:t>
      </w:r>
    </w:p>
    <w:p w14:paraId="00000039">
      <w:pPr>
        <w:pStyle w:val="Heading1"/>
        <w:rPr>
          <w:rFonts w:ascii="Helvetica Neue" w:cs="Helvetica Neue" w:eastAsia="Helvetica Neue" w:hAnsi="Helvetica Neue"/>
        </w:rPr>
      </w:pPr>
      <w: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Current prototype data path and review tools.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Browser UI</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Ingest, browse, compare, approve; Next.js tabs and controls.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Browser state; API responses.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Shows disconnected/error state; retry after API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FastAPI API</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Limits, routing, pagination, batch validation.</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In-memory request data.</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Rejects unknown source/invalid item; no queue retry.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Parser pipeline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Persist raw bytes, digest, parse, map, assess quality.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Raw files + SQLite metadata.</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Parse/missing-field issues quarantine; storage crash can split writes.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Review tools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Evidence, drift, quarantine, replay, registry.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SQLite event/receipt/parser records.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No background recovery or multi-node coordination.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Simulator + dataset</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Ten synthetic source families; optional bounded HF sample.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Demo events and import state.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WitFoo fetch needs internet; hosted demo may reset.</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t>5.  Request Lifecycle</w:t>
      </w:r>
    </w:p>
    <w:p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Navigation. The nine tabs open Overview, Why LogProof, Live ingestion, Evidence explorer, Drift watch, Quarantine, Replay lab, Parser registry, and Pricing. The mobile selector opens the same views. Header status reports local, hosted, or disconnected API state.</w:t>
      </w:r>
    </w:p>
    <w:p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Overview. "Start guided demo" seeds baseline examples and opens ingestion; "Explore evidence" opens the evidence list. "Trigger change" emits a firewall shape change and opens Drift Watch. "View evidence" opens the selected receipt. "Run replay" starts the parser comparison. Per-source controls set 1–5 events/second, emit one event, or pause/resume that source. The demo has no sign-in or role checks.</w:t>
      </w:r>
    </w:p>
    <w:p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Live ingestion. "Start stream" / "Pause stream" control all simulator sources. "Emit firewall event" creates a valid sample; "Emit malformed event" sends broken JSON for quarantine. Select a source, edit raw text, then "Process raw event" submits it. "Import 20 WitFoo events" fetches a small sanitized sample and skips unavailable or repeated dataset rows. NDJSON "Import batch" accepts one source/raw or source/raw_base64 envelope per line; invalid lines are reported individually. "Export all NDJSON" downloads retained event objects. The ten demo families cover Palo Alto firewall JSON, Cisco-style Syslog, RFC 5424 Syslog, CEF, NGINX combined access, Windows security JSON, Windows Event XML, network-flow CSV, LEEF, and application JSON. Recent receipts refresh automatically; "Inspect" opens evidence and Previous/Next changes the server-paged list (20 items).</w:t>
      </w:r>
    </w:p>
    <w:p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Evidence and quality. Search filters receipts or known sources and returns 20 items per page; selecting a row shows raw bytes, normalized fields, receipt/parser IDs, hash status, and field map. Selecting a mapped field highlights its source byte range when available. Drift Watch compares event shape with the baseline; "Trigger format change" emits the demonstration case and "Inspect" opens its receipt. Quarantine lists held events and reasons; "Inspect" opens retained evidence. These lists do not offer a quarantine reprocess action.</w:t>
      </w:r>
    </w:p>
    <w:p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Replay and parser registry. Replay runs golden firewall cases plus up to 20 recent distinct firewall events against the same corpus. "Run replay" reports coverage, regression, timing, and field differences. "Approve &amp; promote" is enabled only after gates pass and an approver name is entered; it records the approval and previous version as rollback target. Registry "Rollback" restores that target. This managed promotion path is implemented for the firewall example only.</w:t>
      </w:r>
    </w:p>
    <w:p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Purpose and pricing. "Follow an evidence trail" / "Inspect evidence" / "Trace a field" open Evidence; "See the parser gate" / "Open replay lab" open Replay; "See drift watch" opens Drift. Pricing tabs switch between annual licenses and a proposed pilot; "View pilot scope" selects the pilot tab. Displayed proposal: Community ₹0; Team ₹24,000/month billed annually; Secure ₹1.25 lakh/month billed annually; Enterprise/Government from ₹30 lakh/year; 12-week pilot ₹4.5–7.5 lakh one-time. Prices and listed enterprise features are illustrative, not a live offer or a statement that every feature is implemented.</w:t>
      </w:r>
    </w:p>
    <w:p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Reset. Footer "Reset demo" stops streaming, removes demo events and raw receipt files, resets parser state, reseeds baseline events, and returns to Overview. Treat it as destructive to the current demo dataset. Failures appear in the relevant screen; retry after correcting source, payload, or connectivity. The WitFoo sample import requires internet access.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t>6.  API and Data Contracts</w:t>
      </w:r>
    </w:p>
    <w:p w14:paraId="00000064">
      <w:pPr>
        <w:pStyle w:val="Heading3"/>
        <w:spacing w:after="90" w:line="280" w:lineRule="auto"/>
        <w:rPr/>
      </w:pPr>
      <w:r>
        <w:t>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event_id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Normalized event identifier.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receipt_id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Links event to raw receipt and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source_id / format</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Selects one of ten demo source-family parsers.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event_time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Usually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Parsed source time where available; missing required fields can quarantine.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raw_sha256</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hex string</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Digest for stored-byte integrity verification.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parser_version</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Parser build used to produce the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field_map</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array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Source key, transform, confidence, optional byte offsets; normalized fields can include severity, category, action, source/destination IP and port, user, rule, protocol, provider, channel, and facility. Not every source supplies every field.</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Raw bytes are written before parsing. A receipt and SHA-256 digest connect the stored object to the resulting metadata. Parser failure or missing required fields holds the event in quarantine; it does not discard the raw payload.</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Each accepted submission receives a new event and receipt ID. Listing order is newest first with limit/offset pagination; no exactly-once guarantee is claimed. Dataset imports track source row identity to avoid importing the same sample row again.</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Evidence records retain source, format, parser version, raw-file reference, digest, quality result, and field-map metadata. Replay uses a shared corpus for baseline and candidate. The local parser pack checksum detects file changes; packs are not digitally signed.</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digest supports byte-integrity checks within this service. It is not proof of source-device authenticity, trusted time, or chain of custody. Hosted demo storage is shared synthetic state and may reset after redeploy.</w:t>
      </w:r>
    </w:p>
    <w:p w14:paraId="0000008D">
      <w:pPr>
        <w:spacing w:after="110" w:line="300" w:lineRule="auto"/>
        <w:rPr>
          <w:rFonts w:ascii="Helvetica Neue" w:cs="Helvetica Neue" w:eastAsia="Helvetica Neue" w:hAnsi="Helvetica Neue"/>
        </w:rPr>
      </w:pPr>
      <w:r>
        <w:t>Prototype API contracts are implemented in backend/main.py. Routes include POST /api/ingest/{source_id}, POST /api/ingest/batch, GET /api/events/page, GET /api/events/{event_id}, GET /api/evidence/{receipt_id}, GET /api/events/export.ndjson, GET /api/drift, GET /api/quarantine, POST /api/replay, GET /api/parser/registry, POST /api/parser/approve, POST /api/parser/rollback, and /api/simulator/*. Standards references: RFC 5424 https://www.rfc-editor.org/rfc/rfc5424 · NDJSON https://github.com/ndjson/ndjson-spec · WitFoo dataset https://huggingface.co/datasets/witfoo/precinct6-cybersecurity-100m</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t>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This is a synchronous, single-service prototype. Filesystem writes and SQLite metadata are separate operations, so a crash can leave an orphaned raw file or incomplete receipt; no transaction spans both stores. Repeated manual uploads create new receipts. Batch items are processed independently. Simulator and dataset imports are bounded; there is no queue, distributed ordering, or exactly-once delivery.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Observed behavior</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Reasoning / limit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Repeated manual upload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New receipt/event ID. Dataset row duplicates are skipped.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No exactly-once guarantee.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Bad syntax / missing required fields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Raw event retained; parse result quarantined.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Preserves inspectable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Batch item invalid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That line is rejected; other items continue.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Per-item partial success.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Parser change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Same firewall corpus replayed; promotion gated on passing checks.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Narrow demo workflow, not general parser lifecycle.</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t>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demo has no authentication, authorization, or tenant isolation. Run local-only with trusted operators. Do not expose it to untrusted networks or upload sensitive production logs.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Raw input is retained for evidence, so payloads may contain secrets or personal data. Use synthetic/demo data, restrict filesystem access, and define a retention/deletion policy before real logs.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Dataset fetching uses public Hugging Face access and may require outbound internet; no credential vault or key-management workflow is implemented. Configure deployment secrets outside source control.</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Reset deletes current demo events and raw receipt files. Promotion is gated by replay results and an approver string, but the string is not authenticated. Review changes before using this prototype with anything other than demo data.</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Local mode stores data under the configured data directory; Docker can persist it on a mounted volume. Hosted demo data is shared and may reset. Per-tenant retention, secure erase, residency, backups, and audit exports remain to be designed.</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Current evidence</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Production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Throughput</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1,000 event sequential local benchmark; illustrative only.</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Define workload + repeatable target.</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Latency</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Replay reports elapsed time; no service SLO.</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Measure p95/p99 under concurrency.</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Errors</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API responses and quarantine reasons.</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Add durable alerts and on-call owner.</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Configuration</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Parser version/checksum shown in registry.</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Add signed pack and controlled distribution.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Integrity</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SHA-256 verification shown in evidence view.</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Not assigned</w:t>
            </w:r>
          </w:p>
        </w:tc>
        <w:tc>
          <w:tcPr>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t>Test backup, recovery, and custody requirements.</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E6E7E8" w:val="clear"/>
            <w:tcMar>
              <w:top w:w="110.0" w:type="dxa"/>
              <w:left w:w="120.0" w:type="dxa"/>
              <w:bottom w:w="110.0" w:type="dxa"/>
              <w:right w:w="120.0" w:type="dxa"/>
            </w:tcMar>
            <w:vAlign w:val="center"/>
          </w:tcPr>
          <w:p>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Why considered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Current reason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Direct SIEM ingestion</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Fewer components.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Leaves parser provenance/replay assurance outside this demo.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Existing pipeline only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Mature transforms and connectors.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LogProof prototype demonstrates an upstream review layer; no parity claim.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Cloud managed service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Fast to operate.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Air-gapped target and raw-data control need local evaluation.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Full event platform</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Broad analytics.</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Out of current prototype scope; build assurance proof first.</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t>11. Open Questions</w:t>
      </w:r>
    </w:p>
    <w:p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Which SIEM, data lake, and export contract must be supported first?</w:t>
      </w:r>
    </w:p>
    <w:p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What authentication, roles, retention, and data residency rules apply to the ministry deployment?</w:t>
      </w:r>
    </w:p>
    <w:p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What measured peak rate, burst size, and availability target should guide queueing and storage design?</w:t>
      </w:r>
    </w:p>
    <w:p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Who owns parser approval, signed releases, offline distribution, and incident response?</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t>12. Decision and Next Steps</w:t>
      </w:r>
    </w:p>
    <w:p w14:paraId="000000E4">
      <w:pPr>
        <w:spacing w:after="110" w:line="300" w:lineRule="auto"/>
        <w:jc w:val="both"/>
        <w:rPr>
          <w:rFonts w:ascii="Helvetica Neue" w:cs="Helvetica Neue" w:eastAsia="Helvetica Neue" w:hAnsi="Helvetica Neue"/>
        </w:rPr>
      </w:pPr>
      <w:r>
        <w:t>Treat LogProof as a prototype for validating evidence traceability and safe parser changes. The next step is a restricted pilot plan: select representative sanitized sources, define access and retention, add authenticated roles and durable transactional storage, test export into the target SIEM, then run a separately measured offline deployment and load test. Broader ministry use should wait for threat modeling, operational ownership, recovery tests, and agreed scale targets.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Threat model, target sources, data policy.</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Owners and scale/security requirements approved.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Auth, transactional persistence, signed parser pack.</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Security and recovery tests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SIEM export and offline transfer on separate host.</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End-to-end trace plus no-network install verified.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Measured pilot under agreed workload.</w:t>
            </w:r>
          </w:p>
        </w:tc>
        <w:tc>
          <w:tcPr>
            <w:tcBorders>
              <w:top w:color="ffffff" w:space="0" w:sz="6" w:val="single"/>
              <w:left w:color="ffffff" w:space="0" w:sz="6" w:val="single"/>
              <w:bottom w:color="ffffff" w:space="0" w:sz="6" w:val="single"/>
              <w:right w:color="ffffff" w:space="0" w:sz="6" w:val="single"/>
            </w:tcBorders>
            <w:shd w:fill="E6E7E8" w:val="clear"/>
            <w:tcMar>
              <w:top w:w="110.0" w:type="dxa"/>
              <w:left w:w="120.0" w:type="dxa"/>
              <w:bottom w:w="110.0" w:type="dxa"/>
              <w:right w:w="120.0" w:type="dxa"/>
            </w:tcMar>
            <w:vAlign w:val="center"/>
          </w:tcPr>
          <w:p>
            <w:r>
              <w:t>Load, failure, rollback, and operator acceptance gates met.</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headerReference w:type="even" r:id="rId7"/>
      <w:footerReference w:type="even" r:id="rId14"/>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LogProof | Platform Working Guide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rPr>
      <w:color w:val="191B1E"/>
    </w:rPr>
    <w:tblPr>
      <w:tblCellMar>
        <w:top w:w="100.0" w:type="dxa"/>
        <w:left w:w="100.0" w:type="dxa"/>
        <w:bottom w:w="100.0" w:type="dxa"/>
        <w:right w:w="100.0" w:type="dxa"/>
      </w:tblCellMar>
    </w:tblPr>
  </w:style>
  <w:style w:type="paragraph" w:styleId="Normal" w:default="1">
    <w:name w:val="normal"/>
    <w:rPr>
      <w:color w:val="191B1E"/>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191B1E"/>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191B1E"/>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191B1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91B1E"/>
    </w:rPr>
  </w:style>
  <w:style w:type="paragraph" w:styleId="Heading5">
    <w:name w:val="heading 5"/>
    <w:basedOn w:val="Normal"/>
    <w:next w:val="Normal"/>
    <w:pPr>
      <w:keepNext w:val="1"/>
      <w:keepLines w:val="1"/>
      <w:spacing w:after="0" w:before="200" w:lineRule="auto"/>
    </w:pPr>
    <w:rPr>
      <w:rFonts w:ascii="Calibri" w:cs="Calibri" w:eastAsia="Calibri" w:hAnsi="Calibri"/>
      <w:color w:val="191B1E"/>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91B1E"/>
    </w:rPr>
  </w:style>
  <w:style w:type="paragraph" w:styleId="Title">
    <w:name w:val="Title"/>
    <w:basedOn w:val="Normal"/>
    <w:next w:val="Normal"/>
    <w:pPr>
      <w:spacing w:after="150" w:lineRule="auto"/>
    </w:pPr>
    <w:rPr>
      <w:b w:val="1"/>
      <w:bCs w:val="1"/>
      <w:color w:val="191B1E"/>
      <w:sz w:val="44"/>
      <w:szCs w:val="44"/>
    </w:rPr>
  </w:style>
  <w:style w:type="paragraph" w:styleId="Subtitle">
    <w:name w:val="Subtitle"/>
    <w:basedOn w:val="Normal"/>
    <w:next w:val="Normal"/>
    <w:pPr/>
    <w:rPr>
      <w:rFonts w:ascii="Calibri" w:cs="Calibri" w:eastAsia="Calibri" w:hAnsi="Calibri"/>
      <w:i w:val="1"/>
      <w:iCs w:val="1"/>
      <w:color w:val="191B1E"/>
      <w:sz w:val="24"/>
      <w:szCs w:val="24"/>
    </w:rPr>
  </w:style>
  <w:style w:type="table" w:styleId="Table1">
    <w:basedOn w:val="TableNormal"/>
    <w:rPr>
      <w:color w:val="191B1E"/>
    </w:rPr>
    <w:tblPr>
      <w:tblStyleRowBandSize w:val="1"/>
      <w:tblStyleColBandSize w:val="1"/>
    </w:tblPr>
  </w:style>
  <w:style w:type="table" w:styleId="Table2">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rPr>
      <w:color w:val="191B1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eader" Target="header3.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LogProof Platform Working Guide</dc:title>
  <cp:lastModifiedBy>python-docx</cp:lastModifiedBy>
  <cp:revision>1</cp:revision>
  <dcterms:modified xsi:type="dcterms:W3CDTF">2026-09-24T19:27:38Z</dcterms:modified>
  <dc:subject>Current prototype behavior, user controls, architecture, data contracts, and production gaps</dc:subject>
  <dc:creator>LogProof project team</dc:creator>
  <cp:keywords>LogProof, log preprocessing, evidence provenance, system design</cp:keywords>
</cp:coreProperties>
</file>