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6B63" w14:textId="77777777" w:rsidR="009D6C83" w:rsidRPr="00E15BEA" w:rsidRDefault="009D6C83" w:rsidP="00F378E5"/>
    <w:p w14:paraId="778590E6" w14:textId="77777777" w:rsidR="009D6C83" w:rsidRPr="00E15BEA" w:rsidRDefault="00830EFB">
      <w:pPr>
        <w:spacing w:after="80"/>
        <w:jc w:val="center"/>
        <w:rPr>
          <w:rFonts w:ascii="Times New Roman" w:hAnsi="Times New Roman" w:cs="Times New Roman"/>
          <w:color w:val="auto"/>
        </w:rPr>
      </w:pPr>
      <w:r w:rsidRPr="00E15BEA">
        <w:rPr>
          <w:rFonts w:ascii="Times New Roman" w:hAnsi="Times New Roman" w:cs="Times New Roman"/>
          <w:b/>
          <w:bCs/>
          <w:color w:val="auto"/>
          <w:sz w:val="40"/>
          <w:szCs w:val="40"/>
        </w:rPr>
        <w:t>CARE TRANSITION EFFICIENCY AND PLACEMENT</w:t>
      </w:r>
    </w:p>
    <w:p w14:paraId="5A14C2E3" w14:textId="77777777" w:rsidR="009D6C83" w:rsidRPr="00E15BEA" w:rsidRDefault="00830EFB">
      <w:pPr>
        <w:spacing w:after="320"/>
        <w:jc w:val="center"/>
        <w:rPr>
          <w:rFonts w:ascii="Times New Roman" w:hAnsi="Times New Roman" w:cs="Times New Roman"/>
          <w:color w:val="auto"/>
        </w:rPr>
      </w:pPr>
      <w:r w:rsidRPr="00E15BEA">
        <w:rPr>
          <w:rFonts w:ascii="Times New Roman" w:hAnsi="Times New Roman" w:cs="Times New Roman"/>
          <w:b/>
          <w:bCs/>
          <w:color w:val="auto"/>
          <w:sz w:val="40"/>
          <w:szCs w:val="40"/>
        </w:rPr>
        <w:t>OUTCOME ANALYTICS</w:t>
      </w:r>
    </w:p>
    <w:p w14:paraId="698557B4" w14:textId="77777777" w:rsidR="009D6C83" w:rsidRPr="00E15BEA" w:rsidRDefault="00830EFB">
      <w:pPr>
        <w:spacing w:after="60"/>
        <w:jc w:val="center"/>
        <w:rPr>
          <w:rFonts w:ascii="Times New Roman" w:hAnsi="Times New Roman" w:cs="Times New Roman"/>
          <w:color w:val="auto"/>
        </w:rPr>
      </w:pPr>
      <w:r w:rsidRPr="00E15BEA">
        <w:rPr>
          <w:rFonts w:ascii="Times New Roman" w:hAnsi="Times New Roman" w:cs="Times New Roman"/>
          <w:i/>
          <w:iCs/>
          <w:color w:val="auto"/>
          <w:sz w:val="26"/>
          <w:szCs w:val="26"/>
        </w:rPr>
        <w:t>A Process Efficiency and Outcome Evaluation of the</w:t>
      </w:r>
    </w:p>
    <w:p w14:paraId="3B827B0B" w14:textId="77777777" w:rsidR="009D6C83" w:rsidRPr="00E15BEA" w:rsidRDefault="00830EFB">
      <w:pPr>
        <w:spacing w:after="600"/>
        <w:jc w:val="center"/>
        <w:rPr>
          <w:rFonts w:ascii="Times New Roman" w:hAnsi="Times New Roman" w:cs="Times New Roman"/>
          <w:color w:val="auto"/>
        </w:rPr>
      </w:pPr>
      <w:r w:rsidRPr="00E15BEA">
        <w:rPr>
          <w:rFonts w:ascii="Times New Roman" w:hAnsi="Times New Roman" w:cs="Times New Roman"/>
          <w:i/>
          <w:iCs/>
          <w:color w:val="auto"/>
          <w:sz w:val="26"/>
          <w:szCs w:val="26"/>
        </w:rPr>
        <w:t>Unaccompanied Alien Children (UAC) Care Pipeline</w:t>
      </w:r>
    </w:p>
    <w:p w14:paraId="17B728FE" w14:textId="77777777" w:rsidR="009D6C83" w:rsidRPr="00E15BEA" w:rsidRDefault="00830EFB">
      <w:pPr>
        <w:pBdr>
          <w:top w:val="single" w:sz="4" w:space="8" w:color="D9D9D9"/>
        </w:pBdr>
        <w:spacing w:after="80"/>
        <w:jc w:val="center"/>
        <w:rPr>
          <w:rFonts w:ascii="Times New Roman" w:hAnsi="Times New Roman" w:cs="Times New Roman"/>
          <w:color w:val="auto"/>
        </w:rPr>
      </w:pPr>
      <w:r w:rsidRPr="00E15BEA">
        <w:rPr>
          <w:rFonts w:ascii="Times New Roman" w:hAnsi="Times New Roman" w:cs="Times New Roman"/>
          <w:color w:val="auto"/>
          <w:sz w:val="2"/>
          <w:szCs w:val="2"/>
        </w:rPr>
        <w:t xml:space="preserve"> </w:t>
      </w:r>
    </w:p>
    <w:p w14:paraId="68AC6380" w14:textId="77777777" w:rsidR="009D6C83" w:rsidRPr="00DC669D" w:rsidRDefault="00830EFB" w:rsidP="00E336CA">
      <w:pPr>
        <w:spacing w:before="800" w:after="40"/>
        <w:jc w:val="center"/>
        <w:rPr>
          <w:rFonts w:ascii="Times New Roman" w:hAnsi="Times New Roman" w:cs="Times New Roman"/>
          <w:color w:val="auto"/>
          <w:sz w:val="24"/>
          <w:szCs w:val="24"/>
        </w:rPr>
      </w:pPr>
      <w:r w:rsidRPr="00DC669D">
        <w:rPr>
          <w:rFonts w:ascii="Times New Roman" w:hAnsi="Times New Roman" w:cs="Times New Roman"/>
          <w:b/>
          <w:bCs/>
          <w:color w:val="auto"/>
          <w:sz w:val="28"/>
          <w:szCs w:val="28"/>
        </w:rPr>
        <w:t>Research Paper</w:t>
      </w:r>
    </w:p>
    <w:p w14:paraId="3074C9ED" w14:textId="46EF5784" w:rsidR="00DC669D" w:rsidRDefault="00DC669D">
      <w:pPr>
        <w:spacing w:after="40"/>
        <w:jc w:val="center"/>
        <w:rPr>
          <w:rFonts w:ascii="Times New Roman" w:hAnsi="Times New Roman" w:cs="Times New Roman"/>
        </w:rPr>
      </w:pPr>
      <w:r w:rsidRPr="00DC669D">
        <w:rPr>
          <w:rFonts w:ascii="Times New Roman" w:hAnsi="Times New Roman" w:cs="Times New Roman"/>
          <w:b/>
          <w:bCs/>
        </w:rPr>
        <w:t>Author:</w:t>
      </w:r>
      <w:r>
        <w:rPr>
          <w:rFonts w:ascii="Times New Roman" w:hAnsi="Times New Roman" w:cs="Times New Roman"/>
        </w:rPr>
        <w:t xml:space="preserve"> </w:t>
      </w:r>
      <w:r w:rsidRPr="00DC669D">
        <w:rPr>
          <w:rFonts w:ascii="Times New Roman" w:hAnsi="Times New Roman" w:cs="Times New Roman"/>
          <w:b/>
          <w:bCs/>
        </w:rPr>
        <w:t>Sandhya Rani Dash</w:t>
      </w:r>
    </w:p>
    <w:p w14:paraId="38720D6D" w14:textId="700CA723" w:rsidR="009D6C83" w:rsidRPr="00E15BEA" w:rsidRDefault="00830EFB">
      <w:pPr>
        <w:spacing w:after="40"/>
        <w:jc w:val="center"/>
        <w:rPr>
          <w:rFonts w:ascii="Times New Roman" w:hAnsi="Times New Roman" w:cs="Times New Roman"/>
        </w:rPr>
      </w:pPr>
      <w:r w:rsidRPr="00E15BEA">
        <w:rPr>
          <w:rFonts w:ascii="Times New Roman" w:hAnsi="Times New Roman" w:cs="Times New Roman"/>
        </w:rPr>
        <w:t>Prepared for: U.S. Department of Health and Human Services</w:t>
      </w:r>
    </w:p>
    <w:p w14:paraId="0A79E5F8" w14:textId="77777777" w:rsidR="009D6C83" w:rsidRPr="00E15BEA" w:rsidRDefault="00830EFB">
      <w:pPr>
        <w:spacing w:after="40"/>
        <w:jc w:val="center"/>
        <w:rPr>
          <w:rFonts w:ascii="Times New Roman" w:hAnsi="Times New Roman" w:cs="Times New Roman"/>
        </w:rPr>
      </w:pPr>
      <w:r w:rsidRPr="00E15BEA">
        <w:rPr>
          <w:rFonts w:ascii="Times New Roman" w:hAnsi="Times New Roman" w:cs="Times New Roman"/>
        </w:rPr>
        <w:t>In Partnership with: Unified Mentor</w:t>
      </w:r>
    </w:p>
    <w:p w14:paraId="017806A2" w14:textId="77777777" w:rsidR="009D6C83" w:rsidRPr="00E15BEA" w:rsidRDefault="00830EFB">
      <w:pPr>
        <w:spacing w:after="600"/>
        <w:jc w:val="center"/>
        <w:rPr>
          <w:rFonts w:ascii="Times New Roman" w:hAnsi="Times New Roman" w:cs="Times New Roman"/>
        </w:rPr>
      </w:pPr>
      <w:r w:rsidRPr="00E15BEA">
        <w:rPr>
          <w:rFonts w:ascii="Times New Roman" w:hAnsi="Times New Roman" w:cs="Times New Roman"/>
        </w:rPr>
        <w:t>Data Coverage Period: January 12, 2023 – December 21, 2025</w:t>
      </w:r>
    </w:p>
    <w:p w14:paraId="74A3166B" w14:textId="77777777" w:rsidR="009D6C83" w:rsidRPr="00C268BD" w:rsidRDefault="00830EFB">
      <w:pPr>
        <w:spacing w:before="1200"/>
        <w:jc w:val="center"/>
        <w:rPr>
          <w:rFonts w:ascii="Times New Roman" w:hAnsi="Times New Roman" w:cs="Times New Roman"/>
          <w:color w:val="auto"/>
        </w:rPr>
      </w:pPr>
      <w:r w:rsidRPr="00C268BD">
        <w:rPr>
          <w:rFonts w:ascii="Times New Roman" w:hAnsi="Times New Roman" w:cs="Times New Roman"/>
          <w:color w:val="auto"/>
        </w:rPr>
        <w:t>June 2026</w:t>
      </w:r>
    </w:p>
    <w:p w14:paraId="2F9FEF19" w14:textId="77777777" w:rsidR="009D6C83" w:rsidRPr="00E15BEA" w:rsidRDefault="009D6C83">
      <w:pPr>
        <w:rPr>
          <w:rFonts w:ascii="Times New Roman" w:hAnsi="Times New Roman" w:cs="Times New Roman"/>
        </w:rPr>
        <w:sectPr w:rsidR="009D6C83" w:rsidRPr="00E15BEA">
          <w:pgSz w:w="12240" w:h="15840"/>
          <w:pgMar w:top="1440" w:right="1440" w:bottom="1440" w:left="1440" w:header="708" w:footer="708" w:gutter="0"/>
          <w:cols w:space="720"/>
          <w:docGrid w:linePitch="360"/>
        </w:sectPr>
      </w:pPr>
    </w:p>
    <w:p w14:paraId="48C10F21" w14:textId="77777777" w:rsidR="00AA093C" w:rsidRPr="00AA093C" w:rsidRDefault="00AA093C" w:rsidP="00AA093C">
      <w:pPr>
        <w:pStyle w:val="Heading1"/>
        <w:rPr>
          <w:rFonts w:ascii="Times New Roman" w:hAnsi="Times New Roman" w:cs="Times New Roman"/>
          <w:color w:val="auto"/>
        </w:rPr>
      </w:pPr>
      <w:r w:rsidRPr="00AA093C">
        <w:rPr>
          <w:rFonts w:ascii="Times New Roman" w:hAnsi="Times New Roman" w:cs="Times New Roman"/>
          <w:color w:val="auto"/>
        </w:rPr>
        <w:lastRenderedPageBreak/>
        <w:t>Table of Contents</w:t>
      </w:r>
    </w:p>
    <w:p w14:paraId="316E31A4" w14:textId="77777777" w:rsidR="00AA093C" w:rsidRPr="00AA093C" w:rsidRDefault="00AA093C" w:rsidP="00AA093C">
      <w:pPr>
        <w:spacing w:after="200"/>
        <w:rPr>
          <w:rFonts w:ascii="Times New Roman" w:hAnsi="Times New Roman" w:cs="Times New Roman"/>
        </w:rPr>
      </w:pPr>
    </w:p>
    <w:p w14:paraId="6B733372" w14:textId="77777777"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Abstract</w:t>
      </w:r>
      <w:r w:rsidRPr="00AA093C">
        <w:rPr>
          <w:rFonts w:ascii="Times New Roman" w:hAnsi="Times New Roman" w:cs="Times New Roman"/>
          <w:b/>
          <w:bCs/>
        </w:rPr>
        <w:tab/>
        <w:t>4</w:t>
      </w:r>
    </w:p>
    <w:p w14:paraId="3D899892" w14:textId="668B337D"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1. Introduction</w:t>
      </w:r>
      <w:r w:rsidRPr="00AA093C">
        <w:rPr>
          <w:rFonts w:ascii="Times New Roman" w:hAnsi="Times New Roman" w:cs="Times New Roman"/>
          <w:b/>
          <w:bCs/>
        </w:rPr>
        <w:tab/>
      </w:r>
      <w:r w:rsidR="00F07F42">
        <w:rPr>
          <w:rFonts w:ascii="Times New Roman" w:hAnsi="Times New Roman" w:cs="Times New Roman"/>
          <w:b/>
          <w:bCs/>
        </w:rPr>
        <w:t>7</w:t>
      </w:r>
    </w:p>
    <w:p w14:paraId="62AEF221" w14:textId="7BC1E7DB"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1.1 Background and Context</w:t>
      </w:r>
      <w:r w:rsidRPr="00AA093C">
        <w:rPr>
          <w:rFonts w:ascii="Times New Roman" w:hAnsi="Times New Roman" w:cs="Times New Roman"/>
          <w:sz w:val="21"/>
          <w:szCs w:val="21"/>
        </w:rPr>
        <w:tab/>
      </w:r>
      <w:r w:rsidR="00F07F42">
        <w:rPr>
          <w:rFonts w:ascii="Times New Roman" w:hAnsi="Times New Roman" w:cs="Times New Roman"/>
          <w:sz w:val="21"/>
          <w:szCs w:val="21"/>
        </w:rPr>
        <w:t>7</w:t>
      </w:r>
    </w:p>
    <w:p w14:paraId="6C8BB4B3" w14:textId="746A6D7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1.2 Problem Statement</w:t>
      </w:r>
      <w:r w:rsidRPr="00AA093C">
        <w:rPr>
          <w:rFonts w:ascii="Times New Roman" w:hAnsi="Times New Roman" w:cs="Times New Roman"/>
          <w:sz w:val="21"/>
          <w:szCs w:val="21"/>
        </w:rPr>
        <w:tab/>
      </w:r>
      <w:r w:rsidR="00F07F42">
        <w:rPr>
          <w:rFonts w:ascii="Times New Roman" w:hAnsi="Times New Roman" w:cs="Times New Roman"/>
          <w:sz w:val="21"/>
          <w:szCs w:val="21"/>
        </w:rPr>
        <w:t>7</w:t>
      </w:r>
    </w:p>
    <w:p w14:paraId="46A039A1" w14:textId="65A155BC"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1.3 Project Objectives</w:t>
      </w:r>
      <w:r w:rsidRPr="00AA093C">
        <w:rPr>
          <w:rFonts w:ascii="Times New Roman" w:hAnsi="Times New Roman" w:cs="Times New Roman"/>
          <w:sz w:val="21"/>
          <w:szCs w:val="21"/>
        </w:rPr>
        <w:tab/>
      </w:r>
      <w:r w:rsidR="00F07F42">
        <w:rPr>
          <w:rFonts w:ascii="Times New Roman" w:hAnsi="Times New Roman" w:cs="Times New Roman"/>
          <w:sz w:val="21"/>
          <w:szCs w:val="21"/>
        </w:rPr>
        <w:t>8</w:t>
      </w:r>
    </w:p>
    <w:p w14:paraId="0BCFA00C" w14:textId="6526FA68"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2. Data and Methodology</w:t>
      </w:r>
      <w:r w:rsidRPr="00AA093C">
        <w:rPr>
          <w:rFonts w:ascii="Times New Roman" w:hAnsi="Times New Roman" w:cs="Times New Roman"/>
          <w:b/>
          <w:bCs/>
        </w:rPr>
        <w:tab/>
      </w:r>
      <w:r w:rsidR="00F07F42">
        <w:rPr>
          <w:rFonts w:ascii="Times New Roman" w:hAnsi="Times New Roman" w:cs="Times New Roman"/>
          <w:b/>
          <w:bCs/>
        </w:rPr>
        <w:t>9</w:t>
      </w:r>
    </w:p>
    <w:p w14:paraId="373B9592" w14:textId="688EDADC"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2.1 Dataset Description</w:t>
      </w:r>
      <w:r w:rsidRPr="00AA093C">
        <w:rPr>
          <w:rFonts w:ascii="Times New Roman" w:hAnsi="Times New Roman" w:cs="Times New Roman"/>
          <w:sz w:val="21"/>
          <w:szCs w:val="21"/>
        </w:rPr>
        <w:tab/>
      </w:r>
      <w:r w:rsidR="00F07F42">
        <w:rPr>
          <w:rFonts w:ascii="Times New Roman" w:hAnsi="Times New Roman" w:cs="Times New Roman"/>
          <w:sz w:val="21"/>
          <w:szCs w:val="21"/>
        </w:rPr>
        <w:t>9</w:t>
      </w:r>
    </w:p>
    <w:p w14:paraId="03E5D823" w14:textId="7D9C99C0"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2.2 Care Pipeline Model</w:t>
      </w:r>
      <w:r>
        <w:rPr>
          <w:rFonts w:ascii="Times New Roman" w:hAnsi="Times New Roman" w:cs="Times New Roman"/>
          <w:sz w:val="21"/>
          <w:szCs w:val="21"/>
        </w:rPr>
        <w:t>l</w:t>
      </w:r>
      <w:r w:rsidRPr="00AA093C">
        <w:rPr>
          <w:rFonts w:ascii="Times New Roman" w:hAnsi="Times New Roman" w:cs="Times New Roman"/>
          <w:sz w:val="21"/>
          <w:szCs w:val="21"/>
        </w:rPr>
        <w:t>ing</w:t>
      </w:r>
      <w:r w:rsidRPr="00AA093C">
        <w:rPr>
          <w:rFonts w:ascii="Times New Roman" w:hAnsi="Times New Roman" w:cs="Times New Roman"/>
          <w:sz w:val="21"/>
          <w:szCs w:val="21"/>
        </w:rPr>
        <w:tab/>
      </w:r>
      <w:r w:rsidR="00F07F42">
        <w:rPr>
          <w:rFonts w:ascii="Times New Roman" w:hAnsi="Times New Roman" w:cs="Times New Roman"/>
          <w:sz w:val="21"/>
          <w:szCs w:val="21"/>
        </w:rPr>
        <w:t>9</w:t>
      </w:r>
    </w:p>
    <w:p w14:paraId="23A15EE1" w14:textId="0DE472A7" w:rsidR="00AA093C" w:rsidRDefault="00AA093C" w:rsidP="00AA093C">
      <w:pPr>
        <w:tabs>
          <w:tab w:val="right" w:leader="dot" w:pos="9000"/>
        </w:tabs>
        <w:spacing w:after="90"/>
        <w:ind w:left="360"/>
        <w:rPr>
          <w:rFonts w:ascii="Times New Roman" w:hAnsi="Times New Roman" w:cs="Times New Roman"/>
          <w:sz w:val="21"/>
          <w:szCs w:val="21"/>
        </w:rPr>
      </w:pPr>
      <w:r w:rsidRPr="00AA093C">
        <w:rPr>
          <w:rFonts w:ascii="Times New Roman" w:hAnsi="Times New Roman" w:cs="Times New Roman"/>
          <w:sz w:val="21"/>
          <w:szCs w:val="21"/>
        </w:rPr>
        <w:t>2.3 Derived Process Efficiency Metrics</w:t>
      </w:r>
      <w:r w:rsidRPr="00AA093C">
        <w:rPr>
          <w:rFonts w:ascii="Times New Roman" w:hAnsi="Times New Roman" w:cs="Times New Roman"/>
          <w:sz w:val="21"/>
          <w:szCs w:val="21"/>
        </w:rPr>
        <w:tab/>
      </w:r>
      <w:r w:rsidR="00F07F42">
        <w:rPr>
          <w:rFonts w:ascii="Times New Roman" w:hAnsi="Times New Roman" w:cs="Times New Roman"/>
          <w:sz w:val="21"/>
          <w:szCs w:val="21"/>
        </w:rPr>
        <w:t>9</w:t>
      </w:r>
    </w:p>
    <w:p w14:paraId="53FACC01" w14:textId="37B17333" w:rsidR="00AA093C" w:rsidRPr="00AA093C" w:rsidRDefault="00AA093C" w:rsidP="00AA093C">
      <w:pPr>
        <w:pStyle w:val="TOC3"/>
        <w:tabs>
          <w:tab w:val="right" w:leader="dot" w:pos="9350"/>
        </w:tabs>
        <w:rPr>
          <w:rFonts w:ascii="Times New Roman" w:hAnsi="Times New Roman" w:cs="Times New Roman"/>
          <w:noProof/>
          <w:color w:val="auto"/>
        </w:rPr>
      </w:pPr>
      <w:r>
        <w:rPr>
          <w:rFonts w:ascii="Times New Roman" w:hAnsi="Times New Roman" w:cs="Times New Roman"/>
          <w:color w:val="auto"/>
          <w:sz w:val="21"/>
          <w:szCs w:val="21"/>
        </w:rPr>
        <w:t xml:space="preserve">  </w:t>
      </w:r>
      <w:r w:rsidRPr="00AA093C">
        <w:rPr>
          <w:rFonts w:ascii="Times New Roman" w:hAnsi="Times New Roman" w:cs="Times New Roman"/>
          <w:color w:val="auto"/>
          <w:sz w:val="21"/>
          <w:szCs w:val="21"/>
        </w:rPr>
        <w:t xml:space="preserve">2.3.1 </w:t>
      </w:r>
      <w:hyperlink w:anchor="_Toc232714607" w:history="1">
        <w:r w:rsidRPr="00AA093C">
          <w:rPr>
            <w:rStyle w:val="Hyperlink"/>
            <w:rFonts w:ascii="Times New Roman" w:hAnsi="Times New Roman" w:cs="Times New Roman"/>
            <w:noProof/>
            <w:color w:val="auto"/>
            <w:u w:val="none"/>
          </w:rPr>
          <w:t xml:space="preserve"> Transfer Efficiency Ratio</w:t>
        </w:r>
        <w:r>
          <w:rPr>
            <w:rFonts w:ascii="Times New Roman" w:hAnsi="Times New Roman" w:cs="Times New Roman"/>
            <w:noProof/>
            <w:color w:val="auto"/>
          </w:rPr>
          <w:t>………………………………………………………….………</w:t>
        </w:r>
        <w:r w:rsidR="00F07F42">
          <w:rPr>
            <w:rFonts w:ascii="Times New Roman" w:hAnsi="Times New Roman" w:cs="Times New Roman"/>
            <w:noProof/>
            <w:color w:val="auto"/>
          </w:rPr>
          <w:t>9</w:t>
        </w:r>
      </w:hyperlink>
    </w:p>
    <w:p w14:paraId="5771153C" w14:textId="1B33895C" w:rsidR="00AA093C" w:rsidRPr="00AA093C" w:rsidRDefault="00AA093C" w:rsidP="00AA093C">
      <w:pPr>
        <w:pStyle w:val="TOC3"/>
        <w:tabs>
          <w:tab w:val="right" w:leader="dot" w:pos="9350"/>
        </w:tabs>
        <w:rPr>
          <w:rFonts w:ascii="Times New Roman" w:hAnsi="Times New Roman" w:cs="Times New Roman"/>
          <w:noProof/>
          <w:color w:val="auto"/>
        </w:rPr>
      </w:pPr>
      <w:r>
        <w:rPr>
          <w:rStyle w:val="Hyperlink"/>
          <w:rFonts w:ascii="Times New Roman" w:hAnsi="Times New Roman" w:cs="Times New Roman"/>
          <w:noProof/>
          <w:color w:val="auto"/>
          <w:u w:val="none"/>
        </w:rPr>
        <w:t xml:space="preserve">  </w:t>
      </w:r>
      <w:hyperlink w:anchor="_Toc232714608" w:history="1">
        <w:r w:rsidRPr="00AA093C">
          <w:rPr>
            <w:rStyle w:val="Hyperlink"/>
            <w:rFonts w:ascii="Times New Roman" w:hAnsi="Times New Roman" w:cs="Times New Roman"/>
            <w:noProof/>
            <w:color w:val="auto"/>
            <w:u w:val="none"/>
          </w:rPr>
          <w:t>2.3.2 Discharge Effectiveness Index</w:t>
        </w:r>
        <w:r w:rsidR="000C4FA6">
          <w:rPr>
            <w:rFonts w:ascii="Times New Roman" w:hAnsi="Times New Roman" w:cs="Times New Roman"/>
            <w:noProof/>
            <w:color w:val="auto"/>
          </w:rPr>
          <w:t>……………………………………………………………</w:t>
        </w:r>
        <w:r w:rsidR="00F07F42">
          <w:rPr>
            <w:rFonts w:ascii="Times New Roman" w:hAnsi="Times New Roman" w:cs="Times New Roman"/>
            <w:noProof/>
            <w:color w:val="auto"/>
          </w:rPr>
          <w:t>10</w:t>
        </w:r>
      </w:hyperlink>
    </w:p>
    <w:p w14:paraId="28487497" w14:textId="552FF7C8" w:rsidR="00AA093C" w:rsidRPr="00AA093C" w:rsidRDefault="00AA093C" w:rsidP="00AA093C">
      <w:pPr>
        <w:pStyle w:val="TOC3"/>
        <w:tabs>
          <w:tab w:val="right" w:leader="dot" w:pos="9350"/>
        </w:tabs>
        <w:rPr>
          <w:rFonts w:ascii="Times New Roman" w:hAnsi="Times New Roman" w:cs="Times New Roman"/>
          <w:noProof/>
          <w:color w:val="auto"/>
        </w:rPr>
      </w:pPr>
      <w:r>
        <w:rPr>
          <w:rStyle w:val="Hyperlink"/>
          <w:rFonts w:ascii="Times New Roman" w:hAnsi="Times New Roman" w:cs="Times New Roman"/>
          <w:noProof/>
          <w:color w:val="auto"/>
          <w:u w:val="none"/>
        </w:rPr>
        <w:t xml:space="preserve">  </w:t>
      </w:r>
      <w:hyperlink w:anchor="_Toc232714609" w:history="1">
        <w:r w:rsidRPr="00AA093C">
          <w:rPr>
            <w:rStyle w:val="Hyperlink"/>
            <w:rFonts w:ascii="Times New Roman" w:hAnsi="Times New Roman" w:cs="Times New Roman"/>
            <w:noProof/>
            <w:color w:val="auto"/>
            <w:u w:val="none"/>
          </w:rPr>
          <w:t>2.3.3 Pipeline Throughput Rate</w:t>
        </w:r>
        <w:r w:rsidR="000C4FA6">
          <w:rPr>
            <w:rFonts w:ascii="Times New Roman" w:hAnsi="Times New Roman" w:cs="Times New Roman"/>
            <w:noProof/>
            <w:color w:val="auto"/>
          </w:rPr>
          <w:t>…………………………………………………………………</w:t>
        </w:r>
        <w:r w:rsidR="00F07F42">
          <w:rPr>
            <w:rFonts w:ascii="Times New Roman" w:hAnsi="Times New Roman" w:cs="Times New Roman"/>
            <w:noProof/>
            <w:color w:val="auto"/>
          </w:rPr>
          <w:t>10</w:t>
        </w:r>
      </w:hyperlink>
    </w:p>
    <w:p w14:paraId="7EAD9DDE" w14:textId="7884CA22" w:rsidR="00AA093C" w:rsidRPr="00AA093C" w:rsidRDefault="00AA093C" w:rsidP="00AA093C">
      <w:pPr>
        <w:pStyle w:val="TOC3"/>
        <w:tabs>
          <w:tab w:val="right" w:leader="dot" w:pos="9350"/>
        </w:tabs>
        <w:rPr>
          <w:rFonts w:ascii="Times New Roman" w:hAnsi="Times New Roman" w:cs="Times New Roman"/>
          <w:noProof/>
          <w:color w:val="auto"/>
        </w:rPr>
      </w:pPr>
      <w:r>
        <w:rPr>
          <w:rStyle w:val="Hyperlink"/>
          <w:rFonts w:ascii="Times New Roman" w:hAnsi="Times New Roman" w:cs="Times New Roman"/>
          <w:noProof/>
          <w:color w:val="auto"/>
          <w:u w:val="none"/>
        </w:rPr>
        <w:t xml:space="preserve">  </w:t>
      </w:r>
      <w:hyperlink w:anchor="_Toc232714610" w:history="1">
        <w:r w:rsidRPr="00AA093C">
          <w:rPr>
            <w:rStyle w:val="Hyperlink"/>
            <w:rFonts w:ascii="Times New Roman" w:hAnsi="Times New Roman" w:cs="Times New Roman"/>
            <w:noProof/>
            <w:color w:val="auto"/>
            <w:u w:val="none"/>
          </w:rPr>
          <w:t>2.3.4 Backlog Accumulation Rate</w:t>
        </w:r>
        <w:r w:rsidR="000C4FA6">
          <w:rPr>
            <w:rStyle w:val="Hyperlink"/>
            <w:rFonts w:ascii="Times New Roman" w:hAnsi="Times New Roman" w:cs="Times New Roman"/>
            <w:noProof/>
            <w:color w:val="auto"/>
            <w:u w:val="none"/>
          </w:rPr>
          <w:t>………………………………………………………………</w:t>
        </w:r>
        <w:r w:rsidR="00F07F42">
          <w:rPr>
            <w:rFonts w:ascii="Times New Roman" w:hAnsi="Times New Roman" w:cs="Times New Roman"/>
            <w:noProof/>
            <w:color w:val="auto"/>
          </w:rPr>
          <w:t>10</w:t>
        </w:r>
      </w:hyperlink>
    </w:p>
    <w:p w14:paraId="325BCB67" w14:textId="194B65CD" w:rsidR="00AA093C" w:rsidRPr="00AA093C" w:rsidRDefault="00AA093C" w:rsidP="00AA093C">
      <w:pPr>
        <w:tabs>
          <w:tab w:val="right" w:leader="dot" w:pos="9000"/>
        </w:tabs>
        <w:spacing w:after="90"/>
        <w:rPr>
          <w:rFonts w:ascii="Times New Roman" w:hAnsi="Times New Roman" w:cs="Times New Roman"/>
          <w:color w:val="auto"/>
          <w:sz w:val="21"/>
          <w:szCs w:val="21"/>
        </w:rPr>
      </w:pPr>
      <w:r w:rsidRPr="00AA093C">
        <w:rPr>
          <w:rStyle w:val="Hyperlink"/>
          <w:rFonts w:ascii="Times New Roman" w:hAnsi="Times New Roman" w:cs="Times New Roman"/>
          <w:noProof/>
          <w:color w:val="auto"/>
          <w:u w:val="none"/>
        </w:rPr>
        <w:t xml:space="preserve">        </w:t>
      </w:r>
      <w:r>
        <w:rPr>
          <w:rStyle w:val="Hyperlink"/>
          <w:rFonts w:ascii="Times New Roman" w:hAnsi="Times New Roman" w:cs="Times New Roman"/>
          <w:noProof/>
          <w:color w:val="auto"/>
          <w:u w:val="none"/>
        </w:rPr>
        <w:t xml:space="preserve">  </w:t>
      </w:r>
      <w:hyperlink w:anchor="_Toc232714611" w:history="1">
        <w:r w:rsidRPr="00AA093C">
          <w:rPr>
            <w:rStyle w:val="Hyperlink"/>
            <w:rFonts w:ascii="Times New Roman" w:hAnsi="Times New Roman" w:cs="Times New Roman"/>
            <w:noProof/>
            <w:color w:val="auto"/>
            <w:u w:val="none"/>
          </w:rPr>
          <w:t>2.3.5 Outcome Stability Score</w:t>
        </w:r>
        <w:r w:rsidRPr="00AA093C">
          <w:rPr>
            <w:rFonts w:ascii="Times New Roman" w:hAnsi="Times New Roman" w:cs="Times New Roman"/>
            <w:noProof/>
            <w:color w:val="auto"/>
          </w:rPr>
          <w:tab/>
        </w:r>
        <w:r w:rsidR="00D7540D">
          <w:rPr>
            <w:rFonts w:ascii="Times New Roman" w:hAnsi="Times New Roman" w:cs="Times New Roman"/>
            <w:noProof/>
            <w:color w:val="auto"/>
          </w:rPr>
          <w:t>………………………………………………………………….</w:t>
        </w:r>
        <w:r w:rsidR="000C4FA6">
          <w:rPr>
            <w:rFonts w:ascii="Times New Roman" w:hAnsi="Times New Roman" w:cs="Times New Roman"/>
            <w:noProof/>
            <w:color w:val="auto"/>
          </w:rPr>
          <w:t>.</w:t>
        </w:r>
        <w:r w:rsidR="00F07F42">
          <w:rPr>
            <w:rFonts w:ascii="Times New Roman" w:hAnsi="Times New Roman" w:cs="Times New Roman"/>
            <w:noProof/>
            <w:color w:val="auto"/>
          </w:rPr>
          <w:t>10</w:t>
        </w:r>
      </w:hyperlink>
    </w:p>
    <w:p w14:paraId="00C19F01" w14:textId="7C8D2F3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2.4 Backlog, Stagnation, and Alert Detection</w:t>
      </w:r>
      <w:r w:rsidRPr="00AA093C">
        <w:rPr>
          <w:rFonts w:ascii="Times New Roman" w:hAnsi="Times New Roman" w:cs="Times New Roman"/>
          <w:sz w:val="21"/>
          <w:szCs w:val="21"/>
        </w:rPr>
        <w:tab/>
      </w:r>
      <w:r w:rsidR="00D7540D">
        <w:rPr>
          <w:rFonts w:ascii="Times New Roman" w:hAnsi="Times New Roman" w:cs="Times New Roman"/>
          <w:sz w:val="21"/>
          <w:szCs w:val="21"/>
        </w:rPr>
        <w:t>…………………………………………………………</w:t>
      </w:r>
      <w:r w:rsidR="000C4FA6">
        <w:rPr>
          <w:rFonts w:ascii="Times New Roman" w:hAnsi="Times New Roman" w:cs="Times New Roman"/>
          <w:sz w:val="21"/>
          <w:szCs w:val="21"/>
        </w:rPr>
        <w:t>.</w:t>
      </w:r>
      <w:r w:rsidR="00F07F42">
        <w:rPr>
          <w:rFonts w:ascii="Times New Roman" w:hAnsi="Times New Roman" w:cs="Times New Roman"/>
          <w:sz w:val="21"/>
          <w:szCs w:val="21"/>
        </w:rPr>
        <w:t>10</w:t>
      </w:r>
    </w:p>
    <w:p w14:paraId="1EFDA4DC" w14:textId="4F59C865"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2.5 Temporal and Pattern Analysis</w:t>
      </w:r>
      <w:r w:rsidRPr="00AA093C">
        <w:rPr>
          <w:rFonts w:ascii="Times New Roman" w:hAnsi="Times New Roman" w:cs="Times New Roman"/>
          <w:sz w:val="21"/>
          <w:szCs w:val="21"/>
        </w:rPr>
        <w:tab/>
      </w:r>
      <w:r w:rsidR="000C4FA6">
        <w:rPr>
          <w:rFonts w:ascii="Times New Roman" w:hAnsi="Times New Roman" w:cs="Times New Roman"/>
          <w:sz w:val="21"/>
          <w:szCs w:val="21"/>
        </w:rPr>
        <w:t>.</w:t>
      </w:r>
      <w:r w:rsidR="00F07F42">
        <w:rPr>
          <w:rFonts w:ascii="Times New Roman" w:hAnsi="Times New Roman" w:cs="Times New Roman"/>
          <w:sz w:val="21"/>
          <w:szCs w:val="21"/>
        </w:rPr>
        <w:t>11</w:t>
      </w:r>
    </w:p>
    <w:p w14:paraId="03AA47F2" w14:textId="13B18C23"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2.6 Analytical Tools</w:t>
      </w:r>
      <w:proofErr w:type="gramStart"/>
      <w:r w:rsidRPr="00AA093C">
        <w:rPr>
          <w:rFonts w:ascii="Times New Roman" w:hAnsi="Times New Roman" w:cs="Times New Roman"/>
          <w:sz w:val="21"/>
          <w:szCs w:val="21"/>
        </w:rPr>
        <w:tab/>
      </w:r>
      <w:r w:rsidR="000C4FA6">
        <w:rPr>
          <w:rFonts w:ascii="Times New Roman" w:hAnsi="Times New Roman" w:cs="Times New Roman"/>
          <w:sz w:val="21"/>
          <w:szCs w:val="21"/>
        </w:rPr>
        <w:t>..</w:t>
      </w:r>
      <w:proofErr w:type="gramEnd"/>
      <w:r w:rsidR="00F07F42">
        <w:rPr>
          <w:rFonts w:ascii="Times New Roman" w:hAnsi="Times New Roman" w:cs="Times New Roman"/>
          <w:sz w:val="21"/>
          <w:szCs w:val="21"/>
        </w:rPr>
        <w:t>11</w:t>
      </w:r>
    </w:p>
    <w:p w14:paraId="3696BA7C" w14:textId="53B3DA73"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3. Results</w:t>
      </w:r>
      <w:r w:rsidRPr="00AA093C">
        <w:rPr>
          <w:rFonts w:ascii="Times New Roman" w:hAnsi="Times New Roman" w:cs="Times New Roman"/>
          <w:b/>
          <w:bCs/>
        </w:rPr>
        <w:tab/>
        <w:t>1</w:t>
      </w:r>
      <w:r w:rsidR="00F07F42">
        <w:rPr>
          <w:rFonts w:ascii="Times New Roman" w:hAnsi="Times New Roman" w:cs="Times New Roman"/>
          <w:b/>
          <w:bCs/>
        </w:rPr>
        <w:t>2</w:t>
      </w:r>
    </w:p>
    <w:p w14:paraId="4F7D05A5" w14:textId="15DEE177"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3.1 Overview of Key Performance Indicators</w:t>
      </w:r>
      <w:r w:rsidRPr="00AA093C">
        <w:rPr>
          <w:rFonts w:ascii="Times New Roman" w:hAnsi="Times New Roman" w:cs="Times New Roman"/>
          <w:sz w:val="21"/>
          <w:szCs w:val="21"/>
        </w:rPr>
        <w:tab/>
        <w:t>1</w:t>
      </w:r>
      <w:r w:rsidR="00F07F42">
        <w:rPr>
          <w:rFonts w:ascii="Times New Roman" w:hAnsi="Times New Roman" w:cs="Times New Roman"/>
          <w:sz w:val="21"/>
          <w:szCs w:val="21"/>
        </w:rPr>
        <w:t>2</w:t>
      </w:r>
    </w:p>
    <w:p w14:paraId="0A4E5DF7" w14:textId="1606715C"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3.2 Transfer Efficiency</w:t>
      </w:r>
      <w:r w:rsidRPr="00AA093C">
        <w:rPr>
          <w:rFonts w:ascii="Times New Roman" w:hAnsi="Times New Roman" w:cs="Times New Roman"/>
          <w:sz w:val="21"/>
          <w:szCs w:val="21"/>
        </w:rPr>
        <w:tab/>
        <w:t>1</w:t>
      </w:r>
      <w:r w:rsidR="00F07F42">
        <w:rPr>
          <w:rFonts w:ascii="Times New Roman" w:hAnsi="Times New Roman" w:cs="Times New Roman"/>
          <w:sz w:val="21"/>
          <w:szCs w:val="21"/>
        </w:rPr>
        <w:t>2</w:t>
      </w:r>
    </w:p>
    <w:p w14:paraId="7B778A18" w14:textId="3C985AE7"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3.3 Discharge Effectiveness</w:t>
      </w:r>
      <w:r w:rsidRPr="00AA093C">
        <w:rPr>
          <w:rFonts w:ascii="Times New Roman" w:hAnsi="Times New Roman" w:cs="Times New Roman"/>
          <w:sz w:val="21"/>
          <w:szCs w:val="21"/>
        </w:rPr>
        <w:tab/>
        <w:t>1</w:t>
      </w:r>
      <w:r w:rsidR="00F07F42">
        <w:rPr>
          <w:rFonts w:ascii="Times New Roman" w:hAnsi="Times New Roman" w:cs="Times New Roman"/>
          <w:sz w:val="21"/>
          <w:szCs w:val="21"/>
        </w:rPr>
        <w:t>3</w:t>
      </w:r>
    </w:p>
    <w:p w14:paraId="33F9B1DB" w14:textId="3859E939"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3.4 Backlog Accumulation</w:t>
      </w:r>
      <w:r w:rsidRPr="00AA093C">
        <w:rPr>
          <w:rFonts w:ascii="Times New Roman" w:hAnsi="Times New Roman" w:cs="Times New Roman"/>
          <w:sz w:val="21"/>
          <w:szCs w:val="21"/>
        </w:rPr>
        <w:tab/>
        <w:t>1</w:t>
      </w:r>
      <w:r w:rsidR="00F07F42">
        <w:rPr>
          <w:rFonts w:ascii="Times New Roman" w:hAnsi="Times New Roman" w:cs="Times New Roman"/>
          <w:sz w:val="21"/>
          <w:szCs w:val="21"/>
        </w:rPr>
        <w:t>3</w:t>
      </w:r>
    </w:p>
    <w:p w14:paraId="0D28F135" w14:textId="1339EA1B"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3.5 Warning Alerts and Stagnation</w:t>
      </w:r>
      <w:r w:rsidRPr="00AA093C">
        <w:rPr>
          <w:rFonts w:ascii="Times New Roman" w:hAnsi="Times New Roman" w:cs="Times New Roman"/>
          <w:sz w:val="21"/>
          <w:szCs w:val="21"/>
        </w:rPr>
        <w:tab/>
        <w:t>1</w:t>
      </w:r>
      <w:r w:rsidR="00F07F42">
        <w:rPr>
          <w:rFonts w:ascii="Times New Roman" w:hAnsi="Times New Roman" w:cs="Times New Roman"/>
          <w:sz w:val="21"/>
          <w:szCs w:val="21"/>
        </w:rPr>
        <w:t>4</w:t>
      </w:r>
    </w:p>
    <w:p w14:paraId="76BA3F24" w14:textId="5F0C44CF"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3.6 Outcome Stability</w:t>
      </w:r>
      <w:r w:rsidRPr="00AA093C">
        <w:rPr>
          <w:rFonts w:ascii="Times New Roman" w:hAnsi="Times New Roman" w:cs="Times New Roman"/>
          <w:sz w:val="21"/>
          <w:szCs w:val="21"/>
        </w:rPr>
        <w:tab/>
        <w:t>1</w:t>
      </w:r>
      <w:r w:rsidR="00F07F42">
        <w:rPr>
          <w:rFonts w:ascii="Times New Roman" w:hAnsi="Times New Roman" w:cs="Times New Roman"/>
          <w:sz w:val="21"/>
          <w:szCs w:val="21"/>
        </w:rPr>
        <w:t>5</w:t>
      </w:r>
    </w:p>
    <w:p w14:paraId="62152D74" w14:textId="685AF363"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3.7 Weekday Versus Weekend Performance</w:t>
      </w:r>
      <w:r w:rsidRPr="00AA093C">
        <w:rPr>
          <w:rFonts w:ascii="Times New Roman" w:hAnsi="Times New Roman" w:cs="Times New Roman"/>
          <w:sz w:val="21"/>
          <w:szCs w:val="21"/>
        </w:rPr>
        <w:tab/>
        <w:t>1</w:t>
      </w:r>
      <w:r w:rsidR="00F07F42">
        <w:rPr>
          <w:rFonts w:ascii="Times New Roman" w:hAnsi="Times New Roman" w:cs="Times New Roman"/>
          <w:sz w:val="21"/>
          <w:szCs w:val="21"/>
        </w:rPr>
        <w:t>5</w:t>
      </w:r>
    </w:p>
    <w:p w14:paraId="617DB233" w14:textId="7739D27F"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3.8 Monthly and Seasonal Trends</w:t>
      </w:r>
      <w:r w:rsidRPr="00AA093C">
        <w:rPr>
          <w:rFonts w:ascii="Times New Roman" w:hAnsi="Times New Roman" w:cs="Times New Roman"/>
          <w:sz w:val="21"/>
          <w:szCs w:val="21"/>
        </w:rPr>
        <w:tab/>
        <w:t>1</w:t>
      </w:r>
      <w:r w:rsidR="00F07F42">
        <w:rPr>
          <w:rFonts w:ascii="Times New Roman" w:hAnsi="Times New Roman" w:cs="Times New Roman"/>
          <w:sz w:val="21"/>
          <w:szCs w:val="21"/>
        </w:rPr>
        <w:t>5</w:t>
      </w:r>
    </w:p>
    <w:p w14:paraId="2E2A406B" w14:textId="28E92773"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3.9 Correlation Structure Among Pipeline Metrics</w:t>
      </w:r>
      <w:r w:rsidRPr="00AA093C">
        <w:rPr>
          <w:rFonts w:ascii="Times New Roman" w:hAnsi="Times New Roman" w:cs="Times New Roman"/>
          <w:sz w:val="21"/>
          <w:szCs w:val="21"/>
        </w:rPr>
        <w:tab/>
        <w:t>1</w:t>
      </w:r>
      <w:r w:rsidR="00F07F42">
        <w:rPr>
          <w:rFonts w:ascii="Times New Roman" w:hAnsi="Times New Roman" w:cs="Times New Roman"/>
          <w:sz w:val="21"/>
          <w:szCs w:val="21"/>
        </w:rPr>
        <w:t>7</w:t>
      </w:r>
    </w:p>
    <w:p w14:paraId="25F6264F" w14:textId="430E2179"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4. Discussion</w:t>
      </w:r>
      <w:r w:rsidRPr="00AA093C">
        <w:rPr>
          <w:rFonts w:ascii="Times New Roman" w:hAnsi="Times New Roman" w:cs="Times New Roman"/>
          <w:b/>
          <w:bCs/>
        </w:rPr>
        <w:tab/>
        <w:t>1</w:t>
      </w:r>
      <w:r w:rsidR="00F07F42">
        <w:rPr>
          <w:rFonts w:ascii="Times New Roman" w:hAnsi="Times New Roman" w:cs="Times New Roman"/>
          <w:b/>
          <w:bCs/>
        </w:rPr>
        <w:t>8</w:t>
      </w:r>
    </w:p>
    <w:p w14:paraId="6F286B94" w14:textId="3F9F98C0"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4.1 Interpreting Backlog Concentration</w:t>
      </w:r>
      <w:r w:rsidRPr="00AA093C">
        <w:rPr>
          <w:rFonts w:ascii="Times New Roman" w:hAnsi="Times New Roman" w:cs="Times New Roman"/>
          <w:sz w:val="21"/>
          <w:szCs w:val="21"/>
        </w:rPr>
        <w:tab/>
        <w:t>1</w:t>
      </w:r>
      <w:r w:rsidR="00F07F42">
        <w:rPr>
          <w:rFonts w:ascii="Times New Roman" w:hAnsi="Times New Roman" w:cs="Times New Roman"/>
          <w:sz w:val="21"/>
          <w:szCs w:val="21"/>
        </w:rPr>
        <w:t>8</w:t>
      </w:r>
    </w:p>
    <w:p w14:paraId="7CB40685" w14:textId="56AD4A2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4.2 The Late-Period Discharge Decline</w:t>
      </w:r>
      <w:r w:rsidRPr="00AA093C">
        <w:rPr>
          <w:rFonts w:ascii="Times New Roman" w:hAnsi="Times New Roman" w:cs="Times New Roman"/>
          <w:sz w:val="21"/>
          <w:szCs w:val="21"/>
        </w:rPr>
        <w:tab/>
        <w:t>1</w:t>
      </w:r>
      <w:r w:rsidR="00F07F42">
        <w:rPr>
          <w:rFonts w:ascii="Times New Roman" w:hAnsi="Times New Roman" w:cs="Times New Roman"/>
          <w:sz w:val="21"/>
          <w:szCs w:val="21"/>
        </w:rPr>
        <w:t>8</w:t>
      </w:r>
    </w:p>
    <w:p w14:paraId="216B22F7" w14:textId="7D538ED1"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4.3 Weekday/Weekend Parity as a Positive Operational Signal</w:t>
      </w:r>
      <w:r w:rsidRPr="00AA093C">
        <w:rPr>
          <w:rFonts w:ascii="Times New Roman" w:hAnsi="Times New Roman" w:cs="Times New Roman"/>
          <w:sz w:val="21"/>
          <w:szCs w:val="21"/>
        </w:rPr>
        <w:tab/>
        <w:t>1</w:t>
      </w:r>
      <w:r w:rsidR="00F07F42">
        <w:rPr>
          <w:rFonts w:ascii="Times New Roman" w:hAnsi="Times New Roman" w:cs="Times New Roman"/>
          <w:sz w:val="21"/>
          <w:szCs w:val="21"/>
        </w:rPr>
        <w:t>8</w:t>
      </w:r>
    </w:p>
    <w:p w14:paraId="262920F1" w14:textId="18323B71" w:rsidR="00AA093C" w:rsidRDefault="00AA093C" w:rsidP="00AA093C">
      <w:pPr>
        <w:tabs>
          <w:tab w:val="right" w:leader="dot" w:pos="9000"/>
        </w:tabs>
        <w:spacing w:after="90"/>
        <w:ind w:left="360"/>
        <w:rPr>
          <w:rFonts w:ascii="Times New Roman" w:hAnsi="Times New Roman" w:cs="Times New Roman"/>
          <w:sz w:val="21"/>
          <w:szCs w:val="21"/>
        </w:rPr>
      </w:pPr>
      <w:r w:rsidRPr="00AA093C">
        <w:rPr>
          <w:rFonts w:ascii="Times New Roman" w:hAnsi="Times New Roman" w:cs="Times New Roman"/>
          <w:sz w:val="21"/>
          <w:szCs w:val="21"/>
        </w:rPr>
        <w:t>4.4 Redundancy in Stability Metrics</w:t>
      </w:r>
      <w:r w:rsidRPr="00AA093C">
        <w:rPr>
          <w:rFonts w:ascii="Times New Roman" w:hAnsi="Times New Roman" w:cs="Times New Roman"/>
          <w:sz w:val="21"/>
          <w:szCs w:val="21"/>
        </w:rPr>
        <w:tab/>
        <w:t>1</w:t>
      </w:r>
      <w:r w:rsidR="00F07F42">
        <w:rPr>
          <w:rFonts w:ascii="Times New Roman" w:hAnsi="Times New Roman" w:cs="Times New Roman"/>
          <w:sz w:val="21"/>
          <w:szCs w:val="21"/>
        </w:rPr>
        <w:t>9</w:t>
      </w:r>
    </w:p>
    <w:p w14:paraId="27D44801" w14:textId="78966FAE" w:rsidR="005A4758" w:rsidRPr="00AA093C" w:rsidRDefault="005A4758" w:rsidP="00AA093C">
      <w:pPr>
        <w:tabs>
          <w:tab w:val="right" w:leader="dot" w:pos="9000"/>
        </w:tabs>
        <w:spacing w:after="90"/>
        <w:ind w:left="360"/>
        <w:rPr>
          <w:rFonts w:ascii="Times New Roman" w:hAnsi="Times New Roman" w:cs="Times New Roman"/>
        </w:rPr>
      </w:pPr>
      <w:r>
        <w:rPr>
          <w:rFonts w:ascii="Times New Roman" w:hAnsi="Times New Roman" w:cs="Times New Roman"/>
          <w:sz w:val="21"/>
          <w:szCs w:val="21"/>
        </w:rPr>
        <w:t>4.5 Year</w:t>
      </w:r>
      <w:r w:rsidR="000A549E">
        <w:rPr>
          <w:rFonts w:ascii="Times New Roman" w:hAnsi="Times New Roman" w:cs="Times New Roman"/>
          <w:sz w:val="21"/>
          <w:szCs w:val="21"/>
        </w:rPr>
        <w:t>-</w:t>
      </w:r>
      <w:r>
        <w:rPr>
          <w:rFonts w:ascii="Times New Roman" w:hAnsi="Times New Roman" w:cs="Times New Roman"/>
          <w:sz w:val="21"/>
          <w:szCs w:val="21"/>
        </w:rPr>
        <w:t>Over</w:t>
      </w:r>
      <w:r w:rsidR="000A549E">
        <w:rPr>
          <w:rFonts w:ascii="Times New Roman" w:hAnsi="Times New Roman" w:cs="Times New Roman"/>
          <w:sz w:val="21"/>
          <w:szCs w:val="21"/>
        </w:rPr>
        <w:t>-</w:t>
      </w:r>
      <w:r>
        <w:rPr>
          <w:rFonts w:ascii="Times New Roman" w:hAnsi="Times New Roman" w:cs="Times New Roman"/>
          <w:sz w:val="21"/>
          <w:szCs w:val="21"/>
        </w:rPr>
        <w:t>Year Performance Evalu</w:t>
      </w:r>
      <w:r w:rsidR="00CA3A23">
        <w:rPr>
          <w:rFonts w:ascii="Times New Roman" w:hAnsi="Times New Roman" w:cs="Times New Roman"/>
          <w:sz w:val="21"/>
          <w:szCs w:val="21"/>
        </w:rPr>
        <w:t>a</w:t>
      </w:r>
      <w:r>
        <w:rPr>
          <w:rFonts w:ascii="Times New Roman" w:hAnsi="Times New Roman" w:cs="Times New Roman"/>
          <w:sz w:val="21"/>
          <w:szCs w:val="21"/>
        </w:rPr>
        <w:t>tion...……………………………………………………</w:t>
      </w:r>
      <w:proofErr w:type="gramStart"/>
      <w:r>
        <w:rPr>
          <w:rFonts w:ascii="Times New Roman" w:hAnsi="Times New Roman" w:cs="Times New Roman"/>
          <w:sz w:val="21"/>
          <w:szCs w:val="21"/>
        </w:rPr>
        <w:t>…</w:t>
      </w:r>
      <w:r w:rsidR="00CA3A23">
        <w:rPr>
          <w:rFonts w:ascii="Times New Roman" w:hAnsi="Times New Roman" w:cs="Times New Roman"/>
          <w:sz w:val="21"/>
          <w:szCs w:val="21"/>
        </w:rPr>
        <w:t>.</w:t>
      </w:r>
      <w:r w:rsidR="00EC1D1F">
        <w:rPr>
          <w:rFonts w:ascii="Times New Roman" w:hAnsi="Times New Roman" w:cs="Times New Roman"/>
          <w:sz w:val="21"/>
          <w:szCs w:val="21"/>
        </w:rPr>
        <w:t>.</w:t>
      </w:r>
      <w:proofErr w:type="gramEnd"/>
      <w:r>
        <w:rPr>
          <w:rFonts w:ascii="Times New Roman" w:hAnsi="Times New Roman" w:cs="Times New Roman"/>
          <w:sz w:val="21"/>
          <w:szCs w:val="21"/>
        </w:rPr>
        <w:t>1</w:t>
      </w:r>
      <w:r w:rsidR="00F07F42">
        <w:rPr>
          <w:rFonts w:ascii="Times New Roman" w:hAnsi="Times New Roman" w:cs="Times New Roman"/>
          <w:sz w:val="21"/>
          <w:szCs w:val="21"/>
        </w:rPr>
        <w:t>9</w:t>
      </w:r>
    </w:p>
    <w:p w14:paraId="12E194C5" w14:textId="54A0DD49"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lastRenderedPageBreak/>
        <w:t>5. Limitations</w:t>
      </w:r>
      <w:r w:rsidRPr="00AA093C">
        <w:rPr>
          <w:rFonts w:ascii="Times New Roman" w:hAnsi="Times New Roman" w:cs="Times New Roman"/>
          <w:b/>
          <w:bCs/>
        </w:rPr>
        <w:tab/>
        <w:t>1</w:t>
      </w:r>
      <w:r w:rsidR="00F07F42">
        <w:rPr>
          <w:rFonts w:ascii="Times New Roman" w:hAnsi="Times New Roman" w:cs="Times New Roman"/>
          <w:b/>
          <w:bCs/>
        </w:rPr>
        <w:t>9</w:t>
      </w:r>
    </w:p>
    <w:p w14:paraId="73150D86" w14:textId="1420175D"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5.1 Data Granularity and Scope</w:t>
      </w:r>
      <w:r w:rsidRPr="00AA093C">
        <w:rPr>
          <w:rFonts w:ascii="Times New Roman" w:hAnsi="Times New Roman" w:cs="Times New Roman"/>
          <w:sz w:val="21"/>
          <w:szCs w:val="21"/>
        </w:rPr>
        <w:tab/>
        <w:t>1</w:t>
      </w:r>
      <w:r w:rsidR="00F07F42">
        <w:rPr>
          <w:rFonts w:ascii="Times New Roman" w:hAnsi="Times New Roman" w:cs="Times New Roman"/>
          <w:sz w:val="21"/>
          <w:szCs w:val="21"/>
        </w:rPr>
        <w:t>9</w:t>
      </w:r>
    </w:p>
    <w:p w14:paraId="09B4C438" w14:textId="12F3226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5.2 Data Quality Observation: Missing Saturday Records</w:t>
      </w:r>
      <w:r w:rsidRPr="00AA093C">
        <w:rPr>
          <w:rFonts w:ascii="Times New Roman" w:hAnsi="Times New Roman" w:cs="Times New Roman"/>
          <w:sz w:val="21"/>
          <w:szCs w:val="21"/>
        </w:rPr>
        <w:tab/>
        <w:t>1</w:t>
      </w:r>
      <w:r w:rsidR="00F07F42">
        <w:rPr>
          <w:rFonts w:ascii="Times New Roman" w:hAnsi="Times New Roman" w:cs="Times New Roman"/>
          <w:sz w:val="21"/>
          <w:szCs w:val="21"/>
        </w:rPr>
        <w:t>9</w:t>
      </w:r>
    </w:p>
    <w:p w14:paraId="76D8599A" w14:textId="730E3891"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5.3 Negative Backlog Values</w:t>
      </w:r>
      <w:r w:rsidRPr="00AA093C">
        <w:rPr>
          <w:rFonts w:ascii="Times New Roman" w:hAnsi="Times New Roman" w:cs="Times New Roman"/>
          <w:sz w:val="21"/>
          <w:szCs w:val="21"/>
        </w:rPr>
        <w:tab/>
        <w:t>1</w:t>
      </w:r>
      <w:r w:rsidR="00F07F42">
        <w:rPr>
          <w:rFonts w:ascii="Times New Roman" w:hAnsi="Times New Roman" w:cs="Times New Roman"/>
          <w:sz w:val="21"/>
          <w:szCs w:val="21"/>
        </w:rPr>
        <w:t>9</w:t>
      </w:r>
    </w:p>
    <w:p w14:paraId="64F2712A" w14:textId="3BDBB435"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5.4 Outlier Sensitivity in Ratio Metrics</w:t>
      </w:r>
      <w:r w:rsidRPr="00AA093C">
        <w:rPr>
          <w:rFonts w:ascii="Times New Roman" w:hAnsi="Times New Roman" w:cs="Times New Roman"/>
          <w:sz w:val="21"/>
          <w:szCs w:val="21"/>
        </w:rPr>
        <w:tab/>
      </w:r>
      <w:r w:rsidR="00F85319">
        <w:rPr>
          <w:rFonts w:ascii="Times New Roman" w:hAnsi="Times New Roman" w:cs="Times New Roman"/>
          <w:sz w:val="21"/>
          <w:szCs w:val="21"/>
        </w:rPr>
        <w:t>1</w:t>
      </w:r>
      <w:r w:rsidR="00F07F42">
        <w:rPr>
          <w:rFonts w:ascii="Times New Roman" w:hAnsi="Times New Roman" w:cs="Times New Roman"/>
          <w:sz w:val="21"/>
          <w:szCs w:val="21"/>
        </w:rPr>
        <w:t>9</w:t>
      </w:r>
    </w:p>
    <w:p w14:paraId="43EC3ACA" w14:textId="28D6EB62"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5.5 Correlational, Not Causal, Findings</w:t>
      </w:r>
      <w:r w:rsidRPr="00AA093C">
        <w:rPr>
          <w:rFonts w:ascii="Times New Roman" w:hAnsi="Times New Roman" w:cs="Times New Roman"/>
          <w:sz w:val="21"/>
          <w:szCs w:val="21"/>
        </w:rPr>
        <w:tab/>
      </w:r>
      <w:r w:rsidR="00F07F42">
        <w:rPr>
          <w:rFonts w:ascii="Times New Roman" w:hAnsi="Times New Roman" w:cs="Times New Roman"/>
          <w:sz w:val="21"/>
          <w:szCs w:val="21"/>
        </w:rPr>
        <w:t>21</w:t>
      </w:r>
    </w:p>
    <w:p w14:paraId="58982BC0" w14:textId="1A4D98C3"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 xml:space="preserve">6. </w:t>
      </w:r>
      <w:proofErr w:type="spellStart"/>
      <w:r w:rsidRPr="00AA093C">
        <w:rPr>
          <w:rFonts w:ascii="Times New Roman" w:hAnsi="Times New Roman" w:cs="Times New Roman"/>
          <w:b/>
          <w:bCs/>
        </w:rPr>
        <w:t>Streamlit</w:t>
      </w:r>
      <w:proofErr w:type="spellEnd"/>
      <w:r w:rsidRPr="00AA093C">
        <w:rPr>
          <w:rFonts w:ascii="Times New Roman" w:hAnsi="Times New Roman" w:cs="Times New Roman"/>
          <w:b/>
          <w:bCs/>
        </w:rPr>
        <w:t xml:space="preserve"> Analytics Dashboard</w:t>
      </w:r>
      <w:r w:rsidRPr="00AA093C">
        <w:rPr>
          <w:rFonts w:ascii="Times New Roman" w:hAnsi="Times New Roman" w:cs="Times New Roman"/>
          <w:b/>
          <w:bCs/>
        </w:rPr>
        <w:tab/>
        <w:t>2</w:t>
      </w:r>
      <w:r w:rsidR="00F07F42">
        <w:rPr>
          <w:rFonts w:ascii="Times New Roman" w:hAnsi="Times New Roman" w:cs="Times New Roman"/>
          <w:b/>
          <w:bCs/>
        </w:rPr>
        <w:t>2</w:t>
      </w:r>
    </w:p>
    <w:p w14:paraId="60D352D1" w14:textId="0C4634AB"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6.1 Core Modules</w:t>
      </w:r>
      <w:r w:rsidRPr="00AA093C">
        <w:rPr>
          <w:rFonts w:ascii="Times New Roman" w:hAnsi="Times New Roman" w:cs="Times New Roman"/>
          <w:sz w:val="21"/>
          <w:szCs w:val="21"/>
        </w:rPr>
        <w:tab/>
        <w:t>2</w:t>
      </w:r>
      <w:r w:rsidR="00F07F42">
        <w:rPr>
          <w:rFonts w:ascii="Times New Roman" w:hAnsi="Times New Roman" w:cs="Times New Roman"/>
          <w:sz w:val="21"/>
          <w:szCs w:val="21"/>
        </w:rPr>
        <w:t>2</w:t>
      </w:r>
    </w:p>
    <w:p w14:paraId="261D159C" w14:textId="6BFBB938"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6.2 User Capabilities</w:t>
      </w:r>
      <w:r w:rsidRPr="00AA093C">
        <w:rPr>
          <w:rFonts w:ascii="Times New Roman" w:hAnsi="Times New Roman" w:cs="Times New Roman"/>
          <w:sz w:val="21"/>
          <w:szCs w:val="21"/>
        </w:rPr>
        <w:tab/>
        <w:t>2</w:t>
      </w:r>
      <w:r w:rsidR="00F07F42">
        <w:rPr>
          <w:rFonts w:ascii="Times New Roman" w:hAnsi="Times New Roman" w:cs="Times New Roman"/>
          <w:sz w:val="21"/>
          <w:szCs w:val="21"/>
        </w:rPr>
        <w:t>2</w:t>
      </w:r>
    </w:p>
    <w:p w14:paraId="44D2DAE9" w14:textId="40FC1B07"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6.3 Page Structure</w:t>
      </w:r>
      <w:r w:rsidRPr="00AA093C">
        <w:rPr>
          <w:rFonts w:ascii="Times New Roman" w:hAnsi="Times New Roman" w:cs="Times New Roman"/>
          <w:sz w:val="21"/>
          <w:szCs w:val="21"/>
        </w:rPr>
        <w:tab/>
        <w:t>2</w:t>
      </w:r>
      <w:r w:rsidR="00F07F42">
        <w:rPr>
          <w:rFonts w:ascii="Times New Roman" w:hAnsi="Times New Roman" w:cs="Times New Roman"/>
          <w:sz w:val="21"/>
          <w:szCs w:val="21"/>
        </w:rPr>
        <w:t>2</w:t>
      </w:r>
    </w:p>
    <w:p w14:paraId="6825034B" w14:textId="4965EB32"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7. Recommendations</w:t>
      </w:r>
      <w:r w:rsidRPr="00AA093C">
        <w:rPr>
          <w:rFonts w:ascii="Times New Roman" w:hAnsi="Times New Roman" w:cs="Times New Roman"/>
          <w:b/>
          <w:bCs/>
        </w:rPr>
        <w:tab/>
        <w:t>2</w:t>
      </w:r>
      <w:r w:rsidR="00F07F42">
        <w:rPr>
          <w:rFonts w:ascii="Times New Roman" w:hAnsi="Times New Roman" w:cs="Times New Roman"/>
          <w:b/>
          <w:bCs/>
        </w:rPr>
        <w:t>4</w:t>
      </w:r>
    </w:p>
    <w:p w14:paraId="6EFC4E9A" w14:textId="2D52B886"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8. Conclusion</w:t>
      </w:r>
      <w:r w:rsidRPr="00AA093C">
        <w:rPr>
          <w:rFonts w:ascii="Times New Roman" w:hAnsi="Times New Roman" w:cs="Times New Roman"/>
          <w:b/>
          <w:bCs/>
        </w:rPr>
        <w:tab/>
        <w:t>2</w:t>
      </w:r>
      <w:r w:rsidR="00F07F42">
        <w:rPr>
          <w:rFonts w:ascii="Times New Roman" w:hAnsi="Times New Roman" w:cs="Times New Roman"/>
          <w:b/>
          <w:bCs/>
        </w:rPr>
        <w:t>5</w:t>
      </w:r>
    </w:p>
    <w:p w14:paraId="60605B89" w14:textId="4904D030"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9. Future Research</w:t>
      </w:r>
      <w:r w:rsidRPr="00AA093C">
        <w:rPr>
          <w:rFonts w:ascii="Times New Roman" w:hAnsi="Times New Roman" w:cs="Times New Roman"/>
          <w:b/>
          <w:bCs/>
        </w:rPr>
        <w:tab/>
        <w:t>2</w:t>
      </w:r>
      <w:r w:rsidR="00F07F42">
        <w:rPr>
          <w:rFonts w:ascii="Times New Roman" w:hAnsi="Times New Roman" w:cs="Times New Roman"/>
          <w:b/>
          <w:bCs/>
        </w:rPr>
        <w:t>6</w:t>
      </w:r>
    </w:p>
    <w:p w14:paraId="6BA47EB1" w14:textId="7C47B0BF"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9.1 Causal Analysis of the Late-Period Discharge Decline</w:t>
      </w:r>
      <w:r w:rsidRPr="00AA093C">
        <w:rPr>
          <w:rFonts w:ascii="Times New Roman" w:hAnsi="Times New Roman" w:cs="Times New Roman"/>
          <w:sz w:val="21"/>
          <w:szCs w:val="21"/>
        </w:rPr>
        <w:tab/>
        <w:t>2</w:t>
      </w:r>
      <w:r w:rsidR="00F07F42">
        <w:rPr>
          <w:rFonts w:ascii="Times New Roman" w:hAnsi="Times New Roman" w:cs="Times New Roman"/>
          <w:sz w:val="21"/>
          <w:szCs w:val="21"/>
        </w:rPr>
        <w:t>6</w:t>
      </w:r>
    </w:p>
    <w:p w14:paraId="209D4A08" w14:textId="7931F8DF"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9.2 Facility- and Region-Level Disaggregation</w:t>
      </w:r>
      <w:r w:rsidRPr="00AA093C">
        <w:rPr>
          <w:rFonts w:ascii="Times New Roman" w:hAnsi="Times New Roman" w:cs="Times New Roman"/>
          <w:sz w:val="21"/>
          <w:szCs w:val="21"/>
        </w:rPr>
        <w:tab/>
        <w:t>2</w:t>
      </w:r>
      <w:r w:rsidR="00F07F42">
        <w:rPr>
          <w:rFonts w:ascii="Times New Roman" w:hAnsi="Times New Roman" w:cs="Times New Roman"/>
          <w:sz w:val="21"/>
          <w:szCs w:val="21"/>
        </w:rPr>
        <w:t>6</w:t>
      </w:r>
    </w:p>
    <w:p w14:paraId="4D2DE6F4" w14:textId="7186D98D"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9.3 Sponsor-Side Process Modelling</w:t>
      </w:r>
      <w:r w:rsidRPr="00AA093C">
        <w:rPr>
          <w:rFonts w:ascii="Times New Roman" w:hAnsi="Times New Roman" w:cs="Times New Roman"/>
          <w:sz w:val="21"/>
          <w:szCs w:val="21"/>
        </w:rPr>
        <w:tab/>
        <w:t>2</w:t>
      </w:r>
      <w:r w:rsidR="00F07F42">
        <w:rPr>
          <w:rFonts w:ascii="Times New Roman" w:hAnsi="Times New Roman" w:cs="Times New Roman"/>
          <w:sz w:val="21"/>
          <w:szCs w:val="21"/>
        </w:rPr>
        <w:t>6</w:t>
      </w:r>
    </w:p>
    <w:p w14:paraId="7501F481" w14:textId="1683902B"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9.4 Predictive Backlog and Stagnation Forecasting</w:t>
      </w:r>
      <w:r w:rsidRPr="00AA093C">
        <w:rPr>
          <w:rFonts w:ascii="Times New Roman" w:hAnsi="Times New Roman" w:cs="Times New Roman"/>
          <w:sz w:val="21"/>
          <w:szCs w:val="21"/>
        </w:rPr>
        <w:tab/>
        <w:t>2</w:t>
      </w:r>
      <w:r w:rsidR="00F07F42">
        <w:rPr>
          <w:rFonts w:ascii="Times New Roman" w:hAnsi="Times New Roman" w:cs="Times New Roman"/>
          <w:sz w:val="21"/>
          <w:szCs w:val="21"/>
        </w:rPr>
        <w:t>6</w:t>
      </w:r>
    </w:p>
    <w:p w14:paraId="670DFF35" w14:textId="0802278A" w:rsidR="00AA093C" w:rsidRPr="00AA093C" w:rsidRDefault="00AA093C" w:rsidP="00AA093C">
      <w:pPr>
        <w:tabs>
          <w:tab w:val="right" w:leader="dot" w:pos="9000"/>
        </w:tabs>
        <w:spacing w:after="90"/>
        <w:ind w:left="360"/>
        <w:rPr>
          <w:rFonts w:ascii="Times New Roman" w:hAnsi="Times New Roman" w:cs="Times New Roman"/>
        </w:rPr>
      </w:pPr>
      <w:r w:rsidRPr="00AA093C">
        <w:rPr>
          <w:rFonts w:ascii="Times New Roman" w:hAnsi="Times New Roman" w:cs="Times New Roman"/>
          <w:sz w:val="21"/>
          <w:szCs w:val="21"/>
        </w:rPr>
        <w:t>9.5 Formal Causal Inference on Weekday/Weekend Parity</w:t>
      </w:r>
      <w:r w:rsidRPr="00AA093C">
        <w:rPr>
          <w:rFonts w:ascii="Times New Roman" w:hAnsi="Times New Roman" w:cs="Times New Roman"/>
          <w:sz w:val="21"/>
          <w:szCs w:val="21"/>
        </w:rPr>
        <w:tab/>
        <w:t>2</w:t>
      </w:r>
      <w:r w:rsidR="00F07F42">
        <w:rPr>
          <w:rFonts w:ascii="Times New Roman" w:hAnsi="Times New Roman" w:cs="Times New Roman"/>
          <w:sz w:val="21"/>
          <w:szCs w:val="21"/>
        </w:rPr>
        <w:t>7</w:t>
      </w:r>
    </w:p>
    <w:p w14:paraId="1F048852" w14:textId="6708CD1B" w:rsidR="00AA093C" w:rsidRDefault="00AA093C" w:rsidP="00AA093C">
      <w:pPr>
        <w:tabs>
          <w:tab w:val="right" w:leader="dot" w:pos="9000"/>
        </w:tabs>
        <w:spacing w:after="90"/>
        <w:ind w:left="360"/>
        <w:rPr>
          <w:rFonts w:ascii="Times New Roman" w:hAnsi="Times New Roman" w:cs="Times New Roman"/>
          <w:sz w:val="21"/>
          <w:szCs w:val="21"/>
        </w:rPr>
      </w:pPr>
      <w:r w:rsidRPr="00AA093C">
        <w:rPr>
          <w:rFonts w:ascii="Times New Roman" w:hAnsi="Times New Roman" w:cs="Times New Roman"/>
          <w:sz w:val="21"/>
          <w:szCs w:val="21"/>
        </w:rPr>
        <w:t>9.6 Dashboard Extension to Real-Time Data Ingestion</w:t>
      </w:r>
      <w:r w:rsidRPr="00AA093C">
        <w:rPr>
          <w:rFonts w:ascii="Times New Roman" w:hAnsi="Times New Roman" w:cs="Times New Roman"/>
          <w:sz w:val="21"/>
          <w:szCs w:val="21"/>
        </w:rPr>
        <w:tab/>
        <w:t>2</w:t>
      </w:r>
      <w:r w:rsidR="00F07F42">
        <w:rPr>
          <w:rFonts w:ascii="Times New Roman" w:hAnsi="Times New Roman" w:cs="Times New Roman"/>
          <w:sz w:val="21"/>
          <w:szCs w:val="21"/>
        </w:rPr>
        <w:t>7</w:t>
      </w:r>
    </w:p>
    <w:p w14:paraId="4204132D" w14:textId="4CB95EC2" w:rsidR="000A549E" w:rsidRPr="00AA093C" w:rsidRDefault="000A549E" w:rsidP="00AA093C">
      <w:pPr>
        <w:tabs>
          <w:tab w:val="right" w:leader="dot" w:pos="9000"/>
        </w:tabs>
        <w:spacing w:after="90"/>
        <w:ind w:left="360"/>
        <w:rPr>
          <w:rFonts w:ascii="Times New Roman" w:hAnsi="Times New Roman" w:cs="Times New Roman"/>
        </w:rPr>
      </w:pPr>
      <w:r>
        <w:rPr>
          <w:rFonts w:ascii="Times New Roman" w:hAnsi="Times New Roman" w:cs="Times New Roman"/>
          <w:sz w:val="21"/>
          <w:szCs w:val="21"/>
        </w:rPr>
        <w:t>9.7 Long Term Performance Forecasting……………………………………………………………...2</w:t>
      </w:r>
      <w:r w:rsidR="00F07F42">
        <w:rPr>
          <w:rFonts w:ascii="Times New Roman" w:hAnsi="Times New Roman" w:cs="Times New Roman"/>
          <w:sz w:val="21"/>
          <w:szCs w:val="21"/>
        </w:rPr>
        <w:t>7</w:t>
      </w:r>
    </w:p>
    <w:p w14:paraId="0BEE7321" w14:textId="6C88DC61"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References</w:t>
      </w:r>
      <w:r w:rsidRPr="00AA093C">
        <w:rPr>
          <w:rFonts w:ascii="Times New Roman" w:hAnsi="Times New Roman" w:cs="Times New Roman"/>
          <w:b/>
          <w:bCs/>
        </w:rPr>
        <w:tab/>
        <w:t>2</w:t>
      </w:r>
      <w:r w:rsidR="00F07F42">
        <w:rPr>
          <w:rFonts w:ascii="Times New Roman" w:hAnsi="Times New Roman" w:cs="Times New Roman"/>
          <w:b/>
          <w:bCs/>
        </w:rPr>
        <w:t>8</w:t>
      </w:r>
    </w:p>
    <w:p w14:paraId="55C37B73" w14:textId="6ECE5362"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Appendix A: Dataset Schema</w:t>
      </w:r>
      <w:r w:rsidRPr="00AA093C">
        <w:rPr>
          <w:rFonts w:ascii="Times New Roman" w:hAnsi="Times New Roman" w:cs="Times New Roman"/>
          <w:b/>
          <w:bCs/>
        </w:rPr>
        <w:tab/>
        <w:t>2</w:t>
      </w:r>
      <w:r w:rsidR="00F07F42">
        <w:rPr>
          <w:rFonts w:ascii="Times New Roman" w:hAnsi="Times New Roman" w:cs="Times New Roman"/>
          <w:b/>
          <w:bCs/>
        </w:rPr>
        <w:t>9</w:t>
      </w:r>
    </w:p>
    <w:p w14:paraId="4763C909" w14:textId="4F91AA5D"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Appendix B: KPI Formula Reference</w:t>
      </w:r>
      <w:r w:rsidRPr="00AA093C">
        <w:rPr>
          <w:rFonts w:ascii="Times New Roman" w:hAnsi="Times New Roman" w:cs="Times New Roman"/>
          <w:b/>
          <w:bCs/>
        </w:rPr>
        <w:tab/>
      </w:r>
      <w:r w:rsidR="00F07F42">
        <w:rPr>
          <w:rFonts w:ascii="Times New Roman" w:hAnsi="Times New Roman" w:cs="Times New Roman"/>
          <w:b/>
          <w:bCs/>
        </w:rPr>
        <w:t>30</w:t>
      </w:r>
    </w:p>
    <w:p w14:paraId="5A244B70" w14:textId="40E4CD36"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Appendix C: Software and Tools</w:t>
      </w:r>
      <w:r w:rsidRPr="00AA093C">
        <w:rPr>
          <w:rFonts w:ascii="Times New Roman" w:hAnsi="Times New Roman" w:cs="Times New Roman"/>
          <w:b/>
          <w:bCs/>
        </w:rPr>
        <w:tab/>
      </w:r>
      <w:r w:rsidR="00F07F42">
        <w:rPr>
          <w:rFonts w:ascii="Times New Roman" w:hAnsi="Times New Roman" w:cs="Times New Roman"/>
          <w:b/>
          <w:bCs/>
        </w:rPr>
        <w:t>31</w:t>
      </w:r>
    </w:p>
    <w:p w14:paraId="3D6EFA7A" w14:textId="5C8CBE0F" w:rsidR="00AA093C" w:rsidRPr="00AA093C" w:rsidRDefault="00AA093C" w:rsidP="00AA093C">
      <w:pPr>
        <w:tabs>
          <w:tab w:val="right" w:leader="dot" w:pos="9000"/>
        </w:tabs>
        <w:spacing w:after="140"/>
        <w:rPr>
          <w:rFonts w:ascii="Times New Roman" w:hAnsi="Times New Roman" w:cs="Times New Roman"/>
        </w:rPr>
      </w:pPr>
      <w:r w:rsidRPr="00AA093C">
        <w:rPr>
          <w:rFonts w:ascii="Times New Roman" w:hAnsi="Times New Roman" w:cs="Times New Roman"/>
          <w:b/>
          <w:bCs/>
        </w:rPr>
        <w:t>About the Author</w:t>
      </w:r>
      <w:r w:rsidRPr="00AA093C">
        <w:rPr>
          <w:rFonts w:ascii="Times New Roman" w:hAnsi="Times New Roman" w:cs="Times New Roman"/>
          <w:b/>
          <w:bCs/>
        </w:rPr>
        <w:tab/>
        <w:t>3</w:t>
      </w:r>
      <w:r w:rsidR="00F07F42">
        <w:rPr>
          <w:rFonts w:ascii="Times New Roman" w:hAnsi="Times New Roman" w:cs="Times New Roman"/>
          <w:b/>
          <w:bCs/>
        </w:rPr>
        <w:t>2</w:t>
      </w:r>
    </w:p>
    <w:p w14:paraId="7FDADE80" w14:textId="77777777" w:rsidR="009D6C83" w:rsidRPr="00E15BEA" w:rsidRDefault="00830EFB">
      <w:pPr>
        <w:rPr>
          <w:rFonts w:ascii="Times New Roman" w:hAnsi="Times New Roman" w:cs="Times New Roman"/>
        </w:rPr>
      </w:pPr>
      <w:r w:rsidRPr="00E15BEA">
        <w:rPr>
          <w:rFonts w:ascii="Times New Roman" w:hAnsi="Times New Roman" w:cs="Times New Roman"/>
        </w:rPr>
        <w:br w:type="page"/>
      </w:r>
    </w:p>
    <w:p w14:paraId="0A96D8E7" w14:textId="0E54C92E" w:rsidR="009D6C83" w:rsidRPr="00E15BEA" w:rsidRDefault="009D6C83">
      <w:pPr>
        <w:rPr>
          <w:rFonts w:ascii="Times New Roman" w:hAnsi="Times New Roman" w:cs="Times New Roman"/>
        </w:rPr>
        <w:sectPr w:rsidR="009D6C83" w:rsidRPr="00E15BEA">
          <w:headerReference w:type="default" r:id="rId8"/>
          <w:footerReference w:type="default" r:id="rId9"/>
          <w:pgSz w:w="12240" w:h="15840"/>
          <w:pgMar w:top="1440" w:right="1440" w:bottom="1440" w:left="1440" w:header="708" w:footer="708" w:gutter="0"/>
          <w:cols w:space="720"/>
          <w:docGrid w:linePitch="360"/>
        </w:sectPr>
      </w:pPr>
    </w:p>
    <w:p w14:paraId="580BC7E5" w14:textId="77777777" w:rsidR="009D6C83" w:rsidRPr="008A64B7" w:rsidRDefault="00830EFB">
      <w:pPr>
        <w:pStyle w:val="Heading1"/>
        <w:rPr>
          <w:rFonts w:ascii="Times New Roman" w:hAnsi="Times New Roman" w:cs="Times New Roman"/>
          <w:color w:val="000000" w:themeColor="text1"/>
        </w:rPr>
      </w:pPr>
      <w:bookmarkStart w:id="0" w:name="_Toc232714596"/>
      <w:r w:rsidRPr="008A64B7">
        <w:rPr>
          <w:rFonts w:ascii="Times New Roman" w:hAnsi="Times New Roman" w:cs="Times New Roman"/>
          <w:color w:val="000000" w:themeColor="text1"/>
        </w:rPr>
        <w:lastRenderedPageBreak/>
        <w:t>Abstract</w:t>
      </w:r>
      <w:bookmarkEnd w:id="0"/>
    </w:p>
    <w:p w14:paraId="57007BF3"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The Unaccompanied Alien Children (UAC) program manages a multi-stage humanitarian pipeline spanning apprehension and custody by U.S. Customs and Border Protection (CBP), transfer into care administered by the Department of Health and Human Services (HHS), and eventual discharge to a vetted sponsor. While aggregate population counts at each stage are routinely reported, process-level efficiency — how quickly and reliably children move between stages — has historically received far less structured analysis. This study reframes 720 days of daily operational data (January 12, 2023 to December 21, 2025) from a capacity-monitoring lens to a process-efficiency and outcome-evaluation lens. Five derived key performance indicators were constructed: Transfer Efficiency Ratio, Discharge Effectiveness Index, Pipeline Throughput Rate, Backlog Accumulation Rate, and Outcome Stability Score. Analysis reveals an average transfer efficiency of 0.69 (transfers per child in CBP custody), an average discharge effectiveness of 0.024, and a mean transfer backlog of approximately 43 children per day, with backlog peaking at 304 children on May 29, 2024. Approximately 24.3% of all observed days were flagged with an operational warning alert, and 21.5% of days fell within a stagnation period of five or more consecutive low-efficiency days. Weekday and weekend transfer efficiency were found to be statistically comparable (0.689 versus 0.700, a 1.6% difference), suggesting the pipeline does not suffer materially from weekend staffing constraints. Discharge effectiveness and HHS care load ratio exhibited a near-perfect inverse correlation (r = –1.00), while stagnation period length was strongly associated with both reduced transfer efficiency (r = –0.66) and reduced discharge effectiveness (r = –0.80). These findings are translated into an interactive nine-page </w:t>
      </w:r>
      <w:proofErr w:type="spellStart"/>
      <w:r w:rsidRPr="00E15BEA">
        <w:rPr>
          <w:rFonts w:ascii="Times New Roman" w:hAnsi="Times New Roman" w:cs="Times New Roman"/>
        </w:rPr>
        <w:t>Streamlit</w:t>
      </w:r>
      <w:proofErr w:type="spellEnd"/>
      <w:r w:rsidRPr="00E15BEA">
        <w:rPr>
          <w:rFonts w:ascii="Times New Roman" w:hAnsi="Times New Roman" w:cs="Times New Roman"/>
        </w:rPr>
        <w:t xml:space="preserve"> analytics dashboard intended to support real-time operational monitoring and policy-level decision-making aimed at reducing systemic delay and improving reunification timelines.</w:t>
      </w:r>
    </w:p>
    <w:p w14:paraId="2E170EF4" w14:textId="6FD78C64" w:rsidR="00A271C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b/>
          <w:bCs/>
        </w:rPr>
        <w:t xml:space="preserve">Keywords: </w:t>
      </w:r>
      <w:r w:rsidRPr="00E15BEA">
        <w:rPr>
          <w:rFonts w:ascii="Times New Roman" w:hAnsi="Times New Roman" w:cs="Times New Roman"/>
        </w:rPr>
        <w:t>unaccompanied alien children, care pipeline analytics, transfer efficiency, discharge effectiveness, backlog detection, process bottleneck analysis, humanitarian operations research</w:t>
      </w:r>
    </w:p>
    <w:p w14:paraId="1A1A8B02" w14:textId="77777777" w:rsidR="00F378E5" w:rsidRDefault="00F378E5">
      <w:pPr>
        <w:rPr>
          <w:rFonts w:ascii="Times New Roman" w:hAnsi="Times New Roman" w:cs="Times New Roman"/>
        </w:rPr>
      </w:pPr>
    </w:p>
    <w:p w14:paraId="28CDE4DE" w14:textId="77777777" w:rsidR="00F378E5" w:rsidRDefault="00F378E5">
      <w:pPr>
        <w:rPr>
          <w:rFonts w:ascii="Times New Roman" w:hAnsi="Times New Roman" w:cs="Times New Roman"/>
        </w:rPr>
      </w:pPr>
    </w:p>
    <w:p w14:paraId="76D27F4D" w14:textId="77777777" w:rsidR="00F378E5" w:rsidRDefault="00F378E5">
      <w:pPr>
        <w:rPr>
          <w:rFonts w:ascii="Times New Roman" w:hAnsi="Times New Roman" w:cs="Times New Roman"/>
        </w:rPr>
      </w:pPr>
    </w:p>
    <w:p w14:paraId="080D10EE" w14:textId="77777777" w:rsidR="00F378E5" w:rsidRDefault="00F378E5">
      <w:pPr>
        <w:rPr>
          <w:rFonts w:ascii="Times New Roman" w:hAnsi="Times New Roman" w:cs="Times New Roman"/>
        </w:rPr>
      </w:pPr>
    </w:p>
    <w:p w14:paraId="121AB0EC" w14:textId="77777777" w:rsidR="00F378E5" w:rsidRDefault="00F378E5">
      <w:pPr>
        <w:rPr>
          <w:rFonts w:ascii="Times New Roman" w:hAnsi="Times New Roman" w:cs="Times New Roman"/>
        </w:rPr>
      </w:pPr>
    </w:p>
    <w:p w14:paraId="587C8BB8" w14:textId="77777777" w:rsidR="00F378E5" w:rsidRDefault="00F378E5">
      <w:pPr>
        <w:rPr>
          <w:rFonts w:ascii="Times New Roman" w:hAnsi="Times New Roman" w:cs="Times New Roman"/>
        </w:rPr>
      </w:pPr>
    </w:p>
    <w:p w14:paraId="1D264924" w14:textId="77777777" w:rsidR="00F378E5" w:rsidRDefault="00F378E5">
      <w:pPr>
        <w:rPr>
          <w:rFonts w:ascii="Times New Roman" w:hAnsi="Times New Roman" w:cs="Times New Roman"/>
        </w:rPr>
      </w:pPr>
    </w:p>
    <w:p w14:paraId="4107C1ED" w14:textId="77777777" w:rsidR="00F378E5" w:rsidRDefault="00F378E5">
      <w:pPr>
        <w:rPr>
          <w:rFonts w:ascii="Times New Roman" w:hAnsi="Times New Roman" w:cs="Times New Roman"/>
        </w:rPr>
      </w:pPr>
    </w:p>
    <w:p w14:paraId="71E79210" w14:textId="77777777" w:rsidR="00F378E5" w:rsidRDefault="00F378E5">
      <w:pPr>
        <w:rPr>
          <w:rFonts w:ascii="Times New Roman" w:hAnsi="Times New Roman" w:cs="Times New Roman"/>
        </w:rPr>
      </w:pPr>
    </w:p>
    <w:p w14:paraId="0A937027" w14:textId="77777777" w:rsidR="00F378E5" w:rsidRDefault="00F378E5">
      <w:pPr>
        <w:rPr>
          <w:rFonts w:ascii="Times New Roman" w:hAnsi="Times New Roman" w:cs="Times New Roman"/>
        </w:rPr>
      </w:pPr>
    </w:p>
    <w:p w14:paraId="6C4134B8" w14:textId="77777777" w:rsidR="00F378E5" w:rsidRDefault="00F378E5">
      <w:pPr>
        <w:rPr>
          <w:rFonts w:ascii="Times New Roman" w:hAnsi="Times New Roman" w:cs="Times New Roman"/>
        </w:rPr>
      </w:pPr>
    </w:p>
    <w:p w14:paraId="4BE372DF" w14:textId="36629DC5" w:rsidR="00F378E5" w:rsidRDefault="00F378E5" w:rsidP="00F378E5">
      <w:pPr>
        <w:rPr>
          <w:rFonts w:ascii="Times New Roman" w:hAnsi="Times New Roman" w:cs="Times New Roman"/>
          <w:b/>
          <w:bCs/>
          <w:sz w:val="30"/>
          <w:szCs w:val="30"/>
        </w:rPr>
      </w:pPr>
    </w:p>
    <w:p w14:paraId="70E91385" w14:textId="368E46A3" w:rsidR="00F378E5" w:rsidRPr="00F378E5" w:rsidRDefault="00F378E5" w:rsidP="00F378E5">
      <w:pPr>
        <w:pStyle w:val="Heading1"/>
        <w:pBdr>
          <w:bottom w:val="single" w:sz="6" w:space="0" w:color="1747A0"/>
        </w:pBdr>
        <w:spacing w:line="276" w:lineRule="auto"/>
        <w:rPr>
          <w:rFonts w:ascii="Times New Roman" w:hAnsi="Times New Roman" w:cs="Times New Roman"/>
          <w:color w:val="000000" w:themeColor="text1"/>
        </w:rPr>
      </w:pPr>
      <w:r w:rsidRPr="00F378E5">
        <w:rPr>
          <w:rFonts w:ascii="Times New Roman" w:hAnsi="Times New Roman" w:cs="Times New Roman"/>
          <w:color w:val="000000" w:themeColor="text1"/>
        </w:rPr>
        <w:lastRenderedPageBreak/>
        <w:t>Executive Summary for Government Stakeholders</w:t>
      </w:r>
    </w:p>
    <w:p w14:paraId="6FBAAAA7" w14:textId="77777777" w:rsidR="00F378E5" w:rsidRPr="00F378E5" w:rsidRDefault="00F378E5" w:rsidP="00BB66F0">
      <w:pPr>
        <w:spacing w:line="360" w:lineRule="auto"/>
        <w:rPr>
          <w:rFonts w:ascii="Times New Roman" w:hAnsi="Times New Roman" w:cs="Times New Roman"/>
          <w:b/>
          <w:bCs/>
          <w:sz w:val="25"/>
          <w:szCs w:val="25"/>
        </w:rPr>
      </w:pPr>
      <w:r w:rsidRPr="00F378E5">
        <w:rPr>
          <w:rFonts w:ascii="Times New Roman" w:hAnsi="Times New Roman" w:cs="Times New Roman"/>
          <w:b/>
          <w:bCs/>
          <w:sz w:val="25"/>
          <w:szCs w:val="25"/>
        </w:rPr>
        <w:t>Purpose</w:t>
      </w:r>
    </w:p>
    <w:p w14:paraId="6731BA1B" w14:textId="77777777" w:rsidR="00F378E5" w:rsidRDefault="00F378E5" w:rsidP="00BB66F0">
      <w:pPr>
        <w:spacing w:line="360" w:lineRule="auto"/>
        <w:rPr>
          <w:rFonts w:ascii="Times New Roman" w:hAnsi="Times New Roman" w:cs="Times New Roman"/>
        </w:rPr>
      </w:pPr>
      <w:r w:rsidRPr="00F378E5">
        <w:rPr>
          <w:rFonts w:ascii="Times New Roman" w:hAnsi="Times New Roman" w:cs="Times New Roman"/>
        </w:rPr>
        <w:t>The Unaccompanied Alien Children (UAC) Program functions as a multi-stage care and reunification pipeline that moves children from CBP custody to HHS care and ultimately to placement with approved sponsors. While existing reporting primarily focuses on custody counts and capacity utilization, limited attention has been given to evaluating the operational efficiency of these transitions. This study addresses that gap by developing process-based performance indicators to assess the effectiveness, stability, and reliability of the care transition system.</w:t>
      </w:r>
    </w:p>
    <w:p w14:paraId="79C6CD02" w14:textId="77777777" w:rsidR="00F378E5" w:rsidRPr="00F378E5" w:rsidRDefault="00F378E5" w:rsidP="00F378E5">
      <w:pPr>
        <w:rPr>
          <w:rFonts w:ascii="Times New Roman" w:hAnsi="Times New Roman" w:cs="Times New Roman"/>
        </w:rPr>
      </w:pPr>
    </w:p>
    <w:p w14:paraId="79BD9E4F" w14:textId="77777777" w:rsidR="00F378E5" w:rsidRPr="00F378E5" w:rsidRDefault="00F378E5" w:rsidP="00F378E5">
      <w:pPr>
        <w:spacing w:line="360" w:lineRule="auto"/>
        <w:rPr>
          <w:rFonts w:ascii="Times New Roman" w:hAnsi="Times New Roman" w:cs="Times New Roman"/>
          <w:b/>
          <w:bCs/>
          <w:sz w:val="25"/>
          <w:szCs w:val="25"/>
        </w:rPr>
      </w:pPr>
      <w:r w:rsidRPr="00F378E5">
        <w:rPr>
          <w:rFonts w:ascii="Times New Roman" w:hAnsi="Times New Roman" w:cs="Times New Roman"/>
          <w:b/>
          <w:bCs/>
          <w:sz w:val="25"/>
          <w:szCs w:val="25"/>
        </w:rPr>
        <w:t>Key Findings</w:t>
      </w:r>
    </w:p>
    <w:p w14:paraId="7A6F2A3E"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Analysis of three years of daily operational data (2023–2025) revealed several important trends across the care pipeline.</w:t>
      </w:r>
    </w:p>
    <w:p w14:paraId="15B47BF2"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Transfer Efficiency, which measures the movement of children from CBP custody into HHS care, declined from an annual average of 0.83 in 2023 to 0.46 in 2025, indicating slower movement through the initial stages of the pipeline. Similarly, Discharge Effectiveness decreased from 0.033 in 2023 to 0.009 in 2025, reflecting a reduction in successful sponsor placement activity relative to the HHS care population.</w:t>
      </w:r>
    </w:p>
    <w:p w14:paraId="4803AA49"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The analysis identified increasing operational strain over time. Warning Days rose from 7 in 2023 to 156 in 2025, while Stagnation Days increased from 0 to 155 during the same period. These findings suggest that prolonged periods of reduced system performance became significantly more common in the later stages of the study period.</w:t>
      </w:r>
    </w:p>
    <w:p w14:paraId="4FA89546"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Backlog analysis revealed that operational bottlenecks were driven primarily by sustained imbalances between inflows and successful exits rather than isolated daily spikes. Periods of stagnation were consistently associated with lower transfer and discharge performance, indicating that prolonged inefficiencies may negatively affect overall system throughput.</w:t>
      </w:r>
    </w:p>
    <w:p w14:paraId="117387B5" w14:textId="77777777" w:rsidR="00F378E5" w:rsidRDefault="00F378E5" w:rsidP="00BB66F0">
      <w:pPr>
        <w:spacing w:line="360" w:lineRule="auto"/>
        <w:rPr>
          <w:rFonts w:ascii="Times New Roman" w:hAnsi="Times New Roman" w:cs="Times New Roman"/>
        </w:rPr>
      </w:pPr>
      <w:r w:rsidRPr="00F378E5">
        <w:rPr>
          <w:rFonts w:ascii="Times New Roman" w:hAnsi="Times New Roman" w:cs="Times New Roman"/>
        </w:rPr>
        <w:t>A positive finding was the absence of meaningful differences between weekday and weekend operational performance. Transfer and discharge metrics remained relatively stable across the week, suggesting that current staffing and operational practices maintain continuity of service regardless of day type.</w:t>
      </w:r>
    </w:p>
    <w:p w14:paraId="2377A29A" w14:textId="77777777" w:rsidR="00F378E5" w:rsidRPr="00F378E5" w:rsidRDefault="00F378E5" w:rsidP="00F378E5">
      <w:pPr>
        <w:rPr>
          <w:rFonts w:ascii="Times New Roman" w:hAnsi="Times New Roman" w:cs="Times New Roman"/>
        </w:rPr>
      </w:pPr>
    </w:p>
    <w:p w14:paraId="1829E61A" w14:textId="77777777" w:rsidR="00F378E5" w:rsidRPr="00F378E5" w:rsidRDefault="00F378E5" w:rsidP="00F378E5">
      <w:pPr>
        <w:spacing w:line="360" w:lineRule="auto"/>
        <w:rPr>
          <w:rFonts w:ascii="Times New Roman" w:hAnsi="Times New Roman" w:cs="Times New Roman"/>
          <w:b/>
          <w:bCs/>
          <w:sz w:val="25"/>
          <w:szCs w:val="25"/>
        </w:rPr>
      </w:pPr>
      <w:r w:rsidRPr="00F378E5">
        <w:rPr>
          <w:rFonts w:ascii="Times New Roman" w:hAnsi="Times New Roman" w:cs="Times New Roman"/>
          <w:b/>
          <w:bCs/>
          <w:sz w:val="25"/>
          <w:szCs w:val="25"/>
        </w:rPr>
        <w:t>Operational Implications</w:t>
      </w:r>
    </w:p>
    <w:p w14:paraId="1A6D2187"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The findings indicate that while the care transition system remained functional throughout the study period, several efficiency indicators deteriorated over time. Declining transfer and discharge performance, combined with increasing warning and stagnation periods, may contribute to longer reunification timelines and increased operational pressure on care facilities.</w:t>
      </w:r>
    </w:p>
    <w:p w14:paraId="67AC06B7" w14:textId="77777777" w:rsidR="00F378E5" w:rsidRDefault="00F378E5" w:rsidP="00BB66F0">
      <w:pPr>
        <w:spacing w:line="360" w:lineRule="auto"/>
        <w:rPr>
          <w:rFonts w:ascii="Times New Roman" w:hAnsi="Times New Roman" w:cs="Times New Roman"/>
        </w:rPr>
      </w:pPr>
      <w:r w:rsidRPr="00F378E5">
        <w:rPr>
          <w:rFonts w:ascii="Times New Roman" w:hAnsi="Times New Roman" w:cs="Times New Roman"/>
        </w:rPr>
        <w:lastRenderedPageBreak/>
        <w:t>The Year-over-Year analysis further highlights the emergence of long-term risks that may not be visible through daily monitoring alone. Continuous KPI tracking is therefore essential for identifying developing bottlenecks before they significantly impact child welfare outcomes.</w:t>
      </w:r>
    </w:p>
    <w:p w14:paraId="4CDCE6E4" w14:textId="77777777" w:rsidR="00F378E5" w:rsidRPr="00F378E5" w:rsidRDefault="00F378E5" w:rsidP="00F378E5">
      <w:pPr>
        <w:rPr>
          <w:rFonts w:ascii="Times New Roman" w:hAnsi="Times New Roman" w:cs="Times New Roman"/>
        </w:rPr>
      </w:pPr>
    </w:p>
    <w:p w14:paraId="4D8A900B" w14:textId="77777777" w:rsidR="00F378E5" w:rsidRPr="00F378E5" w:rsidRDefault="00F378E5" w:rsidP="00F378E5">
      <w:pPr>
        <w:spacing w:line="360" w:lineRule="auto"/>
        <w:rPr>
          <w:rFonts w:ascii="Times New Roman" w:hAnsi="Times New Roman" w:cs="Times New Roman"/>
          <w:b/>
          <w:bCs/>
          <w:sz w:val="25"/>
          <w:szCs w:val="25"/>
        </w:rPr>
      </w:pPr>
      <w:r w:rsidRPr="00F378E5">
        <w:rPr>
          <w:rFonts w:ascii="Times New Roman" w:hAnsi="Times New Roman" w:cs="Times New Roman"/>
          <w:b/>
          <w:bCs/>
          <w:sz w:val="25"/>
          <w:szCs w:val="25"/>
        </w:rPr>
        <w:t>Recommendations</w:t>
      </w:r>
    </w:p>
    <w:p w14:paraId="57C4CF9C" w14:textId="77777777" w:rsidR="00F378E5" w:rsidRP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Implement rolling backlog monitoring and automated alert systems to identify sustained operational strain earlier.</w:t>
      </w:r>
    </w:p>
    <w:p w14:paraId="345D76CE" w14:textId="77777777" w:rsidR="00F378E5" w:rsidRP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Use stagnation-period detection as an early warning mechanism for management review and resource allocation decisions.</w:t>
      </w:r>
    </w:p>
    <w:p w14:paraId="00A37C3B" w14:textId="77777777" w:rsidR="00F378E5" w:rsidRP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Conduct further investigation into the factors contributing to declining discharge effectiveness and reduced sponsor placement throughput.</w:t>
      </w:r>
    </w:p>
    <w:p w14:paraId="1AE18A2D" w14:textId="77777777" w:rsidR="00F378E5" w:rsidRP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Continue annual KPI-based performance reviews to support evidence-based operational planning and policy development.</w:t>
      </w:r>
    </w:p>
    <w:p w14:paraId="597E904D" w14:textId="77777777" w:rsidR="00F378E5" w:rsidRDefault="00F378E5" w:rsidP="00BB66F0">
      <w:pPr>
        <w:numPr>
          <w:ilvl w:val="0"/>
          <w:numId w:val="7"/>
        </w:numPr>
        <w:spacing w:line="360" w:lineRule="auto"/>
        <w:rPr>
          <w:rFonts w:ascii="Times New Roman" w:hAnsi="Times New Roman" w:cs="Times New Roman"/>
        </w:rPr>
      </w:pPr>
      <w:r w:rsidRPr="00F378E5">
        <w:rPr>
          <w:rFonts w:ascii="Times New Roman" w:hAnsi="Times New Roman" w:cs="Times New Roman"/>
        </w:rPr>
        <w:t>Expand future data collection efforts to include facility-level or regional information to improve the identification of localized bottlenecks.</w:t>
      </w:r>
    </w:p>
    <w:p w14:paraId="3E2D175B" w14:textId="77777777" w:rsidR="00BB66F0" w:rsidRPr="00F378E5" w:rsidRDefault="00BB66F0" w:rsidP="00BB66F0">
      <w:pPr>
        <w:spacing w:line="360" w:lineRule="auto"/>
        <w:rPr>
          <w:rFonts w:ascii="Times New Roman" w:hAnsi="Times New Roman" w:cs="Times New Roman"/>
        </w:rPr>
      </w:pPr>
    </w:p>
    <w:p w14:paraId="6772C8E7" w14:textId="77777777" w:rsidR="00F378E5" w:rsidRPr="00BB66F0" w:rsidRDefault="00F378E5" w:rsidP="00BB66F0">
      <w:pPr>
        <w:spacing w:line="360" w:lineRule="auto"/>
        <w:rPr>
          <w:rFonts w:ascii="Times New Roman" w:hAnsi="Times New Roman" w:cs="Times New Roman"/>
          <w:b/>
          <w:bCs/>
          <w:sz w:val="25"/>
          <w:szCs w:val="25"/>
        </w:rPr>
      </w:pPr>
      <w:r w:rsidRPr="00BB66F0">
        <w:rPr>
          <w:rFonts w:ascii="Times New Roman" w:hAnsi="Times New Roman" w:cs="Times New Roman"/>
          <w:b/>
          <w:bCs/>
          <w:sz w:val="25"/>
          <w:szCs w:val="25"/>
        </w:rPr>
        <w:t>Conclusion</w:t>
      </w:r>
    </w:p>
    <w:p w14:paraId="39922FDE" w14:textId="77777777" w:rsidR="00F378E5" w:rsidRPr="00F378E5" w:rsidRDefault="00F378E5" w:rsidP="00BB66F0">
      <w:pPr>
        <w:spacing w:line="360" w:lineRule="auto"/>
        <w:rPr>
          <w:rFonts w:ascii="Times New Roman" w:hAnsi="Times New Roman" w:cs="Times New Roman"/>
        </w:rPr>
      </w:pPr>
      <w:r w:rsidRPr="00F378E5">
        <w:rPr>
          <w:rFonts w:ascii="Times New Roman" w:hAnsi="Times New Roman" w:cs="Times New Roman"/>
        </w:rPr>
        <w:t>This study demonstrates the value of evaluating the UAC system through a process-efficiency and outcome-oriented framework rather than a capacity-monitoring perspective alone. The accompanying analytics dashboard and research findings provide a practical foundation for monitoring operational performance, identifying bottlenecks, and supporting policies that improve reunification timelines and child welfare outcomes. Continued use of these analytical tools can strengthen decision-making and enhance the overall effectiveness of the care transition pipeline.</w:t>
      </w:r>
    </w:p>
    <w:p w14:paraId="3C07CE85" w14:textId="198207C6" w:rsidR="009D6C83" w:rsidRPr="00E15BEA" w:rsidRDefault="00830EFB">
      <w:pPr>
        <w:rPr>
          <w:rFonts w:ascii="Times New Roman" w:hAnsi="Times New Roman" w:cs="Times New Roman"/>
        </w:rPr>
      </w:pPr>
      <w:r w:rsidRPr="00E15BEA">
        <w:rPr>
          <w:rFonts w:ascii="Times New Roman" w:hAnsi="Times New Roman" w:cs="Times New Roman"/>
        </w:rPr>
        <w:br w:type="page"/>
      </w:r>
    </w:p>
    <w:p w14:paraId="128A89C7" w14:textId="77777777" w:rsidR="009D6C83" w:rsidRPr="007A2777" w:rsidRDefault="00830EFB" w:rsidP="00F378E5">
      <w:pPr>
        <w:pStyle w:val="Heading1"/>
        <w:pBdr>
          <w:bottom w:val="single" w:sz="6" w:space="0" w:color="1747A0"/>
        </w:pBdr>
        <w:rPr>
          <w:rFonts w:ascii="Times New Roman" w:hAnsi="Times New Roman" w:cs="Times New Roman"/>
          <w:color w:val="auto"/>
        </w:rPr>
      </w:pPr>
      <w:bookmarkStart w:id="1" w:name="_Toc232714597"/>
      <w:r w:rsidRPr="007A2777">
        <w:rPr>
          <w:rFonts w:ascii="Times New Roman" w:hAnsi="Times New Roman" w:cs="Times New Roman"/>
          <w:color w:val="auto"/>
        </w:rPr>
        <w:lastRenderedPageBreak/>
        <w:t>1. Introduction</w:t>
      </w:r>
      <w:bookmarkEnd w:id="1"/>
    </w:p>
    <w:p w14:paraId="67D45961" w14:textId="77777777" w:rsidR="009D6C83" w:rsidRPr="007A2777" w:rsidRDefault="00830EFB">
      <w:pPr>
        <w:pStyle w:val="Heading2"/>
        <w:rPr>
          <w:rFonts w:ascii="Times New Roman" w:hAnsi="Times New Roman" w:cs="Times New Roman"/>
          <w:color w:val="auto"/>
        </w:rPr>
      </w:pPr>
      <w:bookmarkStart w:id="2" w:name="_Toc232714598"/>
      <w:r w:rsidRPr="007A2777">
        <w:rPr>
          <w:rFonts w:ascii="Times New Roman" w:hAnsi="Times New Roman" w:cs="Times New Roman"/>
          <w:color w:val="auto"/>
        </w:rPr>
        <w:t>1.1 Background and Context</w:t>
      </w:r>
      <w:bookmarkEnd w:id="2"/>
    </w:p>
    <w:p w14:paraId="5875C005"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UAC program operates as a multi-stage care and reunification pipeline rather than a static healthcare or custodial system. Children enter the pipeline upon apprehension by CBP, are held in short-term CBP custody, transferred into longer-term HHS care for medical screening and case management, and ultimately discharged to a sponsor — typically a parent, relative, or vetted guardian — within the United States. From a policy and humanitarian standpoint, the speed, continuity, and reliability of this pipeline carry consequences that are at least as significant as raw system capacity. Prolonged custody periods, particularly in CBP facilities not designed for extended child residency, have been widely documented as a source of child welfare risk, while delays in HHS discharge processing extend family separation and strain shelter capacity.</w:t>
      </w:r>
    </w:p>
    <w:p w14:paraId="38545B3B"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Despite the operational importance of pipeline speed, public and institutional monitoring of the UAC system has historically emphasized point-in-time population counts — how many children are currently in CBP custody, how many are in HHS care — over process-level efficiency metrics that describe how effectively children move between these states. This asymmetry leaves systemic bottlenecks, backlog accumulation, and outcome instability largely invisible until they manifest as capacity crises.</w:t>
      </w:r>
    </w:p>
    <w:p w14:paraId="173CB0FD" w14:textId="77777777" w:rsidR="009D6C83" w:rsidRPr="007A2777" w:rsidRDefault="00830EFB">
      <w:pPr>
        <w:pStyle w:val="Heading2"/>
        <w:rPr>
          <w:rFonts w:ascii="Times New Roman" w:hAnsi="Times New Roman" w:cs="Times New Roman"/>
          <w:color w:val="auto"/>
        </w:rPr>
      </w:pPr>
      <w:bookmarkStart w:id="3" w:name="_Toc232714599"/>
      <w:r w:rsidRPr="007A2777">
        <w:rPr>
          <w:rFonts w:ascii="Times New Roman" w:hAnsi="Times New Roman" w:cs="Times New Roman"/>
          <w:color w:val="auto"/>
        </w:rPr>
        <w:t>1.2 Problem Statement</w:t>
      </w:r>
      <w:bookmarkEnd w:id="3"/>
    </w:p>
    <w:p w14:paraId="0E5EA97D"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While aggregate counts of children in custody are monitored on an ongoing basis, process efficiency metrics describing the movement of children through the pipeline are largely absent from standard reporting. This creates several unanswered operational questions that this study seeks to address:</w:t>
      </w:r>
    </w:p>
    <w:p w14:paraId="6098D023"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How efficiently are children transferred from CBP custody into HHS care?</w:t>
      </w:r>
    </w:p>
    <w:p w14:paraId="6175C39A"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Are HHS discharges keeping pace with the rate of inflow from CBP?</w:t>
      </w:r>
    </w:p>
    <w:p w14:paraId="7DDDD291"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When and where in the timeline do care backlogs accumulate, and how severe do they become?</w:t>
      </w:r>
    </w:p>
    <w:p w14:paraId="41E40CE5"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Are placement and reunification outcomes improving, deteriorating, or remaining stable over time?</w:t>
      </w:r>
    </w:p>
    <w:p w14:paraId="64CF8FB8" w14:textId="77777777" w:rsidR="009D6C83" w:rsidRDefault="00830EFB">
      <w:pPr>
        <w:spacing w:after="160" w:line="360" w:lineRule="auto"/>
        <w:jc w:val="both"/>
        <w:rPr>
          <w:rFonts w:ascii="Times New Roman" w:hAnsi="Times New Roman" w:cs="Times New Roman"/>
        </w:rPr>
      </w:pPr>
      <w:r w:rsidRPr="00E15BEA">
        <w:rPr>
          <w:rFonts w:ascii="Times New Roman" w:hAnsi="Times New Roman" w:cs="Times New Roman"/>
        </w:rPr>
        <w:t>Without structured transition analytics built specifically to answer these questions, bottlenecks within the system remain hidden from policymakers and operational managers until backlog and capacity strain become acute.</w:t>
      </w:r>
    </w:p>
    <w:p w14:paraId="2FBB45CA" w14:textId="77777777" w:rsidR="00AA093C" w:rsidRDefault="00AA093C">
      <w:pPr>
        <w:spacing w:after="160" w:line="360" w:lineRule="auto"/>
        <w:jc w:val="both"/>
        <w:rPr>
          <w:rFonts w:ascii="Times New Roman" w:hAnsi="Times New Roman" w:cs="Times New Roman"/>
        </w:rPr>
      </w:pPr>
    </w:p>
    <w:p w14:paraId="35E6B32A" w14:textId="77777777" w:rsidR="00F378E5" w:rsidRPr="00E15BEA" w:rsidRDefault="00F378E5">
      <w:pPr>
        <w:spacing w:after="160" w:line="360" w:lineRule="auto"/>
        <w:jc w:val="both"/>
        <w:rPr>
          <w:rFonts w:ascii="Times New Roman" w:hAnsi="Times New Roman" w:cs="Times New Roman"/>
        </w:rPr>
      </w:pPr>
    </w:p>
    <w:p w14:paraId="09C98094" w14:textId="77777777" w:rsidR="009D6C83" w:rsidRPr="007A2777" w:rsidRDefault="00830EFB">
      <w:pPr>
        <w:pStyle w:val="Heading2"/>
        <w:rPr>
          <w:rFonts w:ascii="Times New Roman" w:hAnsi="Times New Roman" w:cs="Times New Roman"/>
          <w:color w:val="auto"/>
        </w:rPr>
      </w:pPr>
      <w:bookmarkStart w:id="4" w:name="_Toc232714600"/>
      <w:r w:rsidRPr="007A2777">
        <w:rPr>
          <w:rFonts w:ascii="Times New Roman" w:hAnsi="Times New Roman" w:cs="Times New Roman"/>
          <w:color w:val="auto"/>
        </w:rPr>
        <w:lastRenderedPageBreak/>
        <w:t>1.3 Project Objectives</w:t>
      </w:r>
      <w:bookmarkEnd w:id="4"/>
    </w:p>
    <w:p w14:paraId="1256757A" w14:textId="77777777" w:rsidR="009D6C83" w:rsidRPr="007A2777" w:rsidRDefault="00830EFB">
      <w:pPr>
        <w:pStyle w:val="Heading3"/>
        <w:rPr>
          <w:rFonts w:ascii="Times New Roman" w:hAnsi="Times New Roman" w:cs="Times New Roman"/>
          <w:color w:val="auto"/>
        </w:rPr>
      </w:pPr>
      <w:bookmarkStart w:id="5" w:name="_Toc232714601"/>
      <w:r w:rsidRPr="007A2777">
        <w:rPr>
          <w:rFonts w:ascii="Times New Roman" w:hAnsi="Times New Roman" w:cs="Times New Roman"/>
          <w:color w:val="auto"/>
        </w:rPr>
        <w:t>Primary Objectives</w:t>
      </w:r>
      <w:bookmarkEnd w:id="5"/>
    </w:p>
    <w:p w14:paraId="19E57648"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Measure the efficiency of CBP → HHS transitions using a standardized, repeatable ratio metric.</w:t>
      </w:r>
    </w:p>
    <w:p w14:paraId="12F75B09"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Evaluate discharge and sponsor placement outcomes through a discharge effectiveness index.</w:t>
      </w:r>
    </w:p>
    <w:p w14:paraId="366C288F"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Identify delays and process bottlenecks through backlog and stagnation detection.</w:t>
      </w:r>
    </w:p>
    <w:p w14:paraId="6E5CC9F1" w14:textId="77777777" w:rsidR="009D6C83" w:rsidRPr="007A2777" w:rsidRDefault="00830EFB">
      <w:pPr>
        <w:pStyle w:val="Heading3"/>
        <w:rPr>
          <w:rFonts w:ascii="Times New Roman" w:hAnsi="Times New Roman" w:cs="Times New Roman"/>
          <w:color w:val="auto"/>
        </w:rPr>
      </w:pPr>
      <w:bookmarkStart w:id="6" w:name="_Toc232714602"/>
      <w:r w:rsidRPr="007A2777">
        <w:rPr>
          <w:rFonts w:ascii="Times New Roman" w:hAnsi="Times New Roman" w:cs="Times New Roman"/>
          <w:color w:val="auto"/>
        </w:rPr>
        <w:t>Secondary Objectives</w:t>
      </w:r>
      <w:bookmarkEnd w:id="6"/>
    </w:p>
    <w:p w14:paraId="78BC1424"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Support faster reunification timelines for children and families.</w:t>
      </w:r>
    </w:p>
    <w:p w14:paraId="625D9100" w14:textId="77777777" w:rsidR="009D6C83" w:rsidRPr="00E15BEA"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Improve case management workflows through visibility into process-level performance.</w:t>
      </w:r>
    </w:p>
    <w:p w14:paraId="3A90AACE" w14:textId="77777777" w:rsidR="009D6C83" w:rsidRDefault="00830EFB">
      <w:pPr>
        <w:pStyle w:val="ListParagraph"/>
        <w:numPr>
          <w:ilvl w:val="0"/>
          <w:numId w:val="2"/>
        </w:numPr>
        <w:spacing w:after="80" w:line="340" w:lineRule="auto"/>
        <w:rPr>
          <w:rFonts w:ascii="Times New Roman" w:hAnsi="Times New Roman" w:cs="Times New Roman"/>
        </w:rPr>
      </w:pPr>
      <w:r w:rsidRPr="00E15BEA">
        <w:rPr>
          <w:rFonts w:ascii="Times New Roman" w:hAnsi="Times New Roman" w:cs="Times New Roman"/>
        </w:rPr>
        <w:t>Inform policy-level process reforms with data-driven, reproducible evidence.</w:t>
      </w:r>
    </w:p>
    <w:p w14:paraId="3339064C" w14:textId="77777777" w:rsidR="005F1F5B" w:rsidRDefault="005F1F5B" w:rsidP="005F1F5B">
      <w:pPr>
        <w:spacing w:after="80" w:line="340" w:lineRule="auto"/>
        <w:rPr>
          <w:rFonts w:ascii="Times New Roman" w:hAnsi="Times New Roman" w:cs="Times New Roman"/>
        </w:rPr>
      </w:pP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000"/>
        <w:gridCol w:w="6360"/>
      </w:tblGrid>
      <w:tr w:rsidR="005F1F5B" w14:paraId="0CEA25ED" w14:textId="77777777" w:rsidTr="005F1F5B">
        <w:trPr>
          <w:trHeight w:val="439"/>
        </w:trPr>
        <w:tc>
          <w:tcPr>
            <w:tcW w:w="9360" w:type="dxa"/>
            <w:gridSpan w:val="2"/>
            <w:shd w:val="clear" w:color="auto" w:fill="1F3A79"/>
          </w:tcPr>
          <w:p w14:paraId="5DD9F072" w14:textId="77777777" w:rsidR="005F1F5B" w:rsidRDefault="005F1F5B" w:rsidP="00C3391D">
            <w:pPr>
              <w:pStyle w:val="TableParagraph"/>
              <w:spacing w:before="94"/>
              <w:ind w:left="433"/>
              <w:rPr>
                <w:b/>
                <w:sz w:val="20"/>
              </w:rPr>
            </w:pPr>
            <w:r>
              <w:rPr>
                <w:b/>
                <w:color w:val="FFFFFF"/>
                <w:sz w:val="20"/>
              </w:rPr>
              <w:t>Document</w:t>
            </w:r>
            <w:r>
              <w:rPr>
                <w:b/>
                <w:color w:val="FFFFFF"/>
                <w:spacing w:val="-8"/>
                <w:sz w:val="20"/>
              </w:rPr>
              <w:t xml:space="preserve"> </w:t>
            </w:r>
            <w:r>
              <w:rPr>
                <w:b/>
                <w:color w:val="FFFFFF"/>
                <w:spacing w:val="-2"/>
                <w:sz w:val="20"/>
              </w:rPr>
              <w:t>Information</w:t>
            </w:r>
          </w:p>
        </w:tc>
      </w:tr>
      <w:tr w:rsidR="005F1F5B" w14:paraId="734581EA" w14:textId="77777777" w:rsidTr="005F1F5B">
        <w:trPr>
          <w:trHeight w:val="375"/>
        </w:trPr>
        <w:tc>
          <w:tcPr>
            <w:tcW w:w="3000" w:type="dxa"/>
          </w:tcPr>
          <w:p w14:paraId="0DBDA6C7" w14:textId="77777777" w:rsidR="005F1F5B" w:rsidRDefault="005F1F5B" w:rsidP="00C3391D">
            <w:pPr>
              <w:pStyle w:val="TableParagraph"/>
              <w:spacing w:before="72"/>
              <w:rPr>
                <w:sz w:val="21"/>
              </w:rPr>
            </w:pPr>
            <w:r>
              <w:rPr>
                <w:spacing w:val="-2"/>
                <w:sz w:val="21"/>
              </w:rPr>
              <w:t>Dataset</w:t>
            </w:r>
          </w:p>
        </w:tc>
        <w:tc>
          <w:tcPr>
            <w:tcW w:w="6360" w:type="dxa"/>
          </w:tcPr>
          <w:p w14:paraId="3FB3E42E" w14:textId="77777777" w:rsidR="005F1F5B" w:rsidRDefault="005F1F5B" w:rsidP="00C3391D">
            <w:pPr>
              <w:pStyle w:val="TableParagraph"/>
              <w:spacing w:before="72"/>
              <w:rPr>
                <w:sz w:val="21"/>
              </w:rPr>
            </w:pPr>
            <w:r>
              <w:rPr>
                <w:sz w:val="21"/>
              </w:rPr>
              <w:t xml:space="preserve">HHS UAC Program Daily Reporting </w:t>
            </w:r>
            <w:r>
              <w:rPr>
                <w:spacing w:val="-2"/>
                <w:sz w:val="21"/>
              </w:rPr>
              <w:t>Dataset</w:t>
            </w:r>
          </w:p>
        </w:tc>
      </w:tr>
      <w:tr w:rsidR="005F1F5B" w14:paraId="7B10B356" w14:textId="77777777" w:rsidTr="005F1F5B">
        <w:trPr>
          <w:trHeight w:val="370"/>
        </w:trPr>
        <w:tc>
          <w:tcPr>
            <w:tcW w:w="3000" w:type="dxa"/>
            <w:shd w:val="clear" w:color="auto" w:fill="F5F5F5"/>
          </w:tcPr>
          <w:p w14:paraId="4C95D99B" w14:textId="77777777" w:rsidR="005F1F5B" w:rsidRDefault="005F1F5B" w:rsidP="00C3391D">
            <w:pPr>
              <w:pStyle w:val="TableParagraph"/>
              <w:spacing w:before="74"/>
              <w:rPr>
                <w:sz w:val="21"/>
              </w:rPr>
            </w:pPr>
            <w:r>
              <w:rPr>
                <w:sz w:val="21"/>
              </w:rPr>
              <w:t xml:space="preserve">Date </w:t>
            </w:r>
            <w:r>
              <w:rPr>
                <w:spacing w:val="-2"/>
                <w:sz w:val="21"/>
              </w:rPr>
              <w:t>Range</w:t>
            </w:r>
          </w:p>
        </w:tc>
        <w:tc>
          <w:tcPr>
            <w:tcW w:w="6360" w:type="dxa"/>
            <w:shd w:val="clear" w:color="auto" w:fill="F5F5F5"/>
          </w:tcPr>
          <w:p w14:paraId="2BC9E2DB" w14:textId="77777777" w:rsidR="005F1F5B" w:rsidRDefault="005F1F5B" w:rsidP="00C3391D">
            <w:pPr>
              <w:pStyle w:val="TableParagraph"/>
              <w:spacing w:before="74"/>
              <w:rPr>
                <w:sz w:val="21"/>
              </w:rPr>
            </w:pPr>
            <w:r>
              <w:rPr>
                <w:sz w:val="21"/>
              </w:rPr>
              <w:t xml:space="preserve">January 12, 2023 – December 21, </w:t>
            </w:r>
            <w:r>
              <w:rPr>
                <w:spacing w:val="-4"/>
                <w:sz w:val="21"/>
              </w:rPr>
              <w:t>2025</w:t>
            </w:r>
          </w:p>
        </w:tc>
      </w:tr>
      <w:tr w:rsidR="005F1F5B" w14:paraId="37F62599" w14:textId="77777777" w:rsidTr="005F1F5B">
        <w:trPr>
          <w:trHeight w:val="390"/>
        </w:trPr>
        <w:tc>
          <w:tcPr>
            <w:tcW w:w="3000" w:type="dxa"/>
          </w:tcPr>
          <w:p w14:paraId="4ABCEAE5" w14:textId="77777777" w:rsidR="005F1F5B" w:rsidRDefault="005F1F5B" w:rsidP="00C3391D">
            <w:pPr>
              <w:pStyle w:val="TableParagraph"/>
              <w:spacing w:before="80"/>
              <w:rPr>
                <w:sz w:val="21"/>
              </w:rPr>
            </w:pPr>
            <w:r>
              <w:rPr>
                <w:sz w:val="21"/>
              </w:rPr>
              <w:t>Total</w:t>
            </w:r>
            <w:r>
              <w:rPr>
                <w:spacing w:val="-14"/>
                <w:sz w:val="21"/>
              </w:rPr>
              <w:t xml:space="preserve"> </w:t>
            </w:r>
            <w:r>
              <w:rPr>
                <w:sz w:val="21"/>
              </w:rPr>
              <w:t>Records</w:t>
            </w:r>
            <w:r>
              <w:rPr>
                <w:spacing w:val="-12"/>
                <w:sz w:val="21"/>
              </w:rPr>
              <w:t xml:space="preserve"> </w:t>
            </w:r>
            <w:r>
              <w:rPr>
                <w:spacing w:val="-2"/>
                <w:sz w:val="21"/>
              </w:rPr>
              <w:t>Analyzed</w:t>
            </w:r>
          </w:p>
        </w:tc>
        <w:tc>
          <w:tcPr>
            <w:tcW w:w="6360" w:type="dxa"/>
          </w:tcPr>
          <w:p w14:paraId="4C8C2862" w14:textId="77777777" w:rsidR="005F1F5B" w:rsidRDefault="005F1F5B" w:rsidP="00C3391D">
            <w:pPr>
              <w:pStyle w:val="TableParagraph"/>
              <w:spacing w:before="80"/>
              <w:rPr>
                <w:sz w:val="21"/>
              </w:rPr>
            </w:pPr>
            <w:r>
              <w:rPr>
                <w:sz w:val="21"/>
              </w:rPr>
              <w:t xml:space="preserve">720 valid daily </w:t>
            </w:r>
            <w:r>
              <w:rPr>
                <w:spacing w:val="-2"/>
                <w:sz w:val="21"/>
              </w:rPr>
              <w:t>records</w:t>
            </w:r>
          </w:p>
        </w:tc>
      </w:tr>
      <w:tr w:rsidR="005F1F5B" w14:paraId="4EEF2180" w14:textId="77777777" w:rsidTr="005F1F5B">
        <w:trPr>
          <w:trHeight w:val="369"/>
        </w:trPr>
        <w:tc>
          <w:tcPr>
            <w:tcW w:w="3000" w:type="dxa"/>
            <w:shd w:val="clear" w:color="auto" w:fill="F5F5F5"/>
          </w:tcPr>
          <w:p w14:paraId="790D2AEE" w14:textId="77777777" w:rsidR="005F1F5B" w:rsidRDefault="005F1F5B" w:rsidP="00C3391D">
            <w:pPr>
              <w:pStyle w:val="TableParagraph"/>
              <w:spacing w:before="67"/>
              <w:rPr>
                <w:sz w:val="21"/>
              </w:rPr>
            </w:pPr>
            <w:r>
              <w:rPr>
                <w:sz w:val="21"/>
              </w:rPr>
              <w:t xml:space="preserve">KPIs </w:t>
            </w:r>
            <w:r>
              <w:rPr>
                <w:spacing w:val="-2"/>
                <w:sz w:val="21"/>
              </w:rPr>
              <w:t>Engineered</w:t>
            </w:r>
          </w:p>
        </w:tc>
        <w:tc>
          <w:tcPr>
            <w:tcW w:w="6360" w:type="dxa"/>
            <w:shd w:val="clear" w:color="auto" w:fill="F5F5F5"/>
          </w:tcPr>
          <w:p w14:paraId="0934F030" w14:textId="77777777" w:rsidR="005F1F5B" w:rsidRDefault="005F1F5B" w:rsidP="00C3391D">
            <w:pPr>
              <w:pStyle w:val="TableParagraph"/>
              <w:spacing w:before="67"/>
              <w:rPr>
                <w:sz w:val="21"/>
              </w:rPr>
            </w:pPr>
            <w:r>
              <w:rPr>
                <w:sz w:val="21"/>
              </w:rPr>
              <w:t>5</w:t>
            </w:r>
            <w:r>
              <w:rPr>
                <w:spacing w:val="-1"/>
                <w:sz w:val="21"/>
              </w:rPr>
              <w:t xml:space="preserve"> </w:t>
            </w:r>
            <w:r>
              <w:rPr>
                <w:sz w:val="21"/>
              </w:rPr>
              <w:t>derived</w:t>
            </w:r>
            <w:r>
              <w:rPr>
                <w:spacing w:val="-1"/>
                <w:sz w:val="21"/>
              </w:rPr>
              <w:t xml:space="preserve"> </w:t>
            </w:r>
            <w:r>
              <w:rPr>
                <w:sz w:val="21"/>
              </w:rPr>
              <w:t>process</w:t>
            </w:r>
            <w:r>
              <w:rPr>
                <w:spacing w:val="-1"/>
                <w:sz w:val="21"/>
              </w:rPr>
              <w:t xml:space="preserve"> </w:t>
            </w:r>
            <w:r>
              <w:rPr>
                <w:sz w:val="21"/>
              </w:rPr>
              <w:t>efficiency</w:t>
            </w:r>
            <w:r>
              <w:rPr>
                <w:spacing w:val="-1"/>
                <w:sz w:val="21"/>
              </w:rPr>
              <w:t xml:space="preserve"> </w:t>
            </w:r>
            <w:r>
              <w:rPr>
                <w:spacing w:val="-2"/>
                <w:sz w:val="21"/>
              </w:rPr>
              <w:t>metrics</w:t>
            </w:r>
          </w:p>
        </w:tc>
      </w:tr>
      <w:tr w:rsidR="005F1F5B" w14:paraId="0822163D" w14:textId="77777777" w:rsidTr="005F1F5B">
        <w:trPr>
          <w:trHeight w:val="610"/>
        </w:trPr>
        <w:tc>
          <w:tcPr>
            <w:tcW w:w="3000" w:type="dxa"/>
          </w:tcPr>
          <w:p w14:paraId="46E510F4" w14:textId="77777777" w:rsidR="005F1F5B" w:rsidRDefault="005F1F5B" w:rsidP="00C3391D">
            <w:pPr>
              <w:pStyle w:val="TableParagraph"/>
              <w:rPr>
                <w:sz w:val="21"/>
              </w:rPr>
            </w:pPr>
            <w:r>
              <w:rPr>
                <w:sz w:val="21"/>
              </w:rPr>
              <w:t>Analysis</w:t>
            </w:r>
            <w:r>
              <w:rPr>
                <w:spacing w:val="-2"/>
                <w:sz w:val="21"/>
              </w:rPr>
              <w:t xml:space="preserve"> </w:t>
            </w:r>
            <w:r>
              <w:rPr>
                <w:spacing w:val="-4"/>
                <w:sz w:val="21"/>
              </w:rPr>
              <w:t>Type</w:t>
            </w:r>
          </w:p>
        </w:tc>
        <w:tc>
          <w:tcPr>
            <w:tcW w:w="6360" w:type="dxa"/>
          </w:tcPr>
          <w:p w14:paraId="5CC8383B" w14:textId="77777777" w:rsidR="005F1F5B" w:rsidRDefault="005F1F5B" w:rsidP="00C3391D">
            <w:pPr>
              <w:pStyle w:val="TableParagraph"/>
              <w:rPr>
                <w:sz w:val="21"/>
              </w:rPr>
            </w:pPr>
            <w:r>
              <w:rPr>
                <w:sz w:val="21"/>
              </w:rPr>
              <w:t>Longitudinal</w:t>
            </w:r>
            <w:r>
              <w:rPr>
                <w:spacing w:val="-8"/>
                <w:sz w:val="21"/>
              </w:rPr>
              <w:t xml:space="preserve"> </w:t>
            </w:r>
            <w:r>
              <w:rPr>
                <w:sz w:val="21"/>
              </w:rPr>
              <w:t>time-series,</w:t>
            </w:r>
            <w:r>
              <w:rPr>
                <w:spacing w:val="-8"/>
                <w:sz w:val="21"/>
              </w:rPr>
              <w:t xml:space="preserve"> </w:t>
            </w:r>
            <w:r>
              <w:rPr>
                <w:sz w:val="21"/>
              </w:rPr>
              <w:t>bottleneck</w:t>
            </w:r>
            <w:r>
              <w:rPr>
                <w:spacing w:val="-8"/>
                <w:sz w:val="21"/>
              </w:rPr>
              <w:t xml:space="preserve"> </w:t>
            </w:r>
            <w:r>
              <w:rPr>
                <w:sz w:val="21"/>
              </w:rPr>
              <w:t>detection,</w:t>
            </w:r>
            <w:r>
              <w:rPr>
                <w:spacing w:val="-8"/>
                <w:sz w:val="21"/>
              </w:rPr>
              <w:t xml:space="preserve"> </w:t>
            </w:r>
            <w:r>
              <w:rPr>
                <w:sz w:val="21"/>
              </w:rPr>
              <w:t>temporal</w:t>
            </w:r>
            <w:r>
              <w:rPr>
                <w:spacing w:val="-8"/>
                <w:sz w:val="21"/>
              </w:rPr>
              <w:t xml:space="preserve"> </w:t>
            </w:r>
            <w:r>
              <w:rPr>
                <w:sz w:val="21"/>
              </w:rPr>
              <w:t xml:space="preserve">pattern </w:t>
            </w:r>
            <w:r>
              <w:rPr>
                <w:spacing w:val="-2"/>
                <w:sz w:val="21"/>
              </w:rPr>
              <w:t>analysis</w:t>
            </w:r>
          </w:p>
        </w:tc>
      </w:tr>
      <w:tr w:rsidR="005F1F5B" w14:paraId="3D5A4D0C" w14:textId="77777777" w:rsidTr="005F1F5B">
        <w:trPr>
          <w:trHeight w:val="390"/>
        </w:trPr>
        <w:tc>
          <w:tcPr>
            <w:tcW w:w="3000" w:type="dxa"/>
            <w:shd w:val="clear" w:color="auto" w:fill="F5F5F5"/>
          </w:tcPr>
          <w:p w14:paraId="1EBBDDBB" w14:textId="77777777" w:rsidR="005F1F5B" w:rsidRDefault="005F1F5B" w:rsidP="00C3391D">
            <w:pPr>
              <w:pStyle w:val="TableParagraph"/>
              <w:spacing w:before="81"/>
              <w:rPr>
                <w:sz w:val="21"/>
              </w:rPr>
            </w:pPr>
            <w:r>
              <w:rPr>
                <w:sz w:val="21"/>
              </w:rPr>
              <w:t>Document</w:t>
            </w:r>
            <w:r>
              <w:rPr>
                <w:spacing w:val="-2"/>
                <w:sz w:val="21"/>
              </w:rPr>
              <w:t xml:space="preserve"> </w:t>
            </w:r>
            <w:r>
              <w:rPr>
                <w:spacing w:val="-4"/>
                <w:sz w:val="21"/>
              </w:rPr>
              <w:t>Type</w:t>
            </w:r>
          </w:p>
        </w:tc>
        <w:tc>
          <w:tcPr>
            <w:tcW w:w="6360" w:type="dxa"/>
            <w:shd w:val="clear" w:color="auto" w:fill="F5F5F5"/>
          </w:tcPr>
          <w:p w14:paraId="283611EC" w14:textId="77777777" w:rsidR="005F1F5B" w:rsidRDefault="005F1F5B" w:rsidP="00C3391D">
            <w:pPr>
              <w:pStyle w:val="TableParagraph"/>
              <w:spacing w:before="81"/>
              <w:rPr>
                <w:sz w:val="21"/>
              </w:rPr>
            </w:pPr>
            <w:r>
              <w:rPr>
                <w:sz w:val="21"/>
              </w:rPr>
              <w:t xml:space="preserve">Academic Research Paper — Full </w:t>
            </w:r>
            <w:r>
              <w:rPr>
                <w:spacing w:val="-2"/>
                <w:sz w:val="21"/>
              </w:rPr>
              <w:t>Report</w:t>
            </w:r>
          </w:p>
        </w:tc>
      </w:tr>
    </w:tbl>
    <w:p w14:paraId="4C75CA2D" w14:textId="77777777" w:rsidR="005F1F5B" w:rsidRPr="005F1F5B" w:rsidRDefault="005F1F5B" w:rsidP="005F1F5B">
      <w:pPr>
        <w:spacing w:after="80" w:line="340" w:lineRule="auto"/>
        <w:rPr>
          <w:rFonts w:ascii="Times New Roman" w:hAnsi="Times New Roman" w:cs="Times New Roman"/>
        </w:rPr>
      </w:pPr>
    </w:p>
    <w:p w14:paraId="5AF579B3" w14:textId="77777777" w:rsidR="009D6C83" w:rsidRPr="00E15BEA" w:rsidRDefault="00830EFB">
      <w:pPr>
        <w:rPr>
          <w:rFonts w:ascii="Times New Roman" w:hAnsi="Times New Roman" w:cs="Times New Roman"/>
        </w:rPr>
      </w:pPr>
      <w:r w:rsidRPr="00E15BEA">
        <w:rPr>
          <w:rFonts w:ascii="Times New Roman" w:hAnsi="Times New Roman" w:cs="Times New Roman"/>
        </w:rPr>
        <w:br w:type="page"/>
      </w:r>
    </w:p>
    <w:p w14:paraId="164AB234" w14:textId="77777777" w:rsidR="009D6C83" w:rsidRPr="007A2777" w:rsidRDefault="00830EFB">
      <w:pPr>
        <w:pStyle w:val="Heading1"/>
        <w:rPr>
          <w:rFonts w:ascii="Times New Roman" w:hAnsi="Times New Roman" w:cs="Times New Roman"/>
          <w:color w:val="auto"/>
        </w:rPr>
      </w:pPr>
      <w:bookmarkStart w:id="7" w:name="_Toc232714603"/>
      <w:r w:rsidRPr="007A2777">
        <w:rPr>
          <w:rFonts w:ascii="Times New Roman" w:hAnsi="Times New Roman" w:cs="Times New Roman"/>
          <w:color w:val="auto"/>
        </w:rPr>
        <w:lastRenderedPageBreak/>
        <w:t>2. Data and Methodology</w:t>
      </w:r>
      <w:bookmarkEnd w:id="7"/>
    </w:p>
    <w:p w14:paraId="4AA33720" w14:textId="77777777" w:rsidR="009D6C83" w:rsidRPr="007A2777" w:rsidRDefault="00830EFB">
      <w:pPr>
        <w:pStyle w:val="Heading2"/>
        <w:rPr>
          <w:rFonts w:ascii="Times New Roman" w:hAnsi="Times New Roman" w:cs="Times New Roman"/>
          <w:color w:val="auto"/>
        </w:rPr>
      </w:pPr>
      <w:bookmarkStart w:id="8" w:name="_Toc232714604"/>
      <w:r w:rsidRPr="007A2777">
        <w:rPr>
          <w:rFonts w:ascii="Times New Roman" w:hAnsi="Times New Roman" w:cs="Times New Roman"/>
          <w:color w:val="auto"/>
        </w:rPr>
        <w:t>2.1 Dataset Description</w:t>
      </w:r>
      <w:bookmarkEnd w:id="8"/>
    </w:p>
    <w:p w14:paraId="7286B657"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dataset consists of 720 daily observations spanning January 12, 2023 through December 21, 2025, covering the core operational counts of the UAC pipeline. Each row represents a single reporting day. Table 1 summarizes the raw fields used as the foundation for all derived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D6C83" w:rsidRPr="00E15BEA" w14:paraId="595190DF" w14:textId="77777777" w:rsidTr="007A2777">
        <w:trPr>
          <w:tblHeader/>
        </w:trPr>
        <w:tc>
          <w:tcPr>
            <w:tcW w:w="3200" w:type="dxa"/>
            <w:shd w:val="clear" w:color="auto" w:fill="0B3C5D"/>
            <w:tcMar>
              <w:top w:w="80" w:type="dxa"/>
              <w:left w:w="120" w:type="dxa"/>
              <w:bottom w:w="80" w:type="dxa"/>
              <w:right w:w="120" w:type="dxa"/>
            </w:tcMar>
            <w:vAlign w:val="center"/>
          </w:tcPr>
          <w:p w14:paraId="350E2124" w14:textId="77777777" w:rsidR="009D6C83" w:rsidRPr="007A2777" w:rsidRDefault="00830EFB">
            <w:pPr>
              <w:rPr>
                <w:rFonts w:ascii="Times New Roman" w:hAnsi="Times New Roman" w:cs="Times New Roman"/>
                <w:color w:val="auto"/>
              </w:rPr>
            </w:pPr>
            <w:r w:rsidRPr="007A2777">
              <w:rPr>
                <w:rFonts w:ascii="Times New Roman" w:hAnsi="Times New Roman" w:cs="Times New Roman"/>
                <w:b/>
                <w:bCs/>
                <w:color w:val="auto"/>
                <w:sz w:val="20"/>
                <w:szCs w:val="20"/>
              </w:rPr>
              <w:t>Column</w:t>
            </w:r>
          </w:p>
        </w:tc>
        <w:tc>
          <w:tcPr>
            <w:tcW w:w="6160" w:type="dxa"/>
            <w:shd w:val="clear" w:color="auto" w:fill="0B3C5D"/>
            <w:tcMar>
              <w:top w:w="80" w:type="dxa"/>
              <w:left w:w="120" w:type="dxa"/>
              <w:bottom w:w="80" w:type="dxa"/>
              <w:right w:w="120" w:type="dxa"/>
            </w:tcMar>
            <w:vAlign w:val="center"/>
          </w:tcPr>
          <w:p w14:paraId="7A1A2D87" w14:textId="77777777" w:rsidR="009D6C83" w:rsidRPr="007A2777" w:rsidRDefault="00830EFB">
            <w:pPr>
              <w:rPr>
                <w:rFonts w:ascii="Times New Roman" w:hAnsi="Times New Roman" w:cs="Times New Roman"/>
                <w:color w:val="auto"/>
              </w:rPr>
            </w:pPr>
            <w:r w:rsidRPr="007A2777">
              <w:rPr>
                <w:rFonts w:ascii="Times New Roman" w:hAnsi="Times New Roman" w:cs="Times New Roman"/>
                <w:b/>
                <w:bCs/>
                <w:color w:val="auto"/>
                <w:sz w:val="20"/>
                <w:szCs w:val="20"/>
              </w:rPr>
              <w:t>Description</w:t>
            </w:r>
          </w:p>
        </w:tc>
      </w:tr>
      <w:tr w:rsidR="009D6C83" w:rsidRPr="00E15BEA" w14:paraId="3CA6137D" w14:textId="77777777" w:rsidTr="007A2777">
        <w:tc>
          <w:tcPr>
            <w:tcW w:w="3200" w:type="dxa"/>
            <w:tcMar>
              <w:top w:w="80" w:type="dxa"/>
              <w:left w:w="120" w:type="dxa"/>
              <w:bottom w:w="80" w:type="dxa"/>
              <w:right w:w="120" w:type="dxa"/>
            </w:tcMar>
            <w:vAlign w:val="center"/>
          </w:tcPr>
          <w:p w14:paraId="292FAC8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Date</w:t>
            </w:r>
          </w:p>
        </w:tc>
        <w:tc>
          <w:tcPr>
            <w:tcW w:w="6160" w:type="dxa"/>
            <w:tcMar>
              <w:top w:w="80" w:type="dxa"/>
              <w:left w:w="120" w:type="dxa"/>
              <w:bottom w:w="80" w:type="dxa"/>
              <w:right w:w="120" w:type="dxa"/>
            </w:tcMar>
            <w:vAlign w:val="center"/>
          </w:tcPr>
          <w:p w14:paraId="24FA980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Reporting date for the daily observation</w:t>
            </w:r>
          </w:p>
        </w:tc>
      </w:tr>
      <w:tr w:rsidR="009D6C83" w:rsidRPr="00E15BEA" w14:paraId="541F7142" w14:textId="77777777" w:rsidTr="007A2777">
        <w:tc>
          <w:tcPr>
            <w:tcW w:w="3200" w:type="dxa"/>
            <w:tcMar>
              <w:top w:w="80" w:type="dxa"/>
              <w:left w:w="120" w:type="dxa"/>
              <w:bottom w:w="80" w:type="dxa"/>
              <w:right w:w="120" w:type="dxa"/>
            </w:tcMar>
            <w:vAlign w:val="center"/>
          </w:tcPr>
          <w:p w14:paraId="4A4673E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apprehended and placed in CBP custody</w:t>
            </w:r>
          </w:p>
        </w:tc>
        <w:tc>
          <w:tcPr>
            <w:tcW w:w="6160" w:type="dxa"/>
            <w:tcMar>
              <w:top w:w="80" w:type="dxa"/>
              <w:left w:w="120" w:type="dxa"/>
              <w:bottom w:w="80" w:type="dxa"/>
              <w:right w:w="120" w:type="dxa"/>
            </w:tcMar>
            <w:vAlign w:val="center"/>
          </w:tcPr>
          <w:p w14:paraId="0BDA634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intake volume into CBP custody</w:t>
            </w:r>
          </w:p>
        </w:tc>
      </w:tr>
      <w:tr w:rsidR="009D6C83" w:rsidRPr="00E15BEA" w14:paraId="3304F9A4" w14:textId="77777777" w:rsidTr="007A2777">
        <w:tc>
          <w:tcPr>
            <w:tcW w:w="3200" w:type="dxa"/>
            <w:tcMar>
              <w:top w:w="80" w:type="dxa"/>
              <w:left w:w="120" w:type="dxa"/>
              <w:bottom w:w="80" w:type="dxa"/>
              <w:right w:w="120" w:type="dxa"/>
            </w:tcMar>
            <w:vAlign w:val="center"/>
          </w:tcPr>
          <w:p w14:paraId="5548E25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in CBP custody</w:t>
            </w:r>
          </w:p>
        </w:tc>
        <w:tc>
          <w:tcPr>
            <w:tcW w:w="6160" w:type="dxa"/>
            <w:tcMar>
              <w:top w:w="80" w:type="dxa"/>
              <w:left w:w="120" w:type="dxa"/>
              <w:bottom w:w="80" w:type="dxa"/>
              <w:right w:w="120" w:type="dxa"/>
            </w:tcMar>
            <w:vAlign w:val="center"/>
          </w:tcPr>
          <w:p w14:paraId="68201CFD"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Active CBP care load (point-in-time population)</w:t>
            </w:r>
          </w:p>
        </w:tc>
      </w:tr>
      <w:tr w:rsidR="009D6C83" w:rsidRPr="00E15BEA" w14:paraId="7F2D451D" w14:textId="77777777" w:rsidTr="007A2777">
        <w:tc>
          <w:tcPr>
            <w:tcW w:w="3200" w:type="dxa"/>
            <w:tcMar>
              <w:top w:w="80" w:type="dxa"/>
              <w:left w:w="120" w:type="dxa"/>
              <w:bottom w:w="80" w:type="dxa"/>
              <w:right w:w="120" w:type="dxa"/>
            </w:tcMar>
            <w:vAlign w:val="center"/>
          </w:tcPr>
          <w:p w14:paraId="60E9D95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transferred out of CBP custody</w:t>
            </w:r>
          </w:p>
        </w:tc>
        <w:tc>
          <w:tcPr>
            <w:tcW w:w="6160" w:type="dxa"/>
            <w:tcMar>
              <w:top w:w="80" w:type="dxa"/>
              <w:left w:w="120" w:type="dxa"/>
              <w:bottom w:w="80" w:type="dxa"/>
              <w:right w:w="120" w:type="dxa"/>
            </w:tcMar>
            <w:vAlign w:val="center"/>
          </w:tcPr>
          <w:p w14:paraId="0644243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flow of children moving into the HHS system</w:t>
            </w:r>
          </w:p>
        </w:tc>
      </w:tr>
      <w:tr w:rsidR="009D6C83" w:rsidRPr="00E15BEA" w14:paraId="2F906642" w14:textId="77777777" w:rsidTr="007A2777">
        <w:tc>
          <w:tcPr>
            <w:tcW w:w="3200" w:type="dxa"/>
            <w:tcMar>
              <w:top w:w="80" w:type="dxa"/>
              <w:left w:w="120" w:type="dxa"/>
              <w:bottom w:w="80" w:type="dxa"/>
              <w:right w:w="120" w:type="dxa"/>
            </w:tcMar>
            <w:vAlign w:val="center"/>
          </w:tcPr>
          <w:p w14:paraId="06C1572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in HHS Care</w:t>
            </w:r>
          </w:p>
        </w:tc>
        <w:tc>
          <w:tcPr>
            <w:tcW w:w="6160" w:type="dxa"/>
            <w:tcMar>
              <w:top w:w="80" w:type="dxa"/>
              <w:left w:w="120" w:type="dxa"/>
              <w:bottom w:w="80" w:type="dxa"/>
              <w:right w:w="120" w:type="dxa"/>
            </w:tcMar>
            <w:vAlign w:val="center"/>
          </w:tcPr>
          <w:p w14:paraId="4239697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Active HHS care load (point-in-time population)</w:t>
            </w:r>
          </w:p>
        </w:tc>
      </w:tr>
      <w:tr w:rsidR="009D6C83" w:rsidRPr="00E15BEA" w14:paraId="6717AB8C" w14:textId="77777777" w:rsidTr="007A2777">
        <w:tc>
          <w:tcPr>
            <w:tcW w:w="3200" w:type="dxa"/>
            <w:tcMar>
              <w:top w:w="80" w:type="dxa"/>
              <w:left w:w="120" w:type="dxa"/>
              <w:bottom w:w="80" w:type="dxa"/>
              <w:right w:w="120" w:type="dxa"/>
            </w:tcMar>
            <w:vAlign w:val="center"/>
          </w:tcPr>
          <w:p w14:paraId="51AFABE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discharged from HHS Care</w:t>
            </w:r>
          </w:p>
        </w:tc>
        <w:tc>
          <w:tcPr>
            <w:tcW w:w="6160" w:type="dxa"/>
            <w:tcMar>
              <w:top w:w="80" w:type="dxa"/>
              <w:left w:w="120" w:type="dxa"/>
              <w:bottom w:w="80" w:type="dxa"/>
              <w:right w:w="120" w:type="dxa"/>
            </w:tcMar>
            <w:vAlign w:val="center"/>
          </w:tcPr>
          <w:p w14:paraId="5B6259B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count of successful sponsor placements</w:t>
            </w:r>
          </w:p>
        </w:tc>
      </w:tr>
    </w:tbl>
    <w:p w14:paraId="121D084F"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Table 1. Raw dataset fields used as inputs to derived process metrics.</w:t>
      </w:r>
    </w:p>
    <w:p w14:paraId="7ED46822" w14:textId="43384151" w:rsidR="009D6C83" w:rsidRPr="007A2777" w:rsidRDefault="00830EFB">
      <w:pPr>
        <w:pStyle w:val="Heading2"/>
        <w:rPr>
          <w:rFonts w:ascii="Times New Roman" w:hAnsi="Times New Roman" w:cs="Times New Roman"/>
          <w:color w:val="auto"/>
        </w:rPr>
      </w:pPr>
      <w:bookmarkStart w:id="9" w:name="_Toc232714605"/>
      <w:r w:rsidRPr="007A2777">
        <w:rPr>
          <w:rFonts w:ascii="Times New Roman" w:hAnsi="Times New Roman" w:cs="Times New Roman"/>
          <w:color w:val="auto"/>
        </w:rPr>
        <w:t>2.2 Care Pipeline Mode</w:t>
      </w:r>
      <w:r w:rsidR="00220A46" w:rsidRPr="007A2777">
        <w:rPr>
          <w:rFonts w:ascii="Times New Roman" w:hAnsi="Times New Roman" w:cs="Times New Roman"/>
          <w:color w:val="auto"/>
        </w:rPr>
        <w:t>l</w:t>
      </w:r>
      <w:r w:rsidRPr="007A2777">
        <w:rPr>
          <w:rFonts w:ascii="Times New Roman" w:hAnsi="Times New Roman" w:cs="Times New Roman"/>
          <w:color w:val="auto"/>
        </w:rPr>
        <w:t>ling</w:t>
      </w:r>
      <w:bookmarkEnd w:id="9"/>
    </w:p>
    <w:p w14:paraId="35ABCB5A" w14:textId="602E9EFC"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UAC system was model</w:t>
      </w:r>
      <w:r w:rsidR="00220A46" w:rsidRPr="00E15BEA">
        <w:rPr>
          <w:rFonts w:ascii="Times New Roman" w:hAnsi="Times New Roman" w:cs="Times New Roman"/>
        </w:rPr>
        <w:t>l</w:t>
      </w:r>
      <w:r w:rsidRPr="00E15BEA">
        <w:rPr>
          <w:rFonts w:ascii="Times New Roman" w:hAnsi="Times New Roman" w:cs="Times New Roman"/>
        </w:rPr>
        <w:t>ed as a sequential flow pipeline with three principal stages: CBP custody, HHS care, and sponsor placement. Daily movements between these stages — apprehension, transfer, and discharge — were tracked as flow variables, while custody and care populations were tracked as stock variables. This stock-and-flow framing allows efficiency and backlog metrics to be computed consistently across the full observation period.</w:t>
      </w:r>
    </w:p>
    <w:p w14:paraId="1AA4FDDC" w14:textId="77777777" w:rsidR="009D6C83" w:rsidRPr="007A2777" w:rsidRDefault="00830EFB">
      <w:pPr>
        <w:pStyle w:val="Heading2"/>
        <w:rPr>
          <w:rFonts w:ascii="Times New Roman" w:hAnsi="Times New Roman" w:cs="Times New Roman"/>
          <w:color w:val="auto"/>
        </w:rPr>
      </w:pPr>
      <w:bookmarkStart w:id="10" w:name="_Toc232714606"/>
      <w:r w:rsidRPr="007A2777">
        <w:rPr>
          <w:rFonts w:ascii="Times New Roman" w:hAnsi="Times New Roman" w:cs="Times New Roman"/>
          <w:color w:val="auto"/>
        </w:rPr>
        <w:t>2.3 Derived Process Efficiency Metrics</w:t>
      </w:r>
      <w:bookmarkEnd w:id="10"/>
    </w:p>
    <w:p w14:paraId="46ABA34F"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Five process-level metrics were derived from the raw flow and stock variables to translate point-in-time counts into operationally meaningful indicators of speed, throughput, and stability.</w:t>
      </w:r>
    </w:p>
    <w:p w14:paraId="41A4E4FE" w14:textId="77777777" w:rsidR="009D6C83" w:rsidRPr="007A2777" w:rsidRDefault="00830EFB">
      <w:pPr>
        <w:pStyle w:val="Heading3"/>
        <w:rPr>
          <w:rFonts w:ascii="Times New Roman" w:hAnsi="Times New Roman" w:cs="Times New Roman"/>
          <w:color w:val="auto"/>
        </w:rPr>
      </w:pPr>
      <w:bookmarkStart w:id="11" w:name="_Toc232714607"/>
      <w:r w:rsidRPr="007A2777">
        <w:rPr>
          <w:rFonts w:ascii="Times New Roman" w:hAnsi="Times New Roman" w:cs="Times New Roman"/>
          <w:color w:val="auto"/>
        </w:rPr>
        <w:t>2.3.1 Transfer Efficiency Ratio</w:t>
      </w:r>
      <w:bookmarkEnd w:id="11"/>
    </w:p>
    <w:p w14:paraId="6DF1AF33"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Defined as the ratio of children transferred out of CBP custody to children held in CBP custody on a given day:</w:t>
      </w:r>
    </w:p>
    <w:p w14:paraId="6BDB29F1" w14:textId="77777777" w:rsidR="009D6C83" w:rsidRPr="007A2777" w:rsidRDefault="00830EFB">
      <w:pPr>
        <w:spacing w:after="200"/>
        <w:jc w:val="center"/>
        <w:rPr>
          <w:rFonts w:ascii="Times New Roman" w:hAnsi="Times New Roman" w:cs="Times New Roman"/>
          <w:color w:val="auto"/>
        </w:rPr>
      </w:pPr>
      <w:r w:rsidRPr="007A2777">
        <w:rPr>
          <w:rFonts w:ascii="Times New Roman" w:hAnsi="Times New Roman" w:cs="Times New Roman"/>
          <w:i/>
          <w:iCs/>
          <w:color w:val="auto"/>
        </w:rPr>
        <w:t>Transfer Efficiency = Children Transferred ÷ Children in CBP Custody</w:t>
      </w:r>
    </w:p>
    <w:p w14:paraId="51E4EA7A"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Higher values indicate that a larger share of the CBP custody population is being moved into HHS care each day, implying faster transitions and lower temporary custody burden.</w:t>
      </w:r>
    </w:p>
    <w:p w14:paraId="560421C3" w14:textId="77777777" w:rsidR="009D6C83" w:rsidRPr="007A2777" w:rsidRDefault="00830EFB">
      <w:pPr>
        <w:pStyle w:val="Heading3"/>
        <w:rPr>
          <w:rFonts w:ascii="Times New Roman" w:hAnsi="Times New Roman" w:cs="Times New Roman"/>
          <w:color w:val="auto"/>
        </w:rPr>
      </w:pPr>
      <w:bookmarkStart w:id="12" w:name="_Toc232714608"/>
      <w:r w:rsidRPr="007A2777">
        <w:rPr>
          <w:rFonts w:ascii="Times New Roman" w:hAnsi="Times New Roman" w:cs="Times New Roman"/>
          <w:color w:val="auto"/>
        </w:rPr>
        <w:lastRenderedPageBreak/>
        <w:t>2.3.2 Discharge Effectiveness Index</w:t>
      </w:r>
      <w:bookmarkEnd w:id="12"/>
    </w:p>
    <w:p w14:paraId="77900EB4"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Defined as the ratio of children discharged from HHS care to children actively in HHS care:</w:t>
      </w:r>
    </w:p>
    <w:p w14:paraId="6C90F990" w14:textId="77777777" w:rsidR="009D6C83" w:rsidRPr="007A2777" w:rsidRDefault="00830EFB">
      <w:pPr>
        <w:spacing w:after="200"/>
        <w:jc w:val="center"/>
        <w:rPr>
          <w:rFonts w:ascii="Times New Roman" w:hAnsi="Times New Roman" w:cs="Times New Roman"/>
          <w:color w:val="auto"/>
        </w:rPr>
      </w:pPr>
      <w:r w:rsidRPr="007A2777">
        <w:rPr>
          <w:rFonts w:ascii="Times New Roman" w:hAnsi="Times New Roman" w:cs="Times New Roman"/>
          <w:i/>
          <w:iCs/>
          <w:color w:val="auto"/>
        </w:rPr>
        <w:t>Discharge Effectiveness = Children Discharged ÷ Children in HHS Care</w:t>
      </w:r>
    </w:p>
    <w:p w14:paraId="10C2F1FE"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This index captures successful sponsor placement performance relative to the active HHS care population, serving as a proxy for reunification throughput.</w:t>
      </w:r>
    </w:p>
    <w:p w14:paraId="21CA474F" w14:textId="77777777" w:rsidR="009D6C83" w:rsidRPr="007A2777" w:rsidRDefault="00830EFB">
      <w:pPr>
        <w:pStyle w:val="Heading3"/>
        <w:rPr>
          <w:rFonts w:ascii="Times New Roman" w:hAnsi="Times New Roman" w:cs="Times New Roman"/>
          <w:color w:val="auto"/>
        </w:rPr>
      </w:pPr>
      <w:bookmarkStart w:id="13" w:name="_Toc232714609"/>
      <w:r w:rsidRPr="007A2777">
        <w:rPr>
          <w:rFonts w:ascii="Times New Roman" w:hAnsi="Times New Roman" w:cs="Times New Roman"/>
          <w:color w:val="auto"/>
        </w:rPr>
        <w:t>2.3.3 Pipeline Throughput Rate</w:t>
      </w:r>
      <w:bookmarkEnd w:id="13"/>
    </w:p>
    <w:p w14:paraId="681E77B7"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Defined as the ratio of total system exits to total system entries on a given day:</w:t>
      </w:r>
    </w:p>
    <w:p w14:paraId="73E39566" w14:textId="77777777" w:rsidR="009D6C83" w:rsidRPr="007A2777" w:rsidRDefault="00830EFB">
      <w:pPr>
        <w:spacing w:after="200"/>
        <w:jc w:val="center"/>
        <w:rPr>
          <w:rFonts w:ascii="Times New Roman" w:hAnsi="Times New Roman" w:cs="Times New Roman"/>
          <w:color w:val="auto"/>
        </w:rPr>
      </w:pPr>
      <w:r w:rsidRPr="007A2777">
        <w:rPr>
          <w:rFonts w:ascii="Times New Roman" w:hAnsi="Times New Roman" w:cs="Times New Roman"/>
          <w:i/>
          <w:iCs/>
          <w:color w:val="auto"/>
        </w:rPr>
        <w:t>Pipeline Throughput = Total Exits ÷ Total Entries</w:t>
      </w:r>
    </w:p>
    <w:p w14:paraId="7CE755CC"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A throughput value above 1.0 indicates the system discharged more children than it admitted on that day — a sign the pipeline is working down existing backlog. A value below 1.0 indicates inflow is outpacing outflow, contributing to growing system-wide strain.</w:t>
      </w:r>
    </w:p>
    <w:p w14:paraId="51D37B1A" w14:textId="77777777" w:rsidR="009D6C83" w:rsidRPr="007A2777" w:rsidRDefault="00830EFB">
      <w:pPr>
        <w:pStyle w:val="Heading3"/>
        <w:rPr>
          <w:rFonts w:ascii="Times New Roman" w:hAnsi="Times New Roman" w:cs="Times New Roman"/>
          <w:color w:val="auto"/>
        </w:rPr>
      </w:pPr>
      <w:bookmarkStart w:id="14" w:name="_Toc232714610"/>
      <w:r w:rsidRPr="007A2777">
        <w:rPr>
          <w:rFonts w:ascii="Times New Roman" w:hAnsi="Times New Roman" w:cs="Times New Roman"/>
          <w:color w:val="auto"/>
        </w:rPr>
        <w:t>2.3.4 Backlog Accumulation Rate</w:t>
      </w:r>
      <w:bookmarkEnd w:id="14"/>
    </w:p>
    <w:p w14:paraId="3926885C"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The Transfer Backlog metric quantifies the cumulative imbalance between children entering and successfully exiting the pipeline, capturing sustained periods where inflow outpaces processing capacity. Sustained positive backlog growth signals delay severity within the CBP → HHS transfer stage specifically.</w:t>
      </w:r>
    </w:p>
    <w:p w14:paraId="164A0B30" w14:textId="77777777" w:rsidR="009D6C83" w:rsidRPr="007A2777" w:rsidRDefault="00830EFB">
      <w:pPr>
        <w:pStyle w:val="Heading3"/>
        <w:rPr>
          <w:rFonts w:ascii="Times New Roman" w:hAnsi="Times New Roman" w:cs="Times New Roman"/>
          <w:color w:val="auto"/>
        </w:rPr>
      </w:pPr>
      <w:bookmarkStart w:id="15" w:name="_Toc232714611"/>
      <w:r w:rsidRPr="007A2777">
        <w:rPr>
          <w:rFonts w:ascii="Times New Roman" w:hAnsi="Times New Roman" w:cs="Times New Roman"/>
          <w:color w:val="auto"/>
        </w:rPr>
        <w:t>2.3.5 Outcome Stability Score</w:t>
      </w:r>
      <w:bookmarkEnd w:id="15"/>
    </w:p>
    <w:p w14:paraId="319BFB24"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Outcome stability was assessed using the standard deviation of Discharge Effectiveness alongside a rolling (smoothed) version of the same metric, Rolling Discharge Effectiveness, which dampens day-to-day noise while preserving medium-term trend shifts. Lower variability indicates more consistent, predictable placement outcomes; sudden or sustained departures from the rolling mean signal potential operational instability.</w:t>
      </w:r>
    </w:p>
    <w:p w14:paraId="47FE7197" w14:textId="77777777" w:rsidR="009D6C83" w:rsidRPr="007A2777" w:rsidRDefault="00830EFB">
      <w:pPr>
        <w:pStyle w:val="Heading2"/>
        <w:rPr>
          <w:rFonts w:ascii="Times New Roman" w:hAnsi="Times New Roman" w:cs="Times New Roman"/>
          <w:color w:val="auto"/>
        </w:rPr>
      </w:pPr>
      <w:bookmarkStart w:id="16" w:name="_Toc232714612"/>
      <w:r w:rsidRPr="007A2777">
        <w:rPr>
          <w:rFonts w:ascii="Times New Roman" w:hAnsi="Times New Roman" w:cs="Times New Roman"/>
          <w:color w:val="auto"/>
        </w:rPr>
        <w:t>2.4 Backlog, Stagnation, and Alert Detection</w:t>
      </w:r>
      <w:bookmarkEnd w:id="16"/>
    </w:p>
    <w:p w14:paraId="07587BB6" w14:textId="77777777" w:rsidR="009D6C83"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Two auxiliary detection mechanisms were layered on top of the core efficiency metrics. First, a binary Alert flag (Normal / Warning) marks days where pipeline metrics breach operationally meaningful thresholds, providing a simple at-a-glance status indicator. Second, a Stagnation Period counter tracks the number of consecutive days in which Transfer Efficiency remains persistently low; periods of five or more consecutive low-efficiency days were classified as stagnation events, consistent with the threshold used throughout the accompanying dashboard.</w:t>
      </w:r>
    </w:p>
    <w:p w14:paraId="7B9F47D4" w14:textId="77777777" w:rsidR="000D517E" w:rsidRPr="007A2777" w:rsidRDefault="000D517E">
      <w:pPr>
        <w:spacing w:after="160" w:line="360" w:lineRule="auto"/>
        <w:jc w:val="both"/>
        <w:rPr>
          <w:rFonts w:ascii="Times New Roman" w:hAnsi="Times New Roman" w:cs="Times New Roman"/>
          <w:color w:val="auto"/>
        </w:rPr>
      </w:pPr>
    </w:p>
    <w:p w14:paraId="688E9E07" w14:textId="77777777" w:rsidR="009D6C83" w:rsidRPr="007A2777" w:rsidRDefault="00830EFB">
      <w:pPr>
        <w:pStyle w:val="Heading2"/>
        <w:rPr>
          <w:rFonts w:ascii="Times New Roman" w:hAnsi="Times New Roman" w:cs="Times New Roman"/>
          <w:color w:val="auto"/>
        </w:rPr>
      </w:pPr>
      <w:bookmarkStart w:id="17" w:name="_Toc232714613"/>
      <w:r w:rsidRPr="007A2777">
        <w:rPr>
          <w:rFonts w:ascii="Times New Roman" w:hAnsi="Times New Roman" w:cs="Times New Roman"/>
          <w:color w:val="auto"/>
        </w:rPr>
        <w:lastRenderedPageBreak/>
        <w:t>2.5 Temporal and Pattern Analysis</w:t>
      </w:r>
      <w:bookmarkEnd w:id="17"/>
    </w:p>
    <w:p w14:paraId="42515320"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To assess whether pipeline performance varies systematically by time, three temporal analyses were conducted: a weekday-versus-weekend comparison of Transfer Efficiency to detect staffing-related slowdowns, a day-of-week breakdown to identify which specific days underperform, and a month-over-month aggregation of discharge volume to detect seasonal patterns and longer-term shifts in placement throughput.</w:t>
      </w:r>
    </w:p>
    <w:p w14:paraId="44EED1A2" w14:textId="77777777" w:rsidR="009D6C83" w:rsidRPr="007A2777" w:rsidRDefault="00830EFB">
      <w:pPr>
        <w:pStyle w:val="Heading2"/>
        <w:rPr>
          <w:rFonts w:ascii="Times New Roman" w:hAnsi="Times New Roman" w:cs="Times New Roman"/>
          <w:color w:val="auto"/>
        </w:rPr>
      </w:pPr>
      <w:bookmarkStart w:id="18" w:name="_Toc232714614"/>
      <w:r w:rsidRPr="007A2777">
        <w:rPr>
          <w:rFonts w:ascii="Times New Roman" w:hAnsi="Times New Roman" w:cs="Times New Roman"/>
          <w:color w:val="auto"/>
        </w:rPr>
        <w:t>2.6 Analytical Tools</w:t>
      </w:r>
      <w:bookmarkEnd w:id="18"/>
    </w:p>
    <w:p w14:paraId="18ED19FB" w14:textId="77960C39"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All data processing and metric derivation was performed in Python using pandas for data manipulation and NumPy for numerical operations. Visualization was implemented using both Matplotlib (for this paper's static figures) and Plotly (for the interactive </w:t>
      </w:r>
      <w:proofErr w:type="spellStart"/>
      <w:r w:rsidRPr="00E15BEA">
        <w:rPr>
          <w:rFonts w:ascii="Times New Roman" w:hAnsi="Times New Roman" w:cs="Times New Roman"/>
        </w:rPr>
        <w:t>Streamlit</w:t>
      </w:r>
      <w:proofErr w:type="spellEnd"/>
      <w:r w:rsidRPr="00E15BEA">
        <w:rPr>
          <w:rFonts w:ascii="Times New Roman" w:hAnsi="Times New Roman" w:cs="Times New Roman"/>
        </w:rPr>
        <w:t xml:space="preserve"> dashboard described in Section 6). The complete interactive dashboard was built using the </w:t>
      </w:r>
      <w:proofErr w:type="spellStart"/>
      <w:r w:rsidRPr="00E15BEA">
        <w:rPr>
          <w:rFonts w:ascii="Times New Roman" w:hAnsi="Times New Roman" w:cs="Times New Roman"/>
        </w:rPr>
        <w:t>Streamlit</w:t>
      </w:r>
      <w:proofErr w:type="spellEnd"/>
      <w:r w:rsidRPr="00E15BEA">
        <w:rPr>
          <w:rFonts w:ascii="Times New Roman" w:hAnsi="Times New Roman" w:cs="Times New Roman"/>
        </w:rPr>
        <w:t xml:space="preserve"> framework, enabling real-time date-range filtering and live re</w:t>
      </w:r>
      <w:r w:rsidR="00220A46" w:rsidRPr="00E15BEA">
        <w:rPr>
          <w:rFonts w:ascii="Times New Roman" w:hAnsi="Times New Roman" w:cs="Times New Roman"/>
        </w:rPr>
        <w:t>-</w:t>
      </w:r>
      <w:r w:rsidRPr="00E15BEA">
        <w:rPr>
          <w:rFonts w:ascii="Times New Roman" w:hAnsi="Times New Roman" w:cs="Times New Roman"/>
        </w:rPr>
        <w:t>computation of all KPIs and visualizations.</w:t>
      </w:r>
    </w:p>
    <w:p w14:paraId="5B0A7BC3" w14:textId="77777777" w:rsidR="009D6C83" w:rsidRPr="00E15BEA" w:rsidRDefault="00830EFB">
      <w:pPr>
        <w:rPr>
          <w:rFonts w:ascii="Times New Roman" w:hAnsi="Times New Roman" w:cs="Times New Roman"/>
        </w:rPr>
      </w:pPr>
      <w:r w:rsidRPr="00E15BEA">
        <w:rPr>
          <w:rFonts w:ascii="Times New Roman" w:hAnsi="Times New Roman" w:cs="Times New Roman"/>
        </w:rPr>
        <w:br w:type="page"/>
      </w:r>
    </w:p>
    <w:p w14:paraId="3C3ACFEA" w14:textId="77777777" w:rsidR="009D6C83" w:rsidRPr="007A2777" w:rsidRDefault="00830EFB">
      <w:pPr>
        <w:pStyle w:val="Heading1"/>
        <w:rPr>
          <w:rFonts w:ascii="Times New Roman" w:hAnsi="Times New Roman" w:cs="Times New Roman"/>
          <w:color w:val="auto"/>
        </w:rPr>
      </w:pPr>
      <w:bookmarkStart w:id="19" w:name="_Toc232714615"/>
      <w:r w:rsidRPr="007A2777">
        <w:rPr>
          <w:rFonts w:ascii="Times New Roman" w:hAnsi="Times New Roman" w:cs="Times New Roman"/>
          <w:color w:val="auto"/>
        </w:rPr>
        <w:lastRenderedPageBreak/>
        <w:t>3. Results</w:t>
      </w:r>
      <w:bookmarkEnd w:id="19"/>
    </w:p>
    <w:p w14:paraId="37472950" w14:textId="77777777" w:rsidR="009D6C83" w:rsidRPr="007A2777" w:rsidRDefault="00830EFB">
      <w:pPr>
        <w:pStyle w:val="Heading2"/>
        <w:rPr>
          <w:rFonts w:ascii="Times New Roman" w:hAnsi="Times New Roman" w:cs="Times New Roman"/>
          <w:color w:val="auto"/>
        </w:rPr>
      </w:pPr>
      <w:bookmarkStart w:id="20" w:name="_Toc232714616"/>
      <w:r w:rsidRPr="007A2777">
        <w:rPr>
          <w:rFonts w:ascii="Times New Roman" w:hAnsi="Times New Roman" w:cs="Times New Roman"/>
          <w:color w:val="auto"/>
        </w:rPr>
        <w:t>3.1 Overview of Key Performance Indicators</w:t>
      </w:r>
      <w:bookmarkEnd w:id="20"/>
    </w:p>
    <w:p w14:paraId="4008ABB8"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Table 2 summarizes the five core KPIs computed across the full 720-day observation period. These figures form the quantitative basis for the findings discussed in the remainder of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560"/>
        <w:gridCol w:w="1560"/>
        <w:gridCol w:w="1620"/>
        <w:gridCol w:w="1460"/>
      </w:tblGrid>
      <w:tr w:rsidR="009D6C83" w:rsidRPr="00E15BEA" w14:paraId="5ED9F097" w14:textId="77777777" w:rsidTr="007A2777">
        <w:trPr>
          <w:tblHeader/>
        </w:trPr>
        <w:tc>
          <w:tcPr>
            <w:tcW w:w="3160" w:type="dxa"/>
            <w:shd w:val="clear" w:color="auto" w:fill="0B3C5D"/>
            <w:tcMar>
              <w:top w:w="80" w:type="dxa"/>
              <w:left w:w="120" w:type="dxa"/>
              <w:bottom w:w="80" w:type="dxa"/>
              <w:right w:w="120" w:type="dxa"/>
            </w:tcMar>
            <w:vAlign w:val="center"/>
          </w:tcPr>
          <w:p w14:paraId="27B07A87"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KPI</w:t>
            </w:r>
          </w:p>
        </w:tc>
        <w:tc>
          <w:tcPr>
            <w:tcW w:w="1560" w:type="dxa"/>
            <w:shd w:val="clear" w:color="auto" w:fill="0B3C5D"/>
            <w:tcMar>
              <w:top w:w="80" w:type="dxa"/>
              <w:left w:w="120" w:type="dxa"/>
              <w:bottom w:w="80" w:type="dxa"/>
              <w:right w:w="120" w:type="dxa"/>
            </w:tcMar>
            <w:vAlign w:val="center"/>
          </w:tcPr>
          <w:p w14:paraId="385947DD"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Mean</w:t>
            </w:r>
          </w:p>
        </w:tc>
        <w:tc>
          <w:tcPr>
            <w:tcW w:w="1560" w:type="dxa"/>
            <w:shd w:val="clear" w:color="auto" w:fill="0B3C5D"/>
            <w:tcMar>
              <w:top w:w="80" w:type="dxa"/>
              <w:left w:w="120" w:type="dxa"/>
              <w:bottom w:w="80" w:type="dxa"/>
              <w:right w:w="120" w:type="dxa"/>
            </w:tcMar>
            <w:vAlign w:val="center"/>
          </w:tcPr>
          <w:p w14:paraId="5426B350"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Median</w:t>
            </w:r>
          </w:p>
        </w:tc>
        <w:tc>
          <w:tcPr>
            <w:tcW w:w="1620" w:type="dxa"/>
            <w:shd w:val="clear" w:color="auto" w:fill="0B3C5D"/>
            <w:tcMar>
              <w:top w:w="80" w:type="dxa"/>
              <w:left w:w="120" w:type="dxa"/>
              <w:bottom w:w="80" w:type="dxa"/>
              <w:right w:w="120" w:type="dxa"/>
            </w:tcMar>
            <w:vAlign w:val="center"/>
          </w:tcPr>
          <w:p w14:paraId="6BB9EF95"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Std. Dev.</w:t>
            </w:r>
          </w:p>
        </w:tc>
        <w:tc>
          <w:tcPr>
            <w:tcW w:w="1460" w:type="dxa"/>
            <w:shd w:val="clear" w:color="auto" w:fill="0B3C5D"/>
            <w:tcMar>
              <w:top w:w="80" w:type="dxa"/>
              <w:left w:w="120" w:type="dxa"/>
              <w:bottom w:w="80" w:type="dxa"/>
              <w:right w:w="120" w:type="dxa"/>
            </w:tcMar>
            <w:vAlign w:val="center"/>
          </w:tcPr>
          <w:p w14:paraId="57291A11"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Range</w:t>
            </w:r>
          </w:p>
        </w:tc>
      </w:tr>
      <w:tr w:rsidR="009D6C83" w:rsidRPr="00E15BEA" w14:paraId="0B46934D" w14:textId="77777777" w:rsidTr="007A2777">
        <w:tc>
          <w:tcPr>
            <w:tcW w:w="3160" w:type="dxa"/>
            <w:tcMar>
              <w:top w:w="80" w:type="dxa"/>
              <w:left w:w="120" w:type="dxa"/>
              <w:bottom w:w="80" w:type="dxa"/>
              <w:right w:w="120" w:type="dxa"/>
            </w:tcMar>
            <w:vAlign w:val="center"/>
          </w:tcPr>
          <w:p w14:paraId="69EFB8B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Efficiency</w:t>
            </w:r>
          </w:p>
        </w:tc>
        <w:tc>
          <w:tcPr>
            <w:tcW w:w="1560" w:type="dxa"/>
            <w:tcMar>
              <w:top w:w="80" w:type="dxa"/>
              <w:left w:w="120" w:type="dxa"/>
              <w:bottom w:w="80" w:type="dxa"/>
              <w:right w:w="120" w:type="dxa"/>
            </w:tcMar>
            <w:vAlign w:val="center"/>
          </w:tcPr>
          <w:p w14:paraId="2C8DC82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0.691</w:t>
            </w:r>
          </w:p>
        </w:tc>
        <w:tc>
          <w:tcPr>
            <w:tcW w:w="1560" w:type="dxa"/>
            <w:tcMar>
              <w:top w:w="80" w:type="dxa"/>
              <w:left w:w="120" w:type="dxa"/>
              <w:bottom w:w="80" w:type="dxa"/>
              <w:right w:w="120" w:type="dxa"/>
            </w:tcMar>
            <w:vAlign w:val="center"/>
          </w:tcPr>
          <w:p w14:paraId="5644562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0.704</w:t>
            </w:r>
          </w:p>
        </w:tc>
        <w:tc>
          <w:tcPr>
            <w:tcW w:w="1620" w:type="dxa"/>
            <w:tcMar>
              <w:top w:w="80" w:type="dxa"/>
              <w:left w:w="120" w:type="dxa"/>
              <w:bottom w:w="80" w:type="dxa"/>
              <w:right w:w="120" w:type="dxa"/>
            </w:tcMar>
            <w:vAlign w:val="center"/>
          </w:tcPr>
          <w:p w14:paraId="16AB36F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0.310</w:t>
            </w:r>
          </w:p>
        </w:tc>
        <w:tc>
          <w:tcPr>
            <w:tcW w:w="1460" w:type="dxa"/>
            <w:tcMar>
              <w:top w:w="80" w:type="dxa"/>
              <w:left w:w="120" w:type="dxa"/>
              <w:bottom w:w="80" w:type="dxa"/>
              <w:right w:w="120" w:type="dxa"/>
            </w:tcMar>
            <w:vAlign w:val="center"/>
          </w:tcPr>
          <w:p w14:paraId="41699A0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0.000 – 2.300</w:t>
            </w:r>
          </w:p>
        </w:tc>
      </w:tr>
      <w:tr w:rsidR="009D6C83" w:rsidRPr="00E15BEA" w14:paraId="0FBE9B48" w14:textId="77777777" w:rsidTr="007A2777">
        <w:tc>
          <w:tcPr>
            <w:tcW w:w="3160" w:type="dxa"/>
            <w:tcMar>
              <w:top w:w="80" w:type="dxa"/>
              <w:left w:w="120" w:type="dxa"/>
              <w:bottom w:w="80" w:type="dxa"/>
              <w:right w:w="120" w:type="dxa"/>
            </w:tcMar>
            <w:vAlign w:val="center"/>
          </w:tcPr>
          <w:p w14:paraId="2D8DB08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Discharge Effectiveness</w:t>
            </w:r>
          </w:p>
        </w:tc>
        <w:tc>
          <w:tcPr>
            <w:tcW w:w="1560" w:type="dxa"/>
            <w:tcMar>
              <w:top w:w="80" w:type="dxa"/>
              <w:left w:w="120" w:type="dxa"/>
              <w:bottom w:w="80" w:type="dxa"/>
              <w:right w:w="120" w:type="dxa"/>
            </w:tcMar>
            <w:vAlign w:val="center"/>
          </w:tcPr>
          <w:p w14:paraId="2FB96CA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0.024</w:t>
            </w:r>
          </w:p>
        </w:tc>
        <w:tc>
          <w:tcPr>
            <w:tcW w:w="1560" w:type="dxa"/>
            <w:tcMar>
              <w:top w:w="80" w:type="dxa"/>
              <w:left w:w="120" w:type="dxa"/>
              <w:bottom w:w="80" w:type="dxa"/>
              <w:right w:w="120" w:type="dxa"/>
            </w:tcMar>
            <w:vAlign w:val="center"/>
          </w:tcPr>
          <w:p w14:paraId="77892A8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0.026</w:t>
            </w:r>
          </w:p>
        </w:tc>
        <w:tc>
          <w:tcPr>
            <w:tcW w:w="1620" w:type="dxa"/>
            <w:tcMar>
              <w:top w:w="80" w:type="dxa"/>
              <w:left w:w="120" w:type="dxa"/>
              <w:bottom w:w="80" w:type="dxa"/>
              <w:right w:w="120" w:type="dxa"/>
            </w:tcMar>
            <w:vAlign w:val="center"/>
          </w:tcPr>
          <w:p w14:paraId="6432BA7D"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0.013</w:t>
            </w:r>
          </w:p>
        </w:tc>
        <w:tc>
          <w:tcPr>
            <w:tcW w:w="1460" w:type="dxa"/>
            <w:tcMar>
              <w:top w:w="80" w:type="dxa"/>
              <w:left w:w="120" w:type="dxa"/>
              <w:bottom w:w="80" w:type="dxa"/>
              <w:right w:w="120" w:type="dxa"/>
            </w:tcMar>
            <w:vAlign w:val="center"/>
          </w:tcPr>
          <w:p w14:paraId="0929481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0.000 – 0.066</w:t>
            </w:r>
          </w:p>
        </w:tc>
      </w:tr>
      <w:tr w:rsidR="009D6C83" w:rsidRPr="00E15BEA" w14:paraId="1A3F01FA" w14:textId="77777777" w:rsidTr="007A2777">
        <w:tc>
          <w:tcPr>
            <w:tcW w:w="3160" w:type="dxa"/>
            <w:tcMar>
              <w:top w:w="80" w:type="dxa"/>
              <w:left w:w="120" w:type="dxa"/>
              <w:bottom w:w="80" w:type="dxa"/>
              <w:right w:w="120" w:type="dxa"/>
            </w:tcMar>
            <w:vAlign w:val="center"/>
          </w:tcPr>
          <w:p w14:paraId="1E57CA3D"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Pipeline Throughput</w:t>
            </w:r>
          </w:p>
        </w:tc>
        <w:tc>
          <w:tcPr>
            <w:tcW w:w="1560" w:type="dxa"/>
            <w:tcMar>
              <w:top w:w="80" w:type="dxa"/>
              <w:left w:w="120" w:type="dxa"/>
              <w:bottom w:w="80" w:type="dxa"/>
              <w:right w:w="120" w:type="dxa"/>
            </w:tcMar>
            <w:vAlign w:val="center"/>
          </w:tcPr>
          <w:p w14:paraId="28F638A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1.073</w:t>
            </w:r>
          </w:p>
        </w:tc>
        <w:tc>
          <w:tcPr>
            <w:tcW w:w="1560" w:type="dxa"/>
            <w:tcMar>
              <w:top w:w="80" w:type="dxa"/>
              <w:left w:w="120" w:type="dxa"/>
              <w:bottom w:w="80" w:type="dxa"/>
              <w:right w:w="120" w:type="dxa"/>
            </w:tcMar>
            <w:vAlign w:val="center"/>
          </w:tcPr>
          <w:p w14:paraId="08E8959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0.721</w:t>
            </w:r>
          </w:p>
        </w:tc>
        <w:tc>
          <w:tcPr>
            <w:tcW w:w="1620" w:type="dxa"/>
            <w:tcMar>
              <w:top w:w="80" w:type="dxa"/>
              <w:left w:w="120" w:type="dxa"/>
              <w:bottom w:w="80" w:type="dxa"/>
              <w:right w:w="120" w:type="dxa"/>
            </w:tcMar>
            <w:vAlign w:val="center"/>
          </w:tcPr>
          <w:p w14:paraId="5DBEC44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1.317</w:t>
            </w:r>
          </w:p>
        </w:tc>
        <w:tc>
          <w:tcPr>
            <w:tcW w:w="1460" w:type="dxa"/>
            <w:tcMar>
              <w:top w:w="80" w:type="dxa"/>
              <w:left w:w="120" w:type="dxa"/>
              <w:bottom w:w="80" w:type="dxa"/>
              <w:right w:w="120" w:type="dxa"/>
            </w:tcMar>
            <w:vAlign w:val="center"/>
          </w:tcPr>
          <w:p w14:paraId="7A7CA12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0.000 – 16.000</w:t>
            </w:r>
          </w:p>
        </w:tc>
      </w:tr>
      <w:tr w:rsidR="009D6C83" w:rsidRPr="00E15BEA" w14:paraId="39E848D5" w14:textId="77777777" w:rsidTr="007A2777">
        <w:tc>
          <w:tcPr>
            <w:tcW w:w="3160" w:type="dxa"/>
            <w:tcMar>
              <w:top w:w="80" w:type="dxa"/>
              <w:left w:w="120" w:type="dxa"/>
              <w:bottom w:w="80" w:type="dxa"/>
              <w:right w:w="120" w:type="dxa"/>
            </w:tcMar>
            <w:vAlign w:val="center"/>
          </w:tcPr>
          <w:p w14:paraId="7E3B9F4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Backlog (children)</w:t>
            </w:r>
          </w:p>
        </w:tc>
        <w:tc>
          <w:tcPr>
            <w:tcW w:w="1560" w:type="dxa"/>
            <w:tcMar>
              <w:top w:w="80" w:type="dxa"/>
              <w:left w:w="120" w:type="dxa"/>
              <w:bottom w:w="80" w:type="dxa"/>
              <w:right w:w="120" w:type="dxa"/>
            </w:tcMar>
            <w:vAlign w:val="center"/>
          </w:tcPr>
          <w:p w14:paraId="505A16E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42.8</w:t>
            </w:r>
          </w:p>
        </w:tc>
        <w:tc>
          <w:tcPr>
            <w:tcW w:w="1560" w:type="dxa"/>
            <w:tcMar>
              <w:top w:w="80" w:type="dxa"/>
              <w:left w:w="120" w:type="dxa"/>
              <w:bottom w:w="80" w:type="dxa"/>
              <w:right w:w="120" w:type="dxa"/>
            </w:tcMar>
            <w:vAlign w:val="center"/>
          </w:tcPr>
          <w:p w14:paraId="2B2D40B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28.0</w:t>
            </w:r>
          </w:p>
        </w:tc>
        <w:tc>
          <w:tcPr>
            <w:tcW w:w="1620" w:type="dxa"/>
            <w:tcMar>
              <w:top w:w="80" w:type="dxa"/>
              <w:left w:w="120" w:type="dxa"/>
              <w:bottom w:w="80" w:type="dxa"/>
              <w:right w:w="120" w:type="dxa"/>
            </w:tcMar>
            <w:vAlign w:val="center"/>
          </w:tcPr>
          <w:p w14:paraId="021840B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51.8</w:t>
            </w:r>
          </w:p>
        </w:tc>
        <w:tc>
          <w:tcPr>
            <w:tcW w:w="1460" w:type="dxa"/>
            <w:tcMar>
              <w:top w:w="80" w:type="dxa"/>
              <w:left w:w="120" w:type="dxa"/>
              <w:bottom w:w="80" w:type="dxa"/>
              <w:right w:w="120" w:type="dxa"/>
            </w:tcMar>
            <w:vAlign w:val="center"/>
          </w:tcPr>
          <w:p w14:paraId="7777619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–73 – 304</w:t>
            </w:r>
          </w:p>
        </w:tc>
      </w:tr>
      <w:tr w:rsidR="009D6C83" w:rsidRPr="00E15BEA" w14:paraId="433902FF" w14:textId="77777777" w:rsidTr="007A2777">
        <w:tc>
          <w:tcPr>
            <w:tcW w:w="3160" w:type="dxa"/>
            <w:tcMar>
              <w:top w:w="80" w:type="dxa"/>
              <w:left w:w="120" w:type="dxa"/>
              <w:bottom w:w="80" w:type="dxa"/>
              <w:right w:w="120" w:type="dxa"/>
            </w:tcMar>
            <w:vAlign w:val="center"/>
          </w:tcPr>
          <w:p w14:paraId="1F3EF5E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HHS Care Load Ratio</w:t>
            </w:r>
          </w:p>
        </w:tc>
        <w:tc>
          <w:tcPr>
            <w:tcW w:w="1560" w:type="dxa"/>
            <w:tcMar>
              <w:top w:w="80" w:type="dxa"/>
              <w:left w:w="120" w:type="dxa"/>
              <w:bottom w:w="80" w:type="dxa"/>
              <w:right w:w="120" w:type="dxa"/>
            </w:tcMar>
            <w:vAlign w:val="center"/>
          </w:tcPr>
          <w:p w14:paraId="4D6CC00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0.977</w:t>
            </w:r>
          </w:p>
        </w:tc>
        <w:tc>
          <w:tcPr>
            <w:tcW w:w="1560" w:type="dxa"/>
            <w:tcMar>
              <w:top w:w="80" w:type="dxa"/>
              <w:left w:w="120" w:type="dxa"/>
              <w:bottom w:w="80" w:type="dxa"/>
              <w:right w:w="120" w:type="dxa"/>
            </w:tcMar>
            <w:vAlign w:val="center"/>
          </w:tcPr>
          <w:p w14:paraId="600F212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0.974</w:t>
            </w:r>
          </w:p>
        </w:tc>
        <w:tc>
          <w:tcPr>
            <w:tcW w:w="1620" w:type="dxa"/>
            <w:tcMar>
              <w:top w:w="80" w:type="dxa"/>
              <w:left w:w="120" w:type="dxa"/>
              <w:bottom w:w="80" w:type="dxa"/>
              <w:right w:w="120" w:type="dxa"/>
            </w:tcMar>
            <w:vAlign w:val="center"/>
          </w:tcPr>
          <w:p w14:paraId="3F77F53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0.013</w:t>
            </w:r>
          </w:p>
        </w:tc>
        <w:tc>
          <w:tcPr>
            <w:tcW w:w="1460" w:type="dxa"/>
            <w:tcMar>
              <w:top w:w="80" w:type="dxa"/>
              <w:left w:w="120" w:type="dxa"/>
              <w:bottom w:w="80" w:type="dxa"/>
              <w:right w:w="120" w:type="dxa"/>
            </w:tcMar>
            <w:vAlign w:val="center"/>
          </w:tcPr>
          <w:p w14:paraId="7807183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0.938 – 1.000</w:t>
            </w:r>
          </w:p>
        </w:tc>
      </w:tr>
    </w:tbl>
    <w:p w14:paraId="7D34C4C7"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Table 2. Summary statistics for core pipeline KPIs across the full 720-day period.</w:t>
      </w:r>
    </w:p>
    <w:p w14:paraId="6C6E05D2" w14:textId="77777777" w:rsidR="009D6C83" w:rsidRPr="007A2777" w:rsidRDefault="00830EFB">
      <w:pPr>
        <w:pStyle w:val="Heading2"/>
        <w:rPr>
          <w:rFonts w:ascii="Times New Roman" w:hAnsi="Times New Roman" w:cs="Times New Roman"/>
          <w:color w:val="auto"/>
        </w:rPr>
      </w:pPr>
      <w:bookmarkStart w:id="21" w:name="_Toc232714617"/>
      <w:r w:rsidRPr="007A2777">
        <w:rPr>
          <w:rFonts w:ascii="Times New Roman" w:hAnsi="Times New Roman" w:cs="Times New Roman"/>
          <w:color w:val="auto"/>
        </w:rPr>
        <w:t>3.2 Transfer Efficiency</w:t>
      </w:r>
      <w:bookmarkEnd w:id="21"/>
    </w:p>
    <w:p w14:paraId="53E2291F"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Transfer Efficiency averaged 0.691 across the observation period, with a median of 0.704 and a standard deviation of 0.310, indicating moderate day-to-day variability. The metric ranged from a minimum of 0.000 (days with no transfers recorded) to a maximum of 2.300. Figure 1 shows the full daily trend alongside the period mean.</w:t>
      </w:r>
    </w:p>
    <w:p w14:paraId="26507064"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2627E8CC" wp14:editId="2F30CDFB">
            <wp:extent cx="5667375" cy="2476500"/>
            <wp:effectExtent l="0" t="0" r="7620" b="381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476500"/>
                    </a:xfrm>
                    <a:prstGeom prst="rect">
                      <a:avLst/>
                    </a:prstGeom>
                  </pic:spPr>
                </pic:pic>
              </a:graphicData>
            </a:graphic>
          </wp:inline>
        </w:drawing>
      </w:r>
    </w:p>
    <w:p w14:paraId="76F475E8"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1. Transfer Efficiency over time, January 2023 – December 2025.</w:t>
      </w:r>
    </w:p>
    <w:p w14:paraId="1B5C2D5C"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Visual inspection of Figure 1 shows no clear long-term upward or downward trend; rather, efficiency oscillates around the mean with periodic spikes, consistent with day-level operational variation rather than a structural shift in CBP-to-HHS transfer capacity.</w:t>
      </w:r>
    </w:p>
    <w:p w14:paraId="3A44E170" w14:textId="77777777" w:rsidR="009D6C83" w:rsidRPr="007A2777" w:rsidRDefault="00830EFB">
      <w:pPr>
        <w:pStyle w:val="Heading2"/>
        <w:rPr>
          <w:rFonts w:ascii="Times New Roman" w:hAnsi="Times New Roman" w:cs="Times New Roman"/>
          <w:color w:val="auto"/>
        </w:rPr>
      </w:pPr>
      <w:bookmarkStart w:id="22" w:name="_Toc232714618"/>
      <w:r w:rsidRPr="007A2777">
        <w:rPr>
          <w:rFonts w:ascii="Times New Roman" w:hAnsi="Times New Roman" w:cs="Times New Roman"/>
          <w:color w:val="auto"/>
        </w:rPr>
        <w:lastRenderedPageBreak/>
        <w:t>3.3 Discharge Effectiveness</w:t>
      </w:r>
      <w:bookmarkEnd w:id="22"/>
    </w:p>
    <w:p w14:paraId="7F89564F" w14:textId="7D307BF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Discharge Effectiveness averaged 0.024 (median 0.026, standard deviation 0.013). Figure 3 presents the full distribution, which is approximately bimodal with a cluster of low-effectiveness days near zero and a broader cluster </w:t>
      </w:r>
      <w:proofErr w:type="spellStart"/>
      <w:r w:rsidRPr="00E15BEA">
        <w:rPr>
          <w:rFonts w:ascii="Times New Roman" w:hAnsi="Times New Roman" w:cs="Times New Roman"/>
        </w:rPr>
        <w:t>cent</w:t>
      </w:r>
      <w:r w:rsidR="00B573C1" w:rsidRPr="00E15BEA">
        <w:rPr>
          <w:rFonts w:ascii="Times New Roman" w:hAnsi="Times New Roman" w:cs="Times New Roman"/>
        </w:rPr>
        <w:t>e</w:t>
      </w:r>
      <w:r w:rsidRPr="00E15BEA">
        <w:rPr>
          <w:rFonts w:ascii="Times New Roman" w:hAnsi="Times New Roman" w:cs="Times New Roman"/>
        </w:rPr>
        <w:t>red</w:t>
      </w:r>
      <w:proofErr w:type="spellEnd"/>
      <w:r w:rsidRPr="00E15BEA">
        <w:rPr>
          <w:rFonts w:ascii="Times New Roman" w:hAnsi="Times New Roman" w:cs="Times New Roman"/>
        </w:rPr>
        <w:t xml:space="preserve"> closer to the mean, suggesting two distinct operating regimes — periods of normal discharge processing and periods of discharge stoppage or severe slowdown.</w:t>
      </w:r>
    </w:p>
    <w:p w14:paraId="52C0FF9F"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6E4E3044" wp14:editId="489EA2EE">
            <wp:extent cx="5667375" cy="2476500"/>
            <wp:effectExtent l="0" t="0" r="0" b="0"/>
            <wp:docPr id="1921256899"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476500"/>
                    </a:xfrm>
                    <a:prstGeom prst="rect">
                      <a:avLst/>
                    </a:prstGeom>
                  </pic:spPr>
                </pic:pic>
              </a:graphicData>
            </a:graphic>
          </wp:inline>
        </w:drawing>
      </w:r>
    </w:p>
    <w:p w14:paraId="511B5864"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3. Distribution of Discharge Effectiveness across the observation period.</w:t>
      </w:r>
    </w:p>
    <w:p w14:paraId="211AE82B" w14:textId="77777777" w:rsidR="009D6C83" w:rsidRPr="007A2777" w:rsidRDefault="00830EFB">
      <w:pPr>
        <w:pStyle w:val="Heading2"/>
        <w:rPr>
          <w:rFonts w:ascii="Times New Roman" w:hAnsi="Times New Roman" w:cs="Times New Roman"/>
          <w:color w:val="auto"/>
        </w:rPr>
      </w:pPr>
      <w:bookmarkStart w:id="23" w:name="_Toc232714619"/>
      <w:r w:rsidRPr="007A2777">
        <w:rPr>
          <w:rFonts w:ascii="Times New Roman" w:hAnsi="Times New Roman" w:cs="Times New Roman"/>
          <w:color w:val="auto"/>
        </w:rPr>
        <w:t>3.4 Backlog Accumulation</w:t>
      </w:r>
      <w:bookmarkEnd w:id="23"/>
    </w:p>
    <w:p w14:paraId="20498C6B"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Transfer Backlog averaged 42.8 children per day (median 28.0), with substantial variability (standard deviation 51.8). The metric reached a period maximum of 304 children on May 29, 2024 — the single most severe backlog day in the dataset. Table 3 lists the five highest-backlog days observed.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6C83" w:rsidRPr="00E15BEA" w14:paraId="4F0DD9D8" w14:textId="77777777" w:rsidTr="007A2777">
        <w:trPr>
          <w:tblHeader/>
        </w:trPr>
        <w:tc>
          <w:tcPr>
            <w:tcW w:w="4680" w:type="dxa"/>
            <w:shd w:val="clear" w:color="auto" w:fill="0B3C5D"/>
            <w:tcMar>
              <w:top w:w="80" w:type="dxa"/>
              <w:left w:w="120" w:type="dxa"/>
              <w:bottom w:w="80" w:type="dxa"/>
              <w:right w:w="120" w:type="dxa"/>
            </w:tcMar>
            <w:vAlign w:val="center"/>
          </w:tcPr>
          <w:p w14:paraId="409CB3B2"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Date</w:t>
            </w:r>
          </w:p>
        </w:tc>
        <w:tc>
          <w:tcPr>
            <w:tcW w:w="4680" w:type="dxa"/>
            <w:shd w:val="clear" w:color="auto" w:fill="0B3C5D"/>
            <w:tcMar>
              <w:top w:w="80" w:type="dxa"/>
              <w:left w:w="120" w:type="dxa"/>
              <w:bottom w:w="80" w:type="dxa"/>
              <w:right w:w="120" w:type="dxa"/>
            </w:tcMar>
            <w:vAlign w:val="center"/>
          </w:tcPr>
          <w:p w14:paraId="56A690CD"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Transfer Backlog (children)</w:t>
            </w:r>
          </w:p>
        </w:tc>
      </w:tr>
      <w:tr w:rsidR="009D6C83" w:rsidRPr="00E15BEA" w14:paraId="0D81C041" w14:textId="77777777" w:rsidTr="007A2777">
        <w:tc>
          <w:tcPr>
            <w:tcW w:w="4680" w:type="dxa"/>
            <w:tcMar>
              <w:top w:w="80" w:type="dxa"/>
              <w:left w:w="120" w:type="dxa"/>
              <w:bottom w:w="80" w:type="dxa"/>
              <w:right w:w="120" w:type="dxa"/>
            </w:tcMar>
            <w:vAlign w:val="center"/>
          </w:tcPr>
          <w:p w14:paraId="616B175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May 29, 2024</w:t>
            </w:r>
          </w:p>
        </w:tc>
        <w:tc>
          <w:tcPr>
            <w:tcW w:w="4680" w:type="dxa"/>
            <w:tcMar>
              <w:top w:w="80" w:type="dxa"/>
              <w:left w:w="120" w:type="dxa"/>
              <w:bottom w:w="80" w:type="dxa"/>
              <w:right w:w="120" w:type="dxa"/>
            </w:tcMar>
            <w:vAlign w:val="center"/>
          </w:tcPr>
          <w:p w14:paraId="646B900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304</w:t>
            </w:r>
          </w:p>
        </w:tc>
      </w:tr>
      <w:tr w:rsidR="009D6C83" w:rsidRPr="00E15BEA" w14:paraId="2B76509B" w14:textId="77777777" w:rsidTr="007A2777">
        <w:tc>
          <w:tcPr>
            <w:tcW w:w="4680" w:type="dxa"/>
            <w:tcMar>
              <w:top w:w="80" w:type="dxa"/>
              <w:left w:w="120" w:type="dxa"/>
              <w:bottom w:w="80" w:type="dxa"/>
              <w:right w:w="120" w:type="dxa"/>
            </w:tcMar>
            <w:vAlign w:val="center"/>
          </w:tcPr>
          <w:p w14:paraId="45B9315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February 11, 2024</w:t>
            </w:r>
          </w:p>
        </w:tc>
        <w:tc>
          <w:tcPr>
            <w:tcW w:w="4680" w:type="dxa"/>
            <w:tcMar>
              <w:top w:w="80" w:type="dxa"/>
              <w:left w:w="120" w:type="dxa"/>
              <w:bottom w:w="80" w:type="dxa"/>
              <w:right w:w="120" w:type="dxa"/>
            </w:tcMar>
            <w:vAlign w:val="center"/>
          </w:tcPr>
          <w:p w14:paraId="6CA5B0A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289</w:t>
            </w:r>
          </w:p>
        </w:tc>
      </w:tr>
      <w:tr w:rsidR="009D6C83" w:rsidRPr="00E15BEA" w14:paraId="77B0142A" w14:textId="77777777" w:rsidTr="007A2777">
        <w:tc>
          <w:tcPr>
            <w:tcW w:w="4680" w:type="dxa"/>
            <w:tcMar>
              <w:top w:w="80" w:type="dxa"/>
              <w:left w:w="120" w:type="dxa"/>
              <w:bottom w:w="80" w:type="dxa"/>
              <w:right w:w="120" w:type="dxa"/>
            </w:tcMar>
            <w:vAlign w:val="center"/>
          </w:tcPr>
          <w:p w14:paraId="74FF19A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February 4, 2024</w:t>
            </w:r>
          </w:p>
        </w:tc>
        <w:tc>
          <w:tcPr>
            <w:tcW w:w="4680" w:type="dxa"/>
            <w:tcMar>
              <w:top w:w="80" w:type="dxa"/>
              <w:left w:w="120" w:type="dxa"/>
              <w:bottom w:w="80" w:type="dxa"/>
              <w:right w:w="120" w:type="dxa"/>
            </w:tcMar>
            <w:vAlign w:val="center"/>
          </w:tcPr>
          <w:p w14:paraId="7988299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283</w:t>
            </w:r>
          </w:p>
        </w:tc>
      </w:tr>
      <w:tr w:rsidR="009D6C83" w:rsidRPr="00E15BEA" w14:paraId="20E5A774" w14:textId="77777777" w:rsidTr="007A2777">
        <w:tc>
          <w:tcPr>
            <w:tcW w:w="4680" w:type="dxa"/>
            <w:tcMar>
              <w:top w:w="80" w:type="dxa"/>
              <w:left w:w="120" w:type="dxa"/>
              <w:bottom w:w="80" w:type="dxa"/>
              <w:right w:w="120" w:type="dxa"/>
            </w:tcMar>
            <w:vAlign w:val="center"/>
          </w:tcPr>
          <w:p w14:paraId="390283C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April 30, 2024</w:t>
            </w:r>
          </w:p>
        </w:tc>
        <w:tc>
          <w:tcPr>
            <w:tcW w:w="4680" w:type="dxa"/>
            <w:tcMar>
              <w:top w:w="80" w:type="dxa"/>
              <w:left w:w="120" w:type="dxa"/>
              <w:bottom w:w="80" w:type="dxa"/>
              <w:right w:w="120" w:type="dxa"/>
            </w:tcMar>
            <w:vAlign w:val="center"/>
          </w:tcPr>
          <w:p w14:paraId="308607C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249</w:t>
            </w:r>
          </w:p>
        </w:tc>
      </w:tr>
      <w:tr w:rsidR="009D6C83" w:rsidRPr="00E15BEA" w14:paraId="66997F36" w14:textId="77777777" w:rsidTr="007A2777">
        <w:tc>
          <w:tcPr>
            <w:tcW w:w="4680" w:type="dxa"/>
            <w:tcMar>
              <w:top w:w="80" w:type="dxa"/>
              <w:left w:w="120" w:type="dxa"/>
              <w:bottom w:w="80" w:type="dxa"/>
              <w:right w:w="120" w:type="dxa"/>
            </w:tcMar>
            <w:vAlign w:val="center"/>
          </w:tcPr>
          <w:p w14:paraId="2555C32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February 15, 2024</w:t>
            </w:r>
          </w:p>
        </w:tc>
        <w:tc>
          <w:tcPr>
            <w:tcW w:w="4680" w:type="dxa"/>
            <w:tcMar>
              <w:top w:w="80" w:type="dxa"/>
              <w:left w:w="120" w:type="dxa"/>
              <w:bottom w:w="80" w:type="dxa"/>
              <w:right w:w="120" w:type="dxa"/>
            </w:tcMar>
            <w:vAlign w:val="center"/>
          </w:tcPr>
          <w:p w14:paraId="662CFAAC"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236</w:t>
            </w:r>
          </w:p>
        </w:tc>
      </w:tr>
    </w:tbl>
    <w:p w14:paraId="29B21595"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Table 3. Top five highest transfer backlog days in the observation period.</w:t>
      </w:r>
    </w:p>
    <w:p w14:paraId="2FF2BC3D"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Notably, four of the five most severe backlog days cluster within the February–May 2024 window, suggesting a sustained period of system strain rather than isolated one-off events. Across the full dataset, 628 of 720 days (87.2%) recorded a positive backlog, while 86 days (12.0%) recorded a negative backlog </w:t>
      </w:r>
      <w:r w:rsidRPr="00E15BEA">
        <w:rPr>
          <w:rFonts w:ascii="Times New Roman" w:hAnsi="Times New Roman" w:cs="Times New Roman"/>
        </w:rPr>
        <w:lastRenderedPageBreak/>
        <w:t>— meaning more children exited the pipeline than entered it, indicating the system was actively working down prior accumulation. Figure 2 plots the full backlog trend.</w:t>
      </w:r>
    </w:p>
    <w:p w14:paraId="0E2C321A"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08DD529D" wp14:editId="2DB715D2">
            <wp:extent cx="5667375" cy="2476500"/>
            <wp:effectExtent l="0" t="0" r="0" b="0"/>
            <wp:docPr id="140443642"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476500"/>
                    </a:xfrm>
                    <a:prstGeom prst="rect">
                      <a:avLst/>
                    </a:prstGeom>
                  </pic:spPr>
                </pic:pic>
              </a:graphicData>
            </a:graphic>
          </wp:inline>
        </w:drawing>
      </w:r>
    </w:p>
    <w:p w14:paraId="508ABCED"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2. Transfer Backlog over time, showing the concentrated 2024 strain period.</w:t>
      </w:r>
    </w:p>
    <w:p w14:paraId="757EB3C0" w14:textId="77777777" w:rsidR="009D6C83" w:rsidRPr="007A2777" w:rsidRDefault="00830EFB">
      <w:pPr>
        <w:pStyle w:val="Heading2"/>
        <w:rPr>
          <w:rFonts w:ascii="Times New Roman" w:hAnsi="Times New Roman" w:cs="Times New Roman"/>
          <w:color w:val="auto"/>
        </w:rPr>
      </w:pPr>
      <w:bookmarkStart w:id="24" w:name="_Toc232714620"/>
      <w:r w:rsidRPr="007A2777">
        <w:rPr>
          <w:rFonts w:ascii="Times New Roman" w:hAnsi="Times New Roman" w:cs="Times New Roman"/>
          <w:color w:val="auto"/>
        </w:rPr>
        <w:t>3.5 Warning Alerts and Stagnation</w:t>
      </w:r>
      <w:bookmarkEnd w:id="24"/>
    </w:p>
    <w:p w14:paraId="18C2BCEC"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Of the 720 total observation days, 175 (24.3%) were flagged with a Warning alert under the operational threshold criteria, while the remaining 545 days (75.7%) were classified as Normal. Separately, 155 days (21.5%) fell within a stagnation period of five or more consecutive low-efficiency days, with the longest single stagnation streak lasting 7 consecutive days. The average stagnation period length across all days was 1.69 days, indicating that while short dips in efficiency are common, sustained multi-day stagnation events of five-plus days remain a meaningful minority of total operating days. Figure 7 visualizes stagnation periods over time relative to the five-day threshold.</w:t>
      </w:r>
    </w:p>
    <w:p w14:paraId="01D65A11"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63CCE963" wp14:editId="47225B79">
            <wp:extent cx="5667375" cy="2486025"/>
            <wp:effectExtent l="0" t="0" r="0" b="0"/>
            <wp:docPr id="1578765326"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486025"/>
                    </a:xfrm>
                    <a:prstGeom prst="rect">
                      <a:avLst/>
                    </a:prstGeom>
                  </pic:spPr>
                </pic:pic>
              </a:graphicData>
            </a:graphic>
          </wp:inline>
        </w:drawing>
      </w:r>
    </w:p>
    <w:p w14:paraId="1749F7B9"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7. Stagnation Period over time, with detected stagnation days (5+ consecutive days) highlighted.</w:t>
      </w:r>
    </w:p>
    <w:p w14:paraId="0BB13ADF" w14:textId="77777777" w:rsidR="009D6C83" w:rsidRPr="007A2777" w:rsidRDefault="00830EFB">
      <w:pPr>
        <w:pStyle w:val="Heading2"/>
        <w:rPr>
          <w:rFonts w:ascii="Times New Roman" w:hAnsi="Times New Roman" w:cs="Times New Roman"/>
          <w:color w:val="auto"/>
        </w:rPr>
      </w:pPr>
      <w:bookmarkStart w:id="25" w:name="_Toc232714621"/>
      <w:r w:rsidRPr="007A2777">
        <w:rPr>
          <w:rFonts w:ascii="Times New Roman" w:hAnsi="Times New Roman" w:cs="Times New Roman"/>
          <w:color w:val="auto"/>
        </w:rPr>
        <w:lastRenderedPageBreak/>
        <w:t>3.6 Outcome Stability</w:t>
      </w:r>
      <w:bookmarkEnd w:id="25"/>
    </w:p>
    <w:p w14:paraId="292C2C25" w14:textId="77777777" w:rsidR="009D6C83" w:rsidRDefault="00830EFB">
      <w:pPr>
        <w:spacing w:after="160" w:line="360" w:lineRule="auto"/>
        <w:jc w:val="both"/>
        <w:rPr>
          <w:rFonts w:ascii="Times New Roman" w:hAnsi="Times New Roman" w:cs="Times New Roman"/>
        </w:rPr>
      </w:pPr>
      <w:r w:rsidRPr="00E15BEA">
        <w:rPr>
          <w:rFonts w:ascii="Times New Roman" w:hAnsi="Times New Roman" w:cs="Times New Roman"/>
        </w:rPr>
        <w:t>Rolling Discharge Effectiveness — a smoothed version of the raw discharge effectiveness metric — averaged 0.0238 with a standard deviation of 0.0119, slightly lower than the raw metric's standard deviation of 0.0133. This modest reduction in variability after smoothing suggests that a portion of the volatility in raw discharge effectiveness reflects short-term noise rather than persistent structural instability, though the underlying signal still exhibits meaningful drift over the period, as shown in Figure 6.</w:t>
      </w:r>
    </w:p>
    <w:p w14:paraId="6813049A" w14:textId="77777777" w:rsidR="000D517E" w:rsidRPr="000D517E" w:rsidRDefault="000D517E">
      <w:pPr>
        <w:spacing w:after="160" w:line="360" w:lineRule="auto"/>
        <w:jc w:val="both"/>
        <w:rPr>
          <w:rFonts w:ascii="Times New Roman" w:hAnsi="Times New Roman" w:cs="Times New Roman"/>
          <w:sz w:val="2"/>
          <w:szCs w:val="2"/>
        </w:rPr>
      </w:pPr>
    </w:p>
    <w:p w14:paraId="1EA64496"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0C1C0900" wp14:editId="2A9208E3">
            <wp:extent cx="5667375" cy="2476500"/>
            <wp:effectExtent l="0" t="0" r="0" b="0"/>
            <wp:docPr id="153407186"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2476500"/>
                    </a:xfrm>
                    <a:prstGeom prst="rect">
                      <a:avLst/>
                    </a:prstGeom>
                  </pic:spPr>
                </pic:pic>
              </a:graphicData>
            </a:graphic>
          </wp:inline>
        </w:drawing>
      </w:r>
    </w:p>
    <w:p w14:paraId="6BA1EA5C" w14:textId="77777777" w:rsidR="009D6C83" w:rsidRDefault="00830EFB">
      <w:pPr>
        <w:spacing w:before="80" w:after="240"/>
        <w:jc w:val="center"/>
        <w:rPr>
          <w:rFonts w:ascii="Times New Roman" w:hAnsi="Times New Roman" w:cs="Times New Roman"/>
          <w:i/>
          <w:iCs/>
          <w:color w:val="555555"/>
          <w:sz w:val="20"/>
          <w:szCs w:val="20"/>
        </w:rPr>
      </w:pPr>
      <w:r w:rsidRPr="00E15BEA">
        <w:rPr>
          <w:rFonts w:ascii="Times New Roman" w:hAnsi="Times New Roman" w:cs="Times New Roman"/>
          <w:i/>
          <w:iCs/>
          <w:color w:val="555555"/>
          <w:sz w:val="20"/>
          <w:szCs w:val="20"/>
        </w:rPr>
        <w:t>Figure 6. Rolling Discharge Effectiveness with a ±1 standard deviation stability band.</w:t>
      </w:r>
    </w:p>
    <w:p w14:paraId="55DADAA3" w14:textId="77777777" w:rsidR="000D517E" w:rsidRPr="000D517E" w:rsidRDefault="000D517E">
      <w:pPr>
        <w:spacing w:before="80" w:after="240"/>
        <w:jc w:val="center"/>
        <w:rPr>
          <w:rFonts w:ascii="Times New Roman" w:hAnsi="Times New Roman" w:cs="Times New Roman"/>
          <w:sz w:val="2"/>
          <w:szCs w:val="2"/>
        </w:rPr>
      </w:pPr>
    </w:p>
    <w:p w14:paraId="3DA8AA48" w14:textId="77777777" w:rsidR="009D6C83" w:rsidRPr="007A2777" w:rsidRDefault="00830EFB">
      <w:pPr>
        <w:pStyle w:val="Heading2"/>
        <w:rPr>
          <w:rFonts w:ascii="Times New Roman" w:hAnsi="Times New Roman" w:cs="Times New Roman"/>
          <w:color w:val="auto"/>
        </w:rPr>
      </w:pPr>
      <w:bookmarkStart w:id="26" w:name="_Toc232714622"/>
      <w:r w:rsidRPr="007A2777">
        <w:rPr>
          <w:rFonts w:ascii="Times New Roman" w:hAnsi="Times New Roman" w:cs="Times New Roman"/>
          <w:color w:val="auto"/>
        </w:rPr>
        <w:t>3.7 Weekday Versus Weekend Performance</w:t>
      </w:r>
      <w:bookmarkEnd w:id="26"/>
    </w:p>
    <w:p w14:paraId="0A996480"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Average Transfer Efficiency on weekdays was 0.689, compared to 0.700 on weekends — a difference of only 0.011 (1.6%), with weekend efficiency marginally higher rather than lower. This result runs counter to the common hypothesis that reduced weekend staffing slows CBP-to-HHS transfers; if anything, the data suggest the pipeline maintains operational consistency across the full week. Figure 4 breaks this comparison down further by individual day of week.</w:t>
      </w:r>
    </w:p>
    <w:p w14:paraId="39B13BE5"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lastRenderedPageBreak/>
        <w:drawing>
          <wp:inline distT="0" distB="0" distL="0" distR="0" wp14:anchorId="3F6BB5AC" wp14:editId="709A5BEE">
            <wp:extent cx="5301176" cy="2316480"/>
            <wp:effectExtent l="0" t="0" r="0" b="7620"/>
            <wp:docPr id="1439319943"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13884" cy="2322033"/>
                    </a:xfrm>
                    <a:prstGeom prst="rect">
                      <a:avLst/>
                    </a:prstGeom>
                  </pic:spPr>
                </pic:pic>
              </a:graphicData>
            </a:graphic>
          </wp:inline>
        </w:drawing>
      </w:r>
    </w:p>
    <w:p w14:paraId="5F539F46"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4. Average Transfer Efficiency by day of week.</w:t>
      </w:r>
    </w:p>
    <w:p w14:paraId="26122D87"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Thursday recorded the highest average efficiency (0.733) among weekdays, while Monday recorded the lowest (0.661). It is noted as a data quality observation that no Saturday-dated records appear in the dataset; this gap is discussed further in Section 5.2 (Limitations).</w:t>
      </w:r>
    </w:p>
    <w:p w14:paraId="22695981" w14:textId="77777777" w:rsidR="009D6C83" w:rsidRPr="007A2777" w:rsidRDefault="00830EFB">
      <w:pPr>
        <w:pStyle w:val="Heading2"/>
        <w:rPr>
          <w:rFonts w:ascii="Times New Roman" w:hAnsi="Times New Roman" w:cs="Times New Roman"/>
          <w:color w:val="auto"/>
        </w:rPr>
      </w:pPr>
      <w:bookmarkStart w:id="27" w:name="_Toc232714623"/>
      <w:r w:rsidRPr="007A2777">
        <w:rPr>
          <w:rFonts w:ascii="Times New Roman" w:hAnsi="Times New Roman" w:cs="Times New Roman"/>
          <w:color w:val="auto"/>
        </w:rPr>
        <w:t>3.8 Monthly and Seasonal Trends</w:t>
      </w:r>
      <w:bookmarkEnd w:id="27"/>
    </w:p>
    <w:p w14:paraId="3E9B6BF3"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Aggregating discharges by calendar month across all 36 months in the dataset reveals substantial month-over-month variation, with monthly discharge volume ranging from a low of 144 children (December 2025) to a peak of 7,658 children (October 2023), against an average of approximately 3,468 children discharged per month. Figure 5 shows the full monthly series.</w:t>
      </w:r>
    </w:p>
    <w:p w14:paraId="6B892B0E"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0BFD0264" wp14:editId="04517E1D">
            <wp:extent cx="5667375" cy="2476500"/>
            <wp:effectExtent l="0" t="0" r="0" b="0"/>
            <wp:docPr id="2869126"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2476500"/>
                    </a:xfrm>
                    <a:prstGeom prst="rect">
                      <a:avLst/>
                    </a:prstGeom>
                  </pic:spPr>
                </pic:pic>
              </a:graphicData>
            </a:graphic>
          </wp:inline>
        </w:drawing>
      </w:r>
    </w:p>
    <w:p w14:paraId="0845B9DE"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5. Monthly discharge volume, January 2023 – December 2025.</w:t>
      </w:r>
    </w:p>
    <w:p w14:paraId="75F81DD6"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pronounced decline in discharge volume across the final months of the observation window (mid-to-late 2025) is one of the most policy-relevant patterns in the dataset and is examined further in Section 4.</w:t>
      </w:r>
    </w:p>
    <w:p w14:paraId="4A9D90AE" w14:textId="77777777" w:rsidR="009D6C83" w:rsidRPr="007A2777" w:rsidRDefault="00830EFB">
      <w:pPr>
        <w:pStyle w:val="Heading2"/>
        <w:rPr>
          <w:rFonts w:ascii="Times New Roman" w:hAnsi="Times New Roman" w:cs="Times New Roman"/>
          <w:color w:val="auto"/>
        </w:rPr>
      </w:pPr>
      <w:bookmarkStart w:id="28" w:name="_Toc232714624"/>
      <w:r w:rsidRPr="007A2777">
        <w:rPr>
          <w:rFonts w:ascii="Times New Roman" w:hAnsi="Times New Roman" w:cs="Times New Roman"/>
          <w:color w:val="auto"/>
        </w:rPr>
        <w:lastRenderedPageBreak/>
        <w:t>3.9 Correlation Structure Among Pipeline Metrics</w:t>
      </w:r>
      <w:bookmarkEnd w:id="28"/>
    </w:p>
    <w:p w14:paraId="19C43975"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To understand how the core KPIs relate to one another, a correlation matrix was computed across Transfer Efficiency, Discharge Effectiveness, Transfer Backlog, Pipeline Throughput, HHS Care Load Ratio, and Stagnation Period (Figure 8).</w:t>
      </w:r>
    </w:p>
    <w:p w14:paraId="17DCF39B" w14:textId="77777777" w:rsidR="009D6C83" w:rsidRPr="00E15BEA" w:rsidRDefault="00830EFB">
      <w:pPr>
        <w:spacing w:before="120" w:after="40"/>
        <w:jc w:val="center"/>
        <w:rPr>
          <w:rFonts w:ascii="Times New Roman" w:hAnsi="Times New Roman" w:cs="Times New Roman"/>
        </w:rPr>
      </w:pPr>
      <w:r w:rsidRPr="00E15BEA">
        <w:rPr>
          <w:rFonts w:ascii="Times New Roman" w:hAnsi="Times New Roman" w:cs="Times New Roman"/>
          <w:noProof/>
        </w:rPr>
        <w:drawing>
          <wp:inline distT="0" distB="0" distL="0" distR="0" wp14:anchorId="455FD276" wp14:editId="0819CDFD">
            <wp:extent cx="4752975" cy="4191000"/>
            <wp:effectExtent l="0" t="0" r="0" b="0"/>
            <wp:docPr id="346578137"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52975" cy="4191000"/>
                    </a:xfrm>
                    <a:prstGeom prst="rect">
                      <a:avLst/>
                    </a:prstGeom>
                  </pic:spPr>
                </pic:pic>
              </a:graphicData>
            </a:graphic>
          </wp:inline>
        </w:drawing>
      </w:r>
    </w:p>
    <w:p w14:paraId="127A3A55" w14:textId="77777777"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Figure 8. Correlation matrix of key pipeline metrics.</w:t>
      </w:r>
    </w:p>
    <w:p w14:paraId="4011FF9A" w14:textId="25AFB03B" w:rsidR="009D6C83" w:rsidRDefault="00830EFB" w:rsidP="007A2777">
      <w:pPr>
        <w:spacing w:after="160" w:line="360" w:lineRule="auto"/>
        <w:jc w:val="both"/>
        <w:rPr>
          <w:rFonts w:ascii="Times New Roman" w:hAnsi="Times New Roman" w:cs="Times New Roman"/>
        </w:rPr>
      </w:pPr>
      <w:r w:rsidRPr="00E15BEA">
        <w:rPr>
          <w:rFonts w:ascii="Times New Roman" w:hAnsi="Times New Roman" w:cs="Times New Roman"/>
        </w:rPr>
        <w:t>Three relationships stand out. First, Discharge Effectiveness and HHS Care Load Ratio show a near-perfect inverse correlation (r = –1.00), which follows directly from their shared denominator (HHS care population) and confirms the two metrics are mathematically complementary rather than independently informative. Second, Stagnation Period is strongly negatively correlated with both Transfer Efficiency (r = –0.66) and Discharge Effectiveness (r = –0.80), confirming that stagnation events are not isolated to one stage of the pipeline but reflect broader systemic slowdowns spanning both CBP transfer and HHS discharge. Third, Stagnation Period is strongly positively correlated with HHS Care Load Ratio (r = 0.81), reinforcing that stagnation coincides with a swollen, slow-clearing HHS care population.</w:t>
      </w:r>
    </w:p>
    <w:p w14:paraId="77932A89" w14:textId="77777777" w:rsidR="000D517E" w:rsidRPr="00E15BEA" w:rsidRDefault="000D517E" w:rsidP="007A2777">
      <w:pPr>
        <w:spacing w:after="160" w:line="360" w:lineRule="auto"/>
        <w:jc w:val="both"/>
        <w:rPr>
          <w:rFonts w:ascii="Times New Roman" w:hAnsi="Times New Roman" w:cs="Times New Roman"/>
        </w:rPr>
      </w:pPr>
    </w:p>
    <w:p w14:paraId="0D877A9C" w14:textId="77777777" w:rsidR="009D6C83" w:rsidRPr="007A2777" w:rsidRDefault="00830EFB">
      <w:pPr>
        <w:pStyle w:val="Heading1"/>
        <w:rPr>
          <w:rFonts w:ascii="Times New Roman" w:hAnsi="Times New Roman" w:cs="Times New Roman"/>
          <w:color w:val="auto"/>
        </w:rPr>
      </w:pPr>
      <w:bookmarkStart w:id="29" w:name="_Toc232714625"/>
      <w:r w:rsidRPr="007A2777">
        <w:rPr>
          <w:rFonts w:ascii="Times New Roman" w:hAnsi="Times New Roman" w:cs="Times New Roman"/>
          <w:color w:val="auto"/>
        </w:rPr>
        <w:lastRenderedPageBreak/>
        <w:t>4. Discussion</w:t>
      </w:r>
      <w:bookmarkEnd w:id="29"/>
    </w:p>
    <w:p w14:paraId="217766F9" w14:textId="77777777" w:rsidR="009D6C83" w:rsidRPr="007A2777" w:rsidRDefault="00830EFB">
      <w:pPr>
        <w:pStyle w:val="Heading2"/>
        <w:rPr>
          <w:rFonts w:ascii="Times New Roman" w:hAnsi="Times New Roman" w:cs="Times New Roman"/>
          <w:color w:val="auto"/>
        </w:rPr>
      </w:pPr>
      <w:bookmarkStart w:id="30" w:name="_Toc232714626"/>
      <w:r w:rsidRPr="007A2777">
        <w:rPr>
          <w:rFonts w:ascii="Times New Roman" w:hAnsi="Times New Roman" w:cs="Times New Roman"/>
          <w:color w:val="auto"/>
        </w:rPr>
        <w:t>4.1 Interpreting Backlog Concentration</w:t>
      </w:r>
      <w:bookmarkEnd w:id="30"/>
    </w:p>
    <w:p w14:paraId="00AF7C71" w14:textId="77777777" w:rsidR="00C766DB" w:rsidRDefault="00830EFB">
      <w:pPr>
        <w:spacing w:after="160" w:line="360" w:lineRule="auto"/>
        <w:jc w:val="both"/>
        <w:rPr>
          <w:rFonts w:ascii="Times New Roman" w:hAnsi="Times New Roman" w:cs="Times New Roman"/>
        </w:rPr>
      </w:pPr>
      <w:r w:rsidRPr="00E15BEA">
        <w:rPr>
          <w:rFonts w:ascii="Times New Roman" w:hAnsi="Times New Roman" w:cs="Times New Roman"/>
        </w:rPr>
        <w:t xml:space="preserve">The concentration of the five most severe backlog days within a four-month window (February–May 2024) suggests that backlog accumulation in this system tends to behave as a sustained episode rather than a series of disconnected spikes. This has a direct operational implication: interventions designed around single-day anomaly detection are likely to under-respond to the kind of multi-week strain period that drives the most severe outcomes. </w:t>
      </w:r>
    </w:p>
    <w:p w14:paraId="7CB6300D" w14:textId="383FBFD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A monitoring approach that tracks rolling backlog trends — rather than only daily snapshots — is better suited to catching this pattern early, which is the rationale behind the rolling-metric and stability-band visualizations included in the accompanying dashboard.</w:t>
      </w:r>
    </w:p>
    <w:p w14:paraId="745E5B81" w14:textId="77777777" w:rsidR="009D6C83" w:rsidRPr="007A2777" w:rsidRDefault="00830EFB">
      <w:pPr>
        <w:pStyle w:val="Heading2"/>
        <w:rPr>
          <w:rFonts w:ascii="Times New Roman" w:hAnsi="Times New Roman" w:cs="Times New Roman"/>
          <w:color w:val="auto"/>
        </w:rPr>
      </w:pPr>
      <w:bookmarkStart w:id="31" w:name="_Toc232714627"/>
      <w:r w:rsidRPr="007A2777">
        <w:rPr>
          <w:rFonts w:ascii="Times New Roman" w:hAnsi="Times New Roman" w:cs="Times New Roman"/>
          <w:color w:val="auto"/>
        </w:rPr>
        <w:t>4.2 The Late-Period Discharge Decline</w:t>
      </w:r>
      <w:bookmarkEnd w:id="31"/>
    </w:p>
    <w:p w14:paraId="62E95C92"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The marked drop in monthly discharge volume toward the end of the observation period (2025) is the most consequential trend identified in this study from a policy standpoint. Because discharge volume is the system's primary humanitarian output — each discharge represents a child reunified with a sponsor — a sustained decline in this metric, even if accompanied by a correspondingly lower intake volume, warrants direct operational attention rather than being read as simply a function of lower overall system load. Disentangling whether this decline reflects reduced intake (a demand-side explanation) or reduced processing capacity (a supply-side explanation) is identified as a priority for the policy recommendations in Section 6.</w:t>
      </w:r>
    </w:p>
    <w:p w14:paraId="2D913EDB" w14:textId="77777777" w:rsidR="009D6C83" w:rsidRPr="007A2777" w:rsidRDefault="00830EFB">
      <w:pPr>
        <w:pStyle w:val="Heading2"/>
        <w:rPr>
          <w:rFonts w:ascii="Times New Roman" w:hAnsi="Times New Roman" w:cs="Times New Roman"/>
          <w:color w:val="auto"/>
        </w:rPr>
      </w:pPr>
      <w:bookmarkStart w:id="32" w:name="_Toc232714628"/>
      <w:r w:rsidRPr="007A2777">
        <w:rPr>
          <w:rFonts w:ascii="Times New Roman" w:hAnsi="Times New Roman" w:cs="Times New Roman"/>
          <w:color w:val="auto"/>
        </w:rPr>
        <w:t>4.3 Weekday/Weekend Parity as a Positive Operational Signal</w:t>
      </w:r>
      <w:bookmarkEnd w:id="32"/>
    </w:p>
    <w:p w14:paraId="55596495" w14:textId="77777777" w:rsidR="00C766DB"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 xml:space="preserve">The near-identical performance between weekdays and weekends (a 1.6% difference, with weekends marginally outperforming weekdays) is a notably positive finding. It suggests that, unlike many staffing-dependent administrative processes, the CBP-to-HHS transfer function does not suffer from a weekend staffing gap. </w:t>
      </w:r>
    </w:p>
    <w:p w14:paraId="38252E07" w14:textId="720F7070" w:rsidR="009D6C83"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This finding should inform resource allocation discussions: it indicates that further efficiency gains are unlikely to come primarily from weekend-specific staffing interventions, and that other factors — such as intake volume spikes, sponsor vetting delays, or shelter capacity constraints — are more probable drivers of the backlog and stagnation patterns identified elsewhere in this study.</w:t>
      </w:r>
    </w:p>
    <w:p w14:paraId="76FD65F2" w14:textId="77777777" w:rsidR="00C766DB" w:rsidRPr="007A2777" w:rsidRDefault="00C766DB">
      <w:pPr>
        <w:spacing w:after="160" w:line="360" w:lineRule="auto"/>
        <w:jc w:val="both"/>
        <w:rPr>
          <w:rFonts w:ascii="Times New Roman" w:hAnsi="Times New Roman" w:cs="Times New Roman"/>
          <w:color w:val="auto"/>
        </w:rPr>
      </w:pPr>
    </w:p>
    <w:p w14:paraId="05638D8D" w14:textId="77777777" w:rsidR="009D6C83" w:rsidRPr="007A2777" w:rsidRDefault="00830EFB">
      <w:pPr>
        <w:pStyle w:val="Heading2"/>
        <w:rPr>
          <w:rFonts w:ascii="Times New Roman" w:hAnsi="Times New Roman" w:cs="Times New Roman"/>
          <w:color w:val="auto"/>
        </w:rPr>
      </w:pPr>
      <w:bookmarkStart w:id="33" w:name="_Toc232714629"/>
      <w:r w:rsidRPr="007A2777">
        <w:rPr>
          <w:rFonts w:ascii="Times New Roman" w:hAnsi="Times New Roman" w:cs="Times New Roman"/>
          <w:color w:val="auto"/>
        </w:rPr>
        <w:lastRenderedPageBreak/>
        <w:t>4.4 Redundancy in Stability Metrics</w:t>
      </w:r>
      <w:bookmarkEnd w:id="33"/>
    </w:p>
    <w:p w14:paraId="573A06E1" w14:textId="77777777" w:rsidR="009D6C83" w:rsidRDefault="00830EFB">
      <w:pPr>
        <w:spacing w:after="160" w:line="360" w:lineRule="auto"/>
        <w:jc w:val="both"/>
        <w:rPr>
          <w:rFonts w:ascii="Times New Roman" w:hAnsi="Times New Roman" w:cs="Times New Roman"/>
          <w:sz w:val="25"/>
          <w:szCs w:val="25"/>
        </w:rPr>
      </w:pPr>
      <w:r w:rsidRPr="00E15BEA">
        <w:rPr>
          <w:rFonts w:ascii="Times New Roman" w:hAnsi="Times New Roman" w:cs="Times New Roman"/>
        </w:rPr>
        <w:t>The near-perfect inverse correlation between Discharge Effectiveness and HHS Care Load Ratio (r = –1.00) indicates these two metrics carry largely overlapping information by construction. For future iterations of this analytics framework, it may be more efficient to retain only one of these two metrics as a primary KPI and treat the other as a derived or supporting diagnostic, reducing redundancy in dashboard reporting without losing analytical coverage.</w:t>
      </w:r>
    </w:p>
    <w:p w14:paraId="2C26A9E8" w14:textId="77777777" w:rsidR="005F3E5B" w:rsidRDefault="0018681F" w:rsidP="005F3E5B">
      <w:pPr>
        <w:spacing w:after="160" w:line="276" w:lineRule="auto"/>
        <w:jc w:val="both"/>
        <w:rPr>
          <w:rFonts w:ascii="Times New Roman" w:hAnsi="Times New Roman" w:cs="Times New Roman"/>
          <w:b/>
          <w:bCs/>
        </w:rPr>
      </w:pPr>
      <w:r w:rsidRPr="0018681F">
        <w:rPr>
          <w:rFonts w:ascii="Times New Roman" w:hAnsi="Times New Roman" w:cs="Times New Roman"/>
          <w:b/>
          <w:bCs/>
          <w:sz w:val="25"/>
          <w:szCs w:val="25"/>
        </w:rPr>
        <w:t>4.</w:t>
      </w:r>
      <w:r w:rsidR="003807D9">
        <w:rPr>
          <w:rFonts w:ascii="Times New Roman" w:hAnsi="Times New Roman" w:cs="Times New Roman"/>
          <w:b/>
          <w:bCs/>
          <w:sz w:val="25"/>
          <w:szCs w:val="25"/>
        </w:rPr>
        <w:t>5</w:t>
      </w:r>
      <w:r w:rsidRPr="0018681F">
        <w:rPr>
          <w:rFonts w:ascii="Times New Roman" w:hAnsi="Times New Roman" w:cs="Times New Roman"/>
          <w:b/>
          <w:bCs/>
          <w:sz w:val="25"/>
          <w:szCs w:val="25"/>
        </w:rPr>
        <w:t xml:space="preserve"> Year-over-Year Performance Evaluatio</w:t>
      </w:r>
      <w:r w:rsidR="0048709E">
        <w:rPr>
          <w:rFonts w:ascii="Times New Roman" w:hAnsi="Times New Roman" w:cs="Times New Roman"/>
          <w:b/>
          <w:bCs/>
          <w:sz w:val="25"/>
          <w:szCs w:val="25"/>
        </w:rPr>
        <w:t>n</w:t>
      </w:r>
      <w:r w:rsidR="0048709E" w:rsidRPr="005F3E5B">
        <w:rPr>
          <w:rFonts w:ascii="Times New Roman" w:hAnsi="Times New Roman" w:cs="Times New Roman"/>
          <w:b/>
          <w:bCs/>
        </w:rPr>
        <w:t xml:space="preserve"> </w:t>
      </w:r>
    </w:p>
    <w:p w14:paraId="1E91C147" w14:textId="699FA26A" w:rsidR="0018681F" w:rsidRPr="005F3E5B" w:rsidRDefault="0018681F" w:rsidP="0018681F">
      <w:pPr>
        <w:spacing w:after="160" w:line="360" w:lineRule="auto"/>
        <w:jc w:val="both"/>
        <w:rPr>
          <w:rFonts w:ascii="Times New Roman" w:hAnsi="Times New Roman" w:cs="Times New Roman"/>
          <w:b/>
          <w:bCs/>
        </w:rPr>
      </w:pPr>
      <w:r w:rsidRPr="0018681F">
        <w:rPr>
          <w:rFonts w:ascii="Times New Roman" w:hAnsi="Times New Roman" w:cs="Times New Roman"/>
        </w:rPr>
        <w:t>A year-over-year comparison of operational metrics revealed a gradual deterioration in overall pipeline performance between 2023 and 2025. Transfer Efficiency declined from 0.83 in 2023 to 0.46 in 2025, while Discharge Effectiveness decreased from 0.033 to 0.009 during the same period. Warning Days increased substantially from 7 in 2023 to 156 in 2025, and Stagnation Days rose from zero to 155 days.</w:t>
      </w:r>
    </w:p>
    <w:p w14:paraId="58B08799" w14:textId="77777777" w:rsidR="0018681F" w:rsidRPr="0018681F" w:rsidRDefault="0018681F" w:rsidP="0018681F">
      <w:pPr>
        <w:spacing w:after="160" w:line="360" w:lineRule="auto"/>
        <w:jc w:val="both"/>
        <w:rPr>
          <w:rFonts w:ascii="Times New Roman" w:hAnsi="Times New Roman" w:cs="Times New Roman"/>
        </w:rPr>
      </w:pPr>
      <w:r w:rsidRPr="0018681F">
        <w:rPr>
          <w:rFonts w:ascii="Times New Roman" w:hAnsi="Times New Roman" w:cs="Times New Roman"/>
        </w:rPr>
        <w:t>These findings suggest that operational strain became increasingly concentrated toward the later stages of the observation period. While backlog levels improved in 2025 relative to 2024, the simultaneous decline in transfer and discharge performance indicates that reduced throughput may have contributed to lower system activity rather than improved efficiency. The year-over-year analysis therefore provides an important long-term perspective that complements the daily and monthly analyses presented throughout this study.</w:t>
      </w:r>
    </w:p>
    <w:p w14:paraId="7977D0B0" w14:textId="356B33C9" w:rsidR="0018681F" w:rsidRDefault="00B65D0F">
      <w:pPr>
        <w:spacing w:after="160" w:line="360" w:lineRule="auto"/>
        <w:jc w:val="both"/>
        <w:rPr>
          <w:rFonts w:ascii="Times New Roman" w:hAnsi="Times New Roman" w:cs="Times New Roman"/>
          <w:sz w:val="25"/>
          <w:szCs w:val="25"/>
        </w:rPr>
      </w:pPr>
      <w:r w:rsidRPr="00B65D0F">
        <w:rPr>
          <w:rFonts w:ascii="Times New Roman" w:hAnsi="Times New Roman" w:cs="Times New Roman"/>
          <w:noProof/>
          <w:sz w:val="25"/>
          <w:szCs w:val="25"/>
        </w:rPr>
        <w:drawing>
          <wp:inline distT="0" distB="0" distL="0" distR="0" wp14:anchorId="6CAE761E" wp14:editId="0EAE53BC">
            <wp:extent cx="5943600" cy="2091055"/>
            <wp:effectExtent l="0" t="0" r="0" b="4445"/>
            <wp:docPr id="60642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21230" name=""/>
                    <pic:cNvPicPr/>
                  </pic:nvPicPr>
                  <pic:blipFill>
                    <a:blip r:embed="rId18"/>
                    <a:stretch>
                      <a:fillRect/>
                    </a:stretch>
                  </pic:blipFill>
                  <pic:spPr>
                    <a:xfrm>
                      <a:off x="0" y="0"/>
                      <a:ext cx="5943600" cy="2091055"/>
                    </a:xfrm>
                    <a:prstGeom prst="rect">
                      <a:avLst/>
                    </a:prstGeom>
                  </pic:spPr>
                </pic:pic>
              </a:graphicData>
            </a:graphic>
          </wp:inline>
        </w:drawing>
      </w:r>
    </w:p>
    <w:p w14:paraId="306095D2" w14:textId="46C7A7B3" w:rsidR="00B65D0F" w:rsidRPr="00B65D0F" w:rsidRDefault="00B65D0F" w:rsidP="00B65D0F">
      <w:pPr>
        <w:spacing w:after="160" w:line="360" w:lineRule="auto"/>
        <w:jc w:val="center"/>
        <w:rPr>
          <w:rFonts w:ascii="Times New Roman" w:hAnsi="Times New Roman" w:cs="Times New Roman"/>
          <w:i/>
          <w:iCs/>
          <w:color w:val="595959" w:themeColor="text1" w:themeTint="A6"/>
          <w:sz w:val="18"/>
          <w:szCs w:val="18"/>
        </w:rPr>
      </w:pPr>
      <w:r w:rsidRPr="00B65D0F">
        <w:rPr>
          <w:rFonts w:ascii="Times New Roman" w:hAnsi="Times New Roman" w:cs="Times New Roman"/>
          <w:i/>
          <w:iCs/>
          <w:color w:val="595959" w:themeColor="text1" w:themeTint="A6"/>
          <w:sz w:val="18"/>
          <w:szCs w:val="18"/>
        </w:rPr>
        <w:t xml:space="preserve">Fig </w:t>
      </w:r>
      <w:r>
        <w:rPr>
          <w:rFonts w:ascii="Times New Roman" w:hAnsi="Times New Roman" w:cs="Times New Roman"/>
          <w:i/>
          <w:iCs/>
          <w:color w:val="595959" w:themeColor="text1" w:themeTint="A6"/>
          <w:sz w:val="18"/>
          <w:szCs w:val="18"/>
        </w:rPr>
        <w:t>9.</w:t>
      </w:r>
      <w:r w:rsidRPr="00B65D0F">
        <w:rPr>
          <w:rFonts w:ascii="Times New Roman" w:hAnsi="Times New Roman" w:cs="Times New Roman"/>
          <w:i/>
          <w:iCs/>
          <w:color w:val="595959" w:themeColor="text1" w:themeTint="A6"/>
          <w:sz w:val="18"/>
          <w:szCs w:val="18"/>
        </w:rPr>
        <w:t xml:space="preserve"> Year-over-Year KPI Comparison Dashboard showing annual performance trends across key operational indicators from 2023 to 2025.</w:t>
      </w:r>
    </w:p>
    <w:p w14:paraId="6826C977" w14:textId="7B358C49" w:rsidR="009D6C83" w:rsidRPr="00E15BEA" w:rsidRDefault="00B65D0F">
      <w:pPr>
        <w:rPr>
          <w:rFonts w:ascii="Times New Roman" w:hAnsi="Times New Roman" w:cs="Times New Roman"/>
        </w:rPr>
      </w:pPr>
      <w:r w:rsidRPr="00B65D0F">
        <w:rPr>
          <w:rFonts w:ascii="Times New Roman" w:hAnsi="Times New Roman" w:cs="Times New Roman"/>
        </w:rPr>
        <w:t xml:space="preserve">Figure </w:t>
      </w:r>
      <w:r w:rsidR="00A4790E">
        <w:rPr>
          <w:rFonts w:ascii="Times New Roman" w:hAnsi="Times New Roman" w:cs="Times New Roman"/>
        </w:rPr>
        <w:t>9.</w:t>
      </w:r>
      <w:r w:rsidRPr="00B65D0F">
        <w:rPr>
          <w:rFonts w:ascii="Times New Roman" w:hAnsi="Times New Roman" w:cs="Times New Roman"/>
        </w:rPr>
        <w:t xml:space="preserve"> illustrates annual changes in Transfer Efficiency,</w:t>
      </w:r>
      <w:r>
        <w:rPr>
          <w:rFonts w:ascii="Times New Roman" w:hAnsi="Times New Roman" w:cs="Times New Roman"/>
        </w:rPr>
        <w:t xml:space="preserve"> </w:t>
      </w:r>
      <w:r w:rsidRPr="00B65D0F">
        <w:rPr>
          <w:rFonts w:ascii="Times New Roman" w:hAnsi="Times New Roman" w:cs="Times New Roman"/>
        </w:rPr>
        <w:t>Discharge Effectiveness, Warning Days,</w:t>
      </w:r>
      <w:r>
        <w:rPr>
          <w:rFonts w:ascii="Times New Roman" w:hAnsi="Times New Roman" w:cs="Times New Roman"/>
        </w:rPr>
        <w:t xml:space="preserve"> </w:t>
      </w:r>
      <w:r w:rsidRPr="00B65D0F">
        <w:rPr>
          <w:rFonts w:ascii="Times New Roman" w:hAnsi="Times New Roman" w:cs="Times New Roman"/>
        </w:rPr>
        <w:t>Stagnation Days,</w:t>
      </w:r>
      <w:r>
        <w:rPr>
          <w:rFonts w:ascii="Times New Roman" w:hAnsi="Times New Roman" w:cs="Times New Roman"/>
        </w:rPr>
        <w:t xml:space="preserve"> </w:t>
      </w:r>
      <w:r w:rsidRPr="00B65D0F">
        <w:rPr>
          <w:rFonts w:ascii="Times New Roman" w:hAnsi="Times New Roman" w:cs="Times New Roman"/>
        </w:rPr>
        <w:t>Backlog, Pipeline Throughput, HHS Population, and Total</w:t>
      </w:r>
      <w:r>
        <w:rPr>
          <w:rFonts w:ascii="Times New Roman" w:hAnsi="Times New Roman" w:cs="Times New Roman"/>
        </w:rPr>
        <w:t xml:space="preserve"> </w:t>
      </w:r>
      <w:r w:rsidRPr="00B65D0F">
        <w:rPr>
          <w:rFonts w:ascii="Times New Roman" w:hAnsi="Times New Roman" w:cs="Times New Roman"/>
        </w:rPr>
        <w:t>Discharges across the study</w:t>
      </w:r>
      <w:r>
        <w:rPr>
          <w:rFonts w:ascii="Times New Roman" w:hAnsi="Times New Roman" w:cs="Times New Roman"/>
        </w:rPr>
        <w:t xml:space="preserve"> </w:t>
      </w:r>
      <w:r w:rsidRPr="00B65D0F">
        <w:rPr>
          <w:rFonts w:ascii="Times New Roman" w:hAnsi="Times New Roman" w:cs="Times New Roman"/>
        </w:rPr>
        <w:t>period.</w:t>
      </w:r>
      <w:r w:rsidR="00830EFB" w:rsidRPr="00E15BEA">
        <w:rPr>
          <w:rFonts w:ascii="Times New Roman" w:hAnsi="Times New Roman" w:cs="Times New Roman"/>
        </w:rPr>
        <w:br w:type="page"/>
      </w:r>
    </w:p>
    <w:p w14:paraId="330BD15E" w14:textId="77777777" w:rsidR="009D6C83" w:rsidRPr="007A2777" w:rsidRDefault="00830EFB">
      <w:pPr>
        <w:pStyle w:val="Heading1"/>
        <w:rPr>
          <w:rFonts w:ascii="Times New Roman" w:hAnsi="Times New Roman" w:cs="Times New Roman"/>
          <w:color w:val="auto"/>
        </w:rPr>
      </w:pPr>
      <w:bookmarkStart w:id="34" w:name="_Toc232714630"/>
      <w:r w:rsidRPr="007A2777">
        <w:rPr>
          <w:rFonts w:ascii="Times New Roman" w:hAnsi="Times New Roman" w:cs="Times New Roman"/>
          <w:color w:val="auto"/>
        </w:rPr>
        <w:lastRenderedPageBreak/>
        <w:t>5. Limitations</w:t>
      </w:r>
      <w:bookmarkEnd w:id="34"/>
    </w:p>
    <w:p w14:paraId="676BD5A4" w14:textId="77777777" w:rsidR="009D6C83" w:rsidRPr="007A2777" w:rsidRDefault="00830EFB">
      <w:pPr>
        <w:pStyle w:val="Heading2"/>
        <w:rPr>
          <w:rFonts w:ascii="Times New Roman" w:hAnsi="Times New Roman" w:cs="Times New Roman"/>
          <w:color w:val="auto"/>
        </w:rPr>
      </w:pPr>
      <w:bookmarkStart w:id="35" w:name="_Toc232714631"/>
      <w:r w:rsidRPr="007A2777">
        <w:rPr>
          <w:rFonts w:ascii="Times New Roman" w:hAnsi="Times New Roman" w:cs="Times New Roman"/>
          <w:color w:val="auto"/>
        </w:rPr>
        <w:t>5.1 Data Granularity and Scope</w:t>
      </w:r>
      <w:bookmarkEnd w:id="35"/>
    </w:p>
    <w:p w14:paraId="2EEFF442"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This analysis is constrained to the six core daily fields provided in the cleaned dataset. It does not incorporate facility-level, regional, or individual-level data, which limits the ability to localize where in the geographic or organizational structure specific bottlenecks originate. Sponsor-side factors — such as vetting processing time or sponsor availability — are not separately observable in this dataset and can only be inferred indirectly through discharge effectiveness trends.</w:t>
      </w:r>
    </w:p>
    <w:p w14:paraId="467A4F3C" w14:textId="77777777" w:rsidR="009D6C83" w:rsidRPr="007A2777" w:rsidRDefault="00830EFB">
      <w:pPr>
        <w:pStyle w:val="Heading2"/>
        <w:rPr>
          <w:rFonts w:ascii="Times New Roman" w:hAnsi="Times New Roman" w:cs="Times New Roman"/>
          <w:color w:val="auto"/>
        </w:rPr>
      </w:pPr>
      <w:bookmarkStart w:id="36" w:name="_Toc232714632"/>
      <w:r w:rsidRPr="007A2777">
        <w:rPr>
          <w:rFonts w:ascii="Times New Roman" w:hAnsi="Times New Roman" w:cs="Times New Roman"/>
          <w:color w:val="auto"/>
        </w:rPr>
        <w:t>5.2 Data Quality Observation: Missing Saturday Records</w:t>
      </w:r>
      <w:bookmarkEnd w:id="36"/>
    </w:p>
    <w:p w14:paraId="5D3E80AB"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During temporal analysis, it was observed that the dataset contains zero records with a Saturday day-of-week designation across the entire 720-day period. Given that the date range spans approximately three full years, this is highly unlikely to occur by chance and instead points to either a systematic reporting gap or a date-generation artifact upstream of the cleaned dataset. This finding does not invalidate the weekday/weekend comparison presented in Section 3.7, since Saturdays are still represented within the broader weekend grouping derived from day-of-week classification logic; however, it does mean that the day-of-week breakdown in Figure 4 should be read as six observed day-types rather than a complete seven-day week, and it is recommended that this be investigated and corrected in any future data collection cycle.</w:t>
      </w:r>
    </w:p>
    <w:p w14:paraId="41DB1216" w14:textId="77777777" w:rsidR="009D6C83" w:rsidRPr="007A2777" w:rsidRDefault="00830EFB">
      <w:pPr>
        <w:pStyle w:val="Heading2"/>
        <w:rPr>
          <w:rFonts w:ascii="Times New Roman" w:hAnsi="Times New Roman" w:cs="Times New Roman"/>
          <w:color w:val="auto"/>
        </w:rPr>
      </w:pPr>
      <w:bookmarkStart w:id="37" w:name="_Toc232714633"/>
      <w:r w:rsidRPr="007A2777">
        <w:rPr>
          <w:rFonts w:ascii="Times New Roman" w:hAnsi="Times New Roman" w:cs="Times New Roman"/>
          <w:color w:val="auto"/>
        </w:rPr>
        <w:t>5.3 Negative Backlog Values</w:t>
      </w:r>
      <w:bookmarkEnd w:id="37"/>
    </w:p>
    <w:p w14:paraId="0C51BA66"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86 of 720 days (12.0%) recorded a negative Transfer Backlog value, with a minimum observed value of –73. While negative backlog is methodologically valid — representing days where exits exceeded entries — it does indicate that the backlog metric, as currently constructed, measures net daily flow imbalance rather than a strictly cumulative, non-negative queue length. Readers and future analysts should interpret backlog magnitude in this relative, flow-based sense rather than as an absolute count of children physically waiting in queue at any given moment.</w:t>
      </w:r>
    </w:p>
    <w:p w14:paraId="36689DD1" w14:textId="77777777" w:rsidR="009D6C83" w:rsidRPr="007A2777" w:rsidRDefault="00830EFB">
      <w:pPr>
        <w:pStyle w:val="Heading2"/>
        <w:rPr>
          <w:rFonts w:ascii="Times New Roman" w:hAnsi="Times New Roman" w:cs="Times New Roman"/>
          <w:color w:val="auto"/>
        </w:rPr>
      </w:pPr>
      <w:bookmarkStart w:id="38" w:name="_Toc232714634"/>
      <w:r w:rsidRPr="007A2777">
        <w:rPr>
          <w:rFonts w:ascii="Times New Roman" w:hAnsi="Times New Roman" w:cs="Times New Roman"/>
          <w:color w:val="auto"/>
        </w:rPr>
        <w:t>5.4 Outlier Sensitivity in Ratio Metrics</w:t>
      </w:r>
      <w:bookmarkEnd w:id="38"/>
    </w:p>
    <w:p w14:paraId="667B2EB2" w14:textId="77777777" w:rsidR="009D6C83"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Several ratio-based metrics, including Pipeline Throughput (maximum observed value of 16.0) and Transfer-to-Discharge Ratio (maximum observed value of 22.0), are highly sensitive to days with very low denominators, producing extreme outlier values that can distort simple mean-based summaries. All visualizations of these metrics in the accompanying dashboard and in this paper account for this by either capping the displayed range at a high percentile or by reporting the median alongside the mean.</w:t>
      </w:r>
    </w:p>
    <w:p w14:paraId="0A8D04BB" w14:textId="77777777" w:rsidR="00C766DB" w:rsidRPr="007A2777" w:rsidRDefault="00C766DB">
      <w:pPr>
        <w:spacing w:after="160" w:line="360" w:lineRule="auto"/>
        <w:jc w:val="both"/>
        <w:rPr>
          <w:rFonts w:ascii="Times New Roman" w:hAnsi="Times New Roman" w:cs="Times New Roman"/>
          <w:color w:val="auto"/>
        </w:rPr>
      </w:pPr>
    </w:p>
    <w:p w14:paraId="1EBB3F5A" w14:textId="77777777" w:rsidR="009D6C83" w:rsidRPr="007A2777" w:rsidRDefault="00830EFB">
      <w:pPr>
        <w:pStyle w:val="Heading2"/>
        <w:rPr>
          <w:rFonts w:ascii="Times New Roman" w:hAnsi="Times New Roman" w:cs="Times New Roman"/>
          <w:color w:val="auto"/>
        </w:rPr>
      </w:pPr>
      <w:bookmarkStart w:id="39" w:name="_Toc232714635"/>
      <w:r w:rsidRPr="007A2777">
        <w:rPr>
          <w:rFonts w:ascii="Times New Roman" w:hAnsi="Times New Roman" w:cs="Times New Roman"/>
          <w:color w:val="auto"/>
        </w:rPr>
        <w:lastRenderedPageBreak/>
        <w:t>5.5 Correlational, Not Causal, Findings</w:t>
      </w:r>
      <w:bookmarkEnd w:id="39"/>
    </w:p>
    <w:p w14:paraId="107A2DA0" w14:textId="77777777" w:rsidR="009D6C83" w:rsidRPr="007A2777" w:rsidRDefault="00830EFB">
      <w:pPr>
        <w:spacing w:after="160" w:line="360" w:lineRule="auto"/>
        <w:jc w:val="both"/>
        <w:rPr>
          <w:rFonts w:ascii="Times New Roman" w:hAnsi="Times New Roman" w:cs="Times New Roman"/>
          <w:color w:val="auto"/>
        </w:rPr>
      </w:pPr>
      <w:r w:rsidRPr="007A2777">
        <w:rPr>
          <w:rFonts w:ascii="Times New Roman" w:hAnsi="Times New Roman" w:cs="Times New Roman"/>
          <w:color w:val="auto"/>
        </w:rPr>
        <w:t>All relationships reported in Section 3.9 and discussed in Section 4 are correlational. This study does not employ a causal inference framework (e.g., difference-in-differences, instrumental variables, or controlled experimentation), and as such, findings such as the stagnation-to-discharge-effectiveness relationship should be interpreted as strong co-occurrence patterns warranting further investigation rather than established causal mechanisms.</w:t>
      </w:r>
    </w:p>
    <w:p w14:paraId="3A350301" w14:textId="77777777" w:rsidR="009D6C83" w:rsidRPr="007A2777" w:rsidRDefault="00830EFB">
      <w:pPr>
        <w:rPr>
          <w:rFonts w:ascii="Times New Roman" w:hAnsi="Times New Roman" w:cs="Times New Roman"/>
          <w:color w:val="auto"/>
        </w:rPr>
      </w:pPr>
      <w:r w:rsidRPr="007A2777">
        <w:rPr>
          <w:rFonts w:ascii="Times New Roman" w:hAnsi="Times New Roman" w:cs="Times New Roman"/>
          <w:color w:val="auto"/>
        </w:rPr>
        <w:br w:type="page"/>
      </w:r>
    </w:p>
    <w:p w14:paraId="1EC119D4" w14:textId="77777777" w:rsidR="009D6C83" w:rsidRPr="00F85319" w:rsidRDefault="00830EFB">
      <w:pPr>
        <w:pStyle w:val="Heading1"/>
        <w:rPr>
          <w:rFonts w:ascii="Times New Roman" w:hAnsi="Times New Roman" w:cs="Times New Roman"/>
          <w:color w:val="auto"/>
        </w:rPr>
      </w:pPr>
      <w:bookmarkStart w:id="40" w:name="_Toc232714636"/>
      <w:r w:rsidRPr="00F85319">
        <w:rPr>
          <w:rFonts w:ascii="Times New Roman" w:hAnsi="Times New Roman" w:cs="Times New Roman"/>
          <w:color w:val="auto"/>
        </w:rPr>
        <w:lastRenderedPageBreak/>
        <w:t xml:space="preserve">6. </w:t>
      </w:r>
      <w:proofErr w:type="spellStart"/>
      <w:r w:rsidRPr="00F85319">
        <w:rPr>
          <w:rFonts w:ascii="Times New Roman" w:hAnsi="Times New Roman" w:cs="Times New Roman"/>
          <w:color w:val="auto"/>
        </w:rPr>
        <w:t>Streamlit</w:t>
      </w:r>
      <w:proofErr w:type="spellEnd"/>
      <w:r w:rsidRPr="00F85319">
        <w:rPr>
          <w:rFonts w:ascii="Times New Roman" w:hAnsi="Times New Roman" w:cs="Times New Roman"/>
          <w:color w:val="auto"/>
        </w:rPr>
        <w:t xml:space="preserve"> Analytics Dashboard</w:t>
      </w:r>
      <w:bookmarkEnd w:id="40"/>
    </w:p>
    <w:p w14:paraId="71089309" w14:textId="3A124622" w:rsidR="009D6C83" w:rsidRPr="00F85319" w:rsidRDefault="00830EFB">
      <w:pPr>
        <w:spacing w:after="160" w:line="360" w:lineRule="auto"/>
        <w:jc w:val="both"/>
        <w:rPr>
          <w:rFonts w:ascii="Times New Roman" w:hAnsi="Times New Roman" w:cs="Times New Roman"/>
          <w:color w:val="auto"/>
        </w:rPr>
      </w:pPr>
      <w:r w:rsidRPr="00F85319">
        <w:rPr>
          <w:rFonts w:ascii="Times New Roman" w:hAnsi="Times New Roman" w:cs="Times New Roman"/>
          <w:color w:val="auto"/>
        </w:rPr>
        <w:t xml:space="preserve">To translate the findings of this study into an operational monitoring tool, an interactive </w:t>
      </w:r>
      <w:r w:rsidR="00814A3B">
        <w:rPr>
          <w:rFonts w:ascii="Times New Roman" w:hAnsi="Times New Roman" w:cs="Times New Roman"/>
          <w:color w:val="auto"/>
        </w:rPr>
        <w:t>ten</w:t>
      </w:r>
      <w:r w:rsidRPr="00F85319">
        <w:rPr>
          <w:rFonts w:ascii="Times New Roman" w:hAnsi="Times New Roman" w:cs="Times New Roman"/>
          <w:color w:val="auto"/>
        </w:rPr>
        <w:t xml:space="preserve">-page </w:t>
      </w:r>
      <w:proofErr w:type="spellStart"/>
      <w:r w:rsidRPr="00F85319">
        <w:rPr>
          <w:rFonts w:ascii="Times New Roman" w:hAnsi="Times New Roman" w:cs="Times New Roman"/>
          <w:color w:val="auto"/>
        </w:rPr>
        <w:t>Streamlit</w:t>
      </w:r>
      <w:proofErr w:type="spellEnd"/>
      <w:r w:rsidRPr="00F85319">
        <w:rPr>
          <w:rFonts w:ascii="Times New Roman" w:hAnsi="Times New Roman" w:cs="Times New Roman"/>
          <w:color w:val="auto"/>
        </w:rPr>
        <w:t xml:space="preserve"> web application was developed alongside this paper. The dashboard recomputes all KPIs live in response to a user-selected date range and is intended for use by case management staff, program administrators, and policy analysts.</w:t>
      </w:r>
    </w:p>
    <w:p w14:paraId="70FDA2DF" w14:textId="77777777" w:rsidR="009D6C83" w:rsidRPr="00F85319" w:rsidRDefault="00830EFB">
      <w:pPr>
        <w:pStyle w:val="Heading2"/>
        <w:rPr>
          <w:rFonts w:ascii="Times New Roman" w:hAnsi="Times New Roman" w:cs="Times New Roman"/>
          <w:color w:val="auto"/>
        </w:rPr>
      </w:pPr>
      <w:bookmarkStart w:id="41" w:name="_Toc232714637"/>
      <w:r w:rsidRPr="00F85319">
        <w:rPr>
          <w:rFonts w:ascii="Times New Roman" w:hAnsi="Times New Roman" w:cs="Times New Roman"/>
          <w:color w:val="auto"/>
        </w:rPr>
        <w:t>6.1 Core Modules</w:t>
      </w:r>
      <w:bookmarkEnd w:id="41"/>
    </w:p>
    <w:p w14:paraId="4D5E46B6"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Care Pipeline Flow Visualization — a Sankey diagram and stage-by-stage flow summary of the CBP → HHS → sponsor placement pipeline.</w:t>
      </w:r>
    </w:p>
    <w:p w14:paraId="34CB9E24"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Transfer and Discharge Efficiency Panels — dedicated pages for Transfer Efficiency and Discharge Effectiveness, including trend lines, monthly breakdowns, distribution histograms, and the Transfer-to-Discharge Ratio.</w:t>
      </w:r>
    </w:p>
    <w:p w14:paraId="027EA5BF"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Bottleneck Detection Charts — backlog trend visualization and a ranked table of the highest-backlog periods.</w:t>
      </w:r>
    </w:p>
    <w:p w14:paraId="4FA93B9F" w14:textId="77777777" w:rsidR="009D6C83"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Outcome Trend Analysis — rolling discharge effectiveness with a stability band, and a dedicated stagnation detection page with alert-zone shading.</w:t>
      </w:r>
    </w:p>
    <w:p w14:paraId="732001FF" w14:textId="28D19333" w:rsidR="00CC400B" w:rsidRDefault="00266EC6">
      <w:pPr>
        <w:pStyle w:val="ListParagraph"/>
        <w:numPr>
          <w:ilvl w:val="0"/>
          <w:numId w:val="2"/>
        </w:numPr>
        <w:spacing w:after="80" w:line="340" w:lineRule="auto"/>
        <w:rPr>
          <w:rFonts w:ascii="Times New Roman" w:hAnsi="Times New Roman" w:cs="Times New Roman"/>
          <w:color w:val="auto"/>
        </w:rPr>
      </w:pPr>
      <w:r w:rsidRPr="00266EC6">
        <w:rPr>
          <w:rFonts w:ascii="Times New Roman" w:hAnsi="Times New Roman" w:cs="Times New Roman"/>
          <w:color w:val="auto"/>
        </w:rPr>
        <w:t>Year-over-Year Performance Analysis — compares annual trends in key operational metrics to identify performance changes, emerging risks, and long-term pipeline efficiency patterns.</w:t>
      </w:r>
    </w:p>
    <w:p w14:paraId="2A611530" w14:textId="77777777" w:rsidR="009D6C83" w:rsidRPr="00F85319" w:rsidRDefault="00830EFB">
      <w:pPr>
        <w:pStyle w:val="Heading2"/>
        <w:rPr>
          <w:rFonts w:ascii="Times New Roman" w:hAnsi="Times New Roman" w:cs="Times New Roman"/>
          <w:color w:val="auto"/>
        </w:rPr>
      </w:pPr>
      <w:bookmarkStart w:id="42" w:name="_Toc232714638"/>
      <w:r w:rsidRPr="00F85319">
        <w:rPr>
          <w:rFonts w:ascii="Times New Roman" w:hAnsi="Times New Roman" w:cs="Times New Roman"/>
          <w:color w:val="auto"/>
        </w:rPr>
        <w:t>6.2 User Capabilities</w:t>
      </w:r>
      <w:bookmarkEnd w:id="42"/>
    </w:p>
    <w:p w14:paraId="6976956C"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Date range selection, applied globally across the executive summary and trend panels.</w:t>
      </w:r>
    </w:p>
    <w:p w14:paraId="054F38EA" w14:textId="77777777" w:rsidR="009D6C83" w:rsidRPr="00F85319" w:rsidRDefault="00830EFB">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Visual threshold-based alerts, including a Normal/Warning donut chart breakdown and dynamic warning-day callouts.</w:t>
      </w:r>
    </w:p>
    <w:p w14:paraId="2B546E5D" w14:textId="18506926" w:rsidR="00F85319" w:rsidRPr="00682A8E" w:rsidRDefault="00830EFB" w:rsidP="00F85319">
      <w:pPr>
        <w:pStyle w:val="ListParagraph"/>
        <w:numPr>
          <w:ilvl w:val="0"/>
          <w:numId w:val="2"/>
        </w:numPr>
        <w:spacing w:after="80" w:line="340" w:lineRule="auto"/>
        <w:rPr>
          <w:rFonts w:ascii="Times New Roman" w:hAnsi="Times New Roman" w:cs="Times New Roman"/>
          <w:color w:val="auto"/>
        </w:rPr>
      </w:pPr>
      <w:r w:rsidRPr="00F85319">
        <w:rPr>
          <w:rFonts w:ascii="Times New Roman" w:hAnsi="Times New Roman" w:cs="Times New Roman"/>
          <w:color w:val="auto"/>
        </w:rPr>
        <w:t>Dataset preview and full CSV export for downstream analysis.</w:t>
      </w:r>
    </w:p>
    <w:p w14:paraId="00AF8326" w14:textId="77777777" w:rsidR="009D6C83" w:rsidRPr="00F85319" w:rsidRDefault="00830EFB">
      <w:pPr>
        <w:pStyle w:val="Heading2"/>
        <w:rPr>
          <w:rFonts w:ascii="Times New Roman" w:hAnsi="Times New Roman" w:cs="Times New Roman"/>
          <w:color w:val="auto"/>
        </w:rPr>
      </w:pPr>
      <w:bookmarkStart w:id="43" w:name="_Toc232714639"/>
      <w:r w:rsidRPr="00F85319">
        <w:rPr>
          <w:rFonts w:ascii="Times New Roman" w:hAnsi="Times New Roman" w:cs="Times New Roman"/>
          <w:color w:val="auto"/>
        </w:rPr>
        <w:t>6.3 Page Structure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D6C83" w:rsidRPr="00E15BEA" w14:paraId="558DA788" w14:textId="77777777" w:rsidTr="007A2777">
        <w:trPr>
          <w:tblHeader/>
        </w:trPr>
        <w:tc>
          <w:tcPr>
            <w:tcW w:w="3200" w:type="dxa"/>
            <w:tcBorders>
              <w:top w:val="single" w:sz="4" w:space="0" w:color="auto"/>
              <w:left w:val="single" w:sz="4" w:space="0" w:color="auto"/>
              <w:bottom w:val="single" w:sz="4" w:space="0" w:color="auto"/>
              <w:right w:val="single" w:sz="4" w:space="0" w:color="auto"/>
            </w:tcBorders>
            <w:shd w:val="clear" w:color="auto" w:fill="0B3C5D"/>
            <w:tcMar>
              <w:top w:w="80" w:type="dxa"/>
              <w:left w:w="120" w:type="dxa"/>
              <w:bottom w:w="80" w:type="dxa"/>
              <w:right w:w="120" w:type="dxa"/>
            </w:tcMar>
            <w:vAlign w:val="center"/>
          </w:tcPr>
          <w:p w14:paraId="6846EE1E"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Page</w:t>
            </w:r>
          </w:p>
        </w:tc>
        <w:tc>
          <w:tcPr>
            <w:tcW w:w="6160" w:type="dxa"/>
            <w:tcBorders>
              <w:top w:val="single" w:sz="4" w:space="0" w:color="auto"/>
              <w:left w:val="single" w:sz="4" w:space="0" w:color="auto"/>
              <w:bottom w:val="single" w:sz="4" w:space="0" w:color="auto"/>
              <w:right w:val="single" w:sz="4" w:space="0" w:color="auto"/>
            </w:tcBorders>
            <w:shd w:val="clear" w:color="auto" w:fill="0B3C5D"/>
            <w:tcMar>
              <w:top w:w="80" w:type="dxa"/>
              <w:left w:w="120" w:type="dxa"/>
              <w:bottom w:w="80" w:type="dxa"/>
              <w:right w:w="120" w:type="dxa"/>
            </w:tcMar>
            <w:vAlign w:val="center"/>
          </w:tcPr>
          <w:p w14:paraId="0429E047"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Primary Purpose</w:t>
            </w:r>
          </w:p>
        </w:tc>
      </w:tr>
      <w:tr w:rsidR="009D6C83" w:rsidRPr="00E15BEA" w14:paraId="4E64ED5E"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660FEE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Executive Summary</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1F860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High-level KPI overview, objectives, findings, and recommendations for stakeholders</w:t>
            </w:r>
          </w:p>
        </w:tc>
      </w:tr>
      <w:tr w:rsidR="009D6C83" w:rsidRPr="00E15BEA" w14:paraId="67655D8C"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F3058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Care Pipeline Overview</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628698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Stage-by-stage flow visualization, Sankey diagram, and throughput/load ratio analysis</w:t>
            </w:r>
          </w:p>
        </w:tc>
      </w:tr>
      <w:tr w:rsidR="009D6C83" w:rsidRPr="00E15BEA" w14:paraId="5F8B0D88"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6C2A73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Analytics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95BD4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Efficiency trend, monthly breakdown, distribution, and transfer-to-discharge ratio</w:t>
            </w:r>
          </w:p>
        </w:tc>
      </w:tr>
      <w:tr w:rsidR="009D6C83" w:rsidRPr="00E15BEA" w14:paraId="08BC98FE"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492F1D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lastRenderedPageBreak/>
              <w:t>Discharge Analytics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454EAB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Discharge Effectiveness trend, monthly discharge volume, and distribution analysis</w:t>
            </w:r>
          </w:p>
        </w:tc>
      </w:tr>
      <w:tr w:rsidR="009D6C83" w:rsidRPr="00E15BEA" w14:paraId="30689ABB"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645F21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Bottleneck Analysis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64F71C"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 Backlog trend and ranked highest-backlog period detection</w:t>
            </w:r>
          </w:p>
        </w:tc>
      </w:tr>
      <w:tr w:rsidR="009D6C83" w:rsidRPr="00E15BEA" w14:paraId="31FF4ED3"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804BC3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Stagnation Detection</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8B48FD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Stagnation period trend with alert-zone shading and detected period table</w:t>
            </w:r>
          </w:p>
        </w:tc>
      </w:tr>
      <w:tr w:rsidR="009D6C83" w:rsidRPr="00E15BEA" w14:paraId="2B684C42"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7FCA12"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Outcome Stability Analysis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77F11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Rolling discharge effectiveness, stability band, and distribution spread</w:t>
            </w:r>
          </w:p>
        </w:tc>
      </w:tr>
      <w:tr w:rsidR="009D6C83" w:rsidRPr="00E15BEA" w14:paraId="39653C2C"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42381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Monthly Trends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66EF2CC"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Seasonal and month-over-month placement trend analysis</w:t>
            </w:r>
          </w:p>
        </w:tc>
      </w:tr>
      <w:tr w:rsidR="009D6C83" w:rsidRPr="00E15BEA" w14:paraId="6D0AFBAB"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C2496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Weekday vs Weekend Analysis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882547" w14:textId="62E71D6E" w:rsidR="0023126B" w:rsidRPr="0023126B" w:rsidRDefault="00830EFB">
            <w:pPr>
              <w:rPr>
                <w:rFonts w:ascii="Times New Roman" w:hAnsi="Times New Roman" w:cs="Times New Roman"/>
                <w:color w:val="000000"/>
                <w:sz w:val="20"/>
                <w:szCs w:val="20"/>
              </w:rPr>
            </w:pPr>
            <w:r w:rsidRPr="00E15BEA">
              <w:rPr>
                <w:rFonts w:ascii="Times New Roman" w:hAnsi="Times New Roman" w:cs="Times New Roman"/>
                <w:color w:val="000000"/>
                <w:sz w:val="20"/>
                <w:szCs w:val="20"/>
              </w:rPr>
              <w:t>Day-of-week and weekday/weekend efficiency comparison</w:t>
            </w:r>
          </w:p>
        </w:tc>
      </w:tr>
      <w:tr w:rsidR="0023126B" w:rsidRPr="00E15BEA" w14:paraId="037928E6" w14:textId="77777777" w:rsidTr="007A277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CF24F8" w14:textId="0EE5A374" w:rsidR="0023126B" w:rsidRPr="00E15BEA" w:rsidRDefault="0023126B">
            <w:pPr>
              <w:rPr>
                <w:rFonts w:ascii="Times New Roman" w:hAnsi="Times New Roman" w:cs="Times New Roman"/>
                <w:color w:val="000000"/>
                <w:sz w:val="20"/>
                <w:szCs w:val="20"/>
              </w:rPr>
            </w:pPr>
            <w:r>
              <w:rPr>
                <w:rFonts w:ascii="Times New Roman" w:hAnsi="Times New Roman" w:cs="Times New Roman"/>
                <w:color w:val="000000"/>
                <w:sz w:val="20"/>
                <w:szCs w:val="20"/>
              </w:rPr>
              <w:t>Year over Year Analysis</w:t>
            </w:r>
          </w:p>
        </w:tc>
        <w:tc>
          <w:tcPr>
            <w:tcW w:w="6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C9EC3F" w14:textId="057AC2C3" w:rsidR="0023126B" w:rsidRPr="00E15BEA" w:rsidRDefault="00900A71">
            <w:pPr>
              <w:rPr>
                <w:rFonts w:ascii="Times New Roman" w:hAnsi="Times New Roman" w:cs="Times New Roman"/>
                <w:color w:val="000000"/>
                <w:sz w:val="20"/>
                <w:szCs w:val="20"/>
              </w:rPr>
            </w:pPr>
            <w:r w:rsidRPr="00900A71">
              <w:rPr>
                <w:rFonts w:ascii="Times New Roman" w:hAnsi="Times New Roman" w:cs="Times New Roman"/>
                <w:color w:val="000000"/>
                <w:sz w:val="20"/>
                <w:szCs w:val="20"/>
              </w:rPr>
              <w:t>Evaluate and compare annual performance (2023–2025) across key care pipeline metrics to identify trends, operational changes, and emerging risks.</w:t>
            </w:r>
          </w:p>
        </w:tc>
      </w:tr>
    </w:tbl>
    <w:p w14:paraId="5965B805" w14:textId="76D96F60" w:rsidR="009D6C83" w:rsidRPr="00E15BEA" w:rsidRDefault="00830EFB">
      <w:pPr>
        <w:spacing w:before="80" w:after="240"/>
        <w:jc w:val="center"/>
        <w:rPr>
          <w:rFonts w:ascii="Times New Roman" w:hAnsi="Times New Roman" w:cs="Times New Roman"/>
        </w:rPr>
      </w:pPr>
      <w:r w:rsidRPr="00E15BEA">
        <w:rPr>
          <w:rFonts w:ascii="Times New Roman" w:hAnsi="Times New Roman" w:cs="Times New Roman"/>
          <w:i/>
          <w:iCs/>
          <w:color w:val="555555"/>
          <w:sz w:val="20"/>
          <w:szCs w:val="20"/>
        </w:rPr>
        <w:t xml:space="preserve">Table 4. Structure of the </w:t>
      </w:r>
      <w:r w:rsidR="00814A3B">
        <w:rPr>
          <w:rFonts w:ascii="Times New Roman" w:hAnsi="Times New Roman" w:cs="Times New Roman"/>
          <w:i/>
          <w:iCs/>
          <w:color w:val="555555"/>
          <w:sz w:val="20"/>
          <w:szCs w:val="20"/>
        </w:rPr>
        <w:t>ten</w:t>
      </w:r>
      <w:r w:rsidRPr="00E15BEA">
        <w:rPr>
          <w:rFonts w:ascii="Times New Roman" w:hAnsi="Times New Roman" w:cs="Times New Roman"/>
          <w:i/>
          <w:iCs/>
          <w:color w:val="555555"/>
          <w:sz w:val="20"/>
          <w:szCs w:val="20"/>
        </w:rPr>
        <w:t xml:space="preserve">-page </w:t>
      </w:r>
      <w:proofErr w:type="spellStart"/>
      <w:r w:rsidRPr="00E15BEA">
        <w:rPr>
          <w:rFonts w:ascii="Times New Roman" w:hAnsi="Times New Roman" w:cs="Times New Roman"/>
          <w:i/>
          <w:iCs/>
          <w:color w:val="555555"/>
          <w:sz w:val="20"/>
          <w:szCs w:val="20"/>
        </w:rPr>
        <w:t>Streamlit</w:t>
      </w:r>
      <w:proofErr w:type="spellEnd"/>
      <w:r w:rsidRPr="00E15BEA">
        <w:rPr>
          <w:rFonts w:ascii="Times New Roman" w:hAnsi="Times New Roman" w:cs="Times New Roman"/>
          <w:i/>
          <w:iCs/>
          <w:color w:val="555555"/>
          <w:sz w:val="20"/>
          <w:szCs w:val="20"/>
        </w:rPr>
        <w:t xml:space="preserve"> analytics dashboard.</w:t>
      </w:r>
    </w:p>
    <w:p w14:paraId="2E517D0C" w14:textId="77777777" w:rsidR="009D6C83" w:rsidRPr="00E15BEA" w:rsidRDefault="00830EFB">
      <w:pPr>
        <w:rPr>
          <w:rFonts w:ascii="Times New Roman" w:hAnsi="Times New Roman" w:cs="Times New Roman"/>
        </w:rPr>
      </w:pPr>
      <w:r w:rsidRPr="00E15BEA">
        <w:rPr>
          <w:rFonts w:ascii="Times New Roman" w:hAnsi="Times New Roman" w:cs="Times New Roman"/>
        </w:rPr>
        <w:br w:type="page"/>
      </w:r>
    </w:p>
    <w:p w14:paraId="0736F80D" w14:textId="77777777" w:rsidR="009D6C83" w:rsidRPr="00C766DB" w:rsidRDefault="00830EFB">
      <w:pPr>
        <w:pStyle w:val="Heading1"/>
        <w:rPr>
          <w:rFonts w:ascii="Times New Roman" w:hAnsi="Times New Roman" w:cs="Times New Roman"/>
          <w:color w:val="auto"/>
        </w:rPr>
      </w:pPr>
      <w:bookmarkStart w:id="44" w:name="_Toc232714640"/>
      <w:r w:rsidRPr="00C766DB">
        <w:rPr>
          <w:rFonts w:ascii="Times New Roman" w:hAnsi="Times New Roman" w:cs="Times New Roman"/>
          <w:color w:val="auto"/>
        </w:rPr>
        <w:lastRenderedPageBreak/>
        <w:t>7. Recommendations</w:t>
      </w:r>
      <w:bookmarkEnd w:id="44"/>
    </w:p>
    <w:p w14:paraId="62D6B129" w14:textId="77777777" w:rsidR="009D6C83" w:rsidRPr="00C766DB" w:rsidRDefault="00830EFB">
      <w:pPr>
        <w:spacing w:after="160" w:line="360" w:lineRule="auto"/>
        <w:jc w:val="both"/>
        <w:rPr>
          <w:rFonts w:ascii="Times New Roman" w:hAnsi="Times New Roman" w:cs="Times New Roman"/>
          <w:color w:val="auto"/>
        </w:rPr>
      </w:pPr>
      <w:r w:rsidRPr="00C766DB">
        <w:rPr>
          <w:rFonts w:ascii="Times New Roman" w:hAnsi="Times New Roman" w:cs="Times New Roman"/>
          <w:color w:val="auto"/>
        </w:rPr>
        <w:t>Based on the findings of this study, the following recommendations are proposed for operational and policy stakeholders.</w:t>
      </w:r>
    </w:p>
    <w:p w14:paraId="615752B3"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Monitor backlog growth using rolling, multi-week windows rather than single-day snapshots, given that the most severe backlog episodes in this dataset clustered within sustained multi-month strain periods rather than isolated spikes.</w:t>
      </w:r>
    </w:p>
    <w:p w14:paraId="6E0C90F0"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Investigate the demand-side versus supply-side drivers of the 2025 discharge volume decline before attributing it to reduced system load, given its direct impact on the humanitarian outcome the pipeline is designed to deliver.</w:t>
      </w:r>
    </w:p>
    <w:p w14:paraId="73214750"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Maintain current weekend staffing levels rather than reallocating resources away from weekends, since this study found no evidence of weekend-driven efficiency loss in the CBP-to-HHS transfer stage.</w:t>
      </w:r>
    </w:p>
    <w:p w14:paraId="5EB9B947"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Use stagnation period alerts (five or more consecutive low-efficiency days) as an early warning trigger for operational review, given the strong correlation between stagnation length and reduced discharge effectiveness.</w:t>
      </w:r>
    </w:p>
    <w:p w14:paraId="1605C451"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Consolidate Discharge Effectiveness and HHS Care Load Ratio reporting in future dashboard iterations, given their near-perfect inverse correlation and resulting reporting redundancy.</w:t>
      </w:r>
    </w:p>
    <w:p w14:paraId="76492400" w14:textId="77777777" w:rsidR="009D6C83" w:rsidRPr="00C766DB"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Correct the missing Saturday-record data quality issue identified in Section 5.2 in future data collection cycles to ensure complete day-of-week coverage.</w:t>
      </w:r>
    </w:p>
    <w:p w14:paraId="6EF70643" w14:textId="77777777" w:rsidR="009D6C83" w:rsidRDefault="00830EFB">
      <w:pPr>
        <w:pStyle w:val="ListParagraph"/>
        <w:numPr>
          <w:ilvl w:val="0"/>
          <w:numId w:val="3"/>
        </w:numPr>
        <w:spacing w:after="80" w:line="340" w:lineRule="auto"/>
        <w:rPr>
          <w:rFonts w:ascii="Times New Roman" w:hAnsi="Times New Roman" w:cs="Times New Roman"/>
          <w:color w:val="auto"/>
        </w:rPr>
      </w:pPr>
      <w:r w:rsidRPr="00C766DB">
        <w:rPr>
          <w:rFonts w:ascii="Times New Roman" w:hAnsi="Times New Roman" w:cs="Times New Roman"/>
          <w:color w:val="auto"/>
        </w:rPr>
        <w:t>Extend the dataset with facility-level or regional granularity where feasible, to allow future analyses to localize the specific operational sources of backlog and stagnation identified at the aggregate level in this study.</w:t>
      </w:r>
    </w:p>
    <w:p w14:paraId="5698829B" w14:textId="595F7C62" w:rsidR="00F536E1" w:rsidRPr="00C766DB" w:rsidRDefault="00F536E1">
      <w:pPr>
        <w:pStyle w:val="ListParagraph"/>
        <w:numPr>
          <w:ilvl w:val="0"/>
          <w:numId w:val="3"/>
        </w:numPr>
        <w:spacing w:after="80" w:line="340" w:lineRule="auto"/>
        <w:rPr>
          <w:rFonts w:ascii="Times New Roman" w:hAnsi="Times New Roman" w:cs="Times New Roman"/>
          <w:color w:val="auto"/>
        </w:rPr>
      </w:pPr>
      <w:r w:rsidRPr="00F536E1">
        <w:rPr>
          <w:rFonts w:ascii="Times New Roman" w:hAnsi="Times New Roman" w:cs="Times New Roman"/>
          <w:color w:val="auto"/>
        </w:rPr>
        <w:t>Institutionalize year-over-year performance reviews as part of routine operational governance, allowing decision-makers to track long-term trends, evaluate policy effectiveness, and support evidence-based process improvements.</w:t>
      </w:r>
    </w:p>
    <w:p w14:paraId="15B838B2" w14:textId="77777777" w:rsidR="009D6C83" w:rsidRPr="00C766DB" w:rsidRDefault="00830EFB">
      <w:pPr>
        <w:rPr>
          <w:rFonts w:ascii="Times New Roman" w:hAnsi="Times New Roman" w:cs="Times New Roman"/>
          <w:color w:val="auto"/>
        </w:rPr>
      </w:pPr>
      <w:r w:rsidRPr="00C766DB">
        <w:rPr>
          <w:rFonts w:ascii="Times New Roman" w:hAnsi="Times New Roman" w:cs="Times New Roman"/>
          <w:color w:val="auto"/>
        </w:rPr>
        <w:br w:type="page"/>
      </w:r>
    </w:p>
    <w:p w14:paraId="5763BDFC" w14:textId="77777777" w:rsidR="009D6C83" w:rsidRPr="00C766DB" w:rsidRDefault="00830EFB">
      <w:pPr>
        <w:pStyle w:val="Heading1"/>
        <w:rPr>
          <w:rFonts w:ascii="Times New Roman" w:hAnsi="Times New Roman" w:cs="Times New Roman"/>
          <w:color w:val="auto"/>
        </w:rPr>
      </w:pPr>
      <w:bookmarkStart w:id="45" w:name="_Toc232714641"/>
      <w:r w:rsidRPr="00C766DB">
        <w:rPr>
          <w:rFonts w:ascii="Times New Roman" w:hAnsi="Times New Roman" w:cs="Times New Roman"/>
          <w:color w:val="auto"/>
        </w:rPr>
        <w:lastRenderedPageBreak/>
        <w:t>8. Conclusion</w:t>
      </w:r>
      <w:bookmarkEnd w:id="45"/>
    </w:p>
    <w:p w14:paraId="287C44AA" w14:textId="77777777" w:rsidR="009D6C83" w:rsidRPr="00C766DB" w:rsidRDefault="00830EFB">
      <w:pPr>
        <w:spacing w:after="160" w:line="360" w:lineRule="auto"/>
        <w:jc w:val="both"/>
        <w:rPr>
          <w:rFonts w:ascii="Times New Roman" w:hAnsi="Times New Roman" w:cs="Times New Roman"/>
          <w:color w:val="auto"/>
        </w:rPr>
      </w:pPr>
      <w:r w:rsidRPr="00C766DB">
        <w:rPr>
          <w:rFonts w:ascii="Times New Roman" w:hAnsi="Times New Roman" w:cs="Times New Roman"/>
          <w:color w:val="auto"/>
        </w:rPr>
        <w:t>This study reframed three years of UAC pipeline data from a capacity-monitoring lens to a process-efficiency and outcome-evaluation lens, deriving five operationally meaningful KPIs from six raw daily fields. The analysis found a system that, on average, transfers roughly seven in ten children out of CBP custody relative to its custody population each day, discharges children from HHS care at a modest but generally stable rate, and experiences backlog accumulation concentrated in sustained multi-month strain episodes rather than isolated incidents. Weekday and weekend performance were found to be operationally equivalent, challenging a common assumption about weekend-driven slowdowns, while stagnation periods of five or more days were shown to coincide with meaningfully reduced performance across both the transfer and discharge stages of the pipeline.</w:t>
      </w:r>
    </w:p>
    <w:p w14:paraId="4262F89D" w14:textId="7E2454B4" w:rsidR="009D6C83" w:rsidRDefault="00830EFB">
      <w:pPr>
        <w:spacing w:after="160" w:line="360" w:lineRule="auto"/>
        <w:jc w:val="both"/>
        <w:rPr>
          <w:rFonts w:ascii="Times New Roman" w:hAnsi="Times New Roman" w:cs="Times New Roman"/>
          <w:color w:val="auto"/>
        </w:rPr>
      </w:pPr>
      <w:r w:rsidRPr="00C766DB">
        <w:rPr>
          <w:rFonts w:ascii="Times New Roman" w:hAnsi="Times New Roman" w:cs="Times New Roman"/>
          <w:color w:val="auto"/>
        </w:rPr>
        <w:t xml:space="preserve">The accompanying </w:t>
      </w:r>
      <w:r w:rsidR="00E41CCB">
        <w:rPr>
          <w:rFonts w:ascii="Times New Roman" w:hAnsi="Times New Roman" w:cs="Times New Roman"/>
          <w:color w:val="auto"/>
        </w:rPr>
        <w:t>ten</w:t>
      </w:r>
      <w:r w:rsidRPr="00C766DB">
        <w:rPr>
          <w:rFonts w:ascii="Times New Roman" w:hAnsi="Times New Roman" w:cs="Times New Roman"/>
          <w:color w:val="auto"/>
        </w:rPr>
        <w:t xml:space="preserve">-page </w:t>
      </w:r>
      <w:proofErr w:type="spellStart"/>
      <w:r w:rsidRPr="00C766DB">
        <w:rPr>
          <w:rFonts w:ascii="Times New Roman" w:hAnsi="Times New Roman" w:cs="Times New Roman"/>
          <w:color w:val="auto"/>
        </w:rPr>
        <w:t>Streamlit</w:t>
      </w:r>
      <w:proofErr w:type="spellEnd"/>
      <w:r w:rsidRPr="00C766DB">
        <w:rPr>
          <w:rFonts w:ascii="Times New Roman" w:hAnsi="Times New Roman" w:cs="Times New Roman"/>
          <w:color w:val="auto"/>
        </w:rPr>
        <w:t xml:space="preserve"> dashboard operationalizes these findings into a live monitoring tool capable of supporting day-to-day case management decisions as well as longer-term policy evaluation. Continued monitoring, the rolling-window backlog and stagnation alerting recommended in Section 7, and targeted investigation into the late-period discharge decline identified in Section 4.2 represent the most direct paths toward improving reunification timelines and strengthening child welfare outcomes within this system going forward.</w:t>
      </w:r>
    </w:p>
    <w:p w14:paraId="75B77EB4" w14:textId="77777777" w:rsidR="00C8378D" w:rsidRPr="00C8378D" w:rsidRDefault="00C8378D" w:rsidP="00C8378D">
      <w:pPr>
        <w:spacing w:after="160" w:line="360" w:lineRule="auto"/>
        <w:jc w:val="both"/>
        <w:rPr>
          <w:rFonts w:ascii="Times New Roman" w:hAnsi="Times New Roman" w:cs="Times New Roman"/>
          <w:color w:val="auto"/>
        </w:rPr>
      </w:pPr>
      <w:r w:rsidRPr="00C8378D">
        <w:rPr>
          <w:rFonts w:ascii="Times New Roman" w:hAnsi="Times New Roman" w:cs="Times New Roman"/>
          <w:color w:val="auto"/>
        </w:rPr>
        <w:t>The addition of a dedicated Year-over-Year Analysis further strengthened the evaluation framework by providing a long-term view of operational performance. Annual comparisons revealed declining transfer and discharge efficiency, increasing warning events, and the emergence of prolonged stagnation periods by 2025. These trends reinforce the importance of continuous performance monitoring and demonstrate the value of combining daily, monthly, and annual perspectives when assessing the effectiveness of complex care-transition systems.</w:t>
      </w:r>
    </w:p>
    <w:p w14:paraId="63C3AB5B" w14:textId="77777777" w:rsidR="00C8378D" w:rsidRDefault="00C8378D">
      <w:pPr>
        <w:spacing w:after="160" w:line="360" w:lineRule="auto"/>
        <w:jc w:val="both"/>
        <w:rPr>
          <w:rFonts w:ascii="Times New Roman" w:hAnsi="Times New Roman" w:cs="Times New Roman"/>
          <w:color w:val="auto"/>
        </w:rPr>
      </w:pPr>
    </w:p>
    <w:p w14:paraId="21D804A8" w14:textId="77777777" w:rsidR="00332D4F" w:rsidRDefault="00332D4F">
      <w:pPr>
        <w:spacing w:after="160" w:line="360" w:lineRule="auto"/>
        <w:jc w:val="both"/>
        <w:rPr>
          <w:rFonts w:ascii="Times New Roman" w:hAnsi="Times New Roman" w:cs="Times New Roman"/>
          <w:color w:val="auto"/>
        </w:rPr>
      </w:pPr>
    </w:p>
    <w:p w14:paraId="24B122DC" w14:textId="77777777" w:rsidR="00332D4F" w:rsidRDefault="00332D4F">
      <w:pPr>
        <w:spacing w:after="160" w:line="360" w:lineRule="auto"/>
        <w:jc w:val="both"/>
        <w:rPr>
          <w:rFonts w:ascii="Times New Roman" w:hAnsi="Times New Roman" w:cs="Times New Roman"/>
          <w:color w:val="auto"/>
        </w:rPr>
      </w:pPr>
    </w:p>
    <w:p w14:paraId="3992BA11" w14:textId="77777777" w:rsidR="00332D4F" w:rsidRDefault="00332D4F">
      <w:pPr>
        <w:spacing w:after="160" w:line="360" w:lineRule="auto"/>
        <w:jc w:val="both"/>
        <w:rPr>
          <w:rFonts w:ascii="Times New Roman" w:hAnsi="Times New Roman" w:cs="Times New Roman"/>
          <w:color w:val="auto"/>
        </w:rPr>
      </w:pPr>
    </w:p>
    <w:p w14:paraId="04CE5475" w14:textId="77777777" w:rsidR="00332D4F" w:rsidRDefault="00332D4F">
      <w:pPr>
        <w:spacing w:after="160" w:line="360" w:lineRule="auto"/>
        <w:jc w:val="both"/>
        <w:rPr>
          <w:rFonts w:ascii="Times New Roman" w:hAnsi="Times New Roman" w:cs="Times New Roman"/>
          <w:color w:val="auto"/>
        </w:rPr>
      </w:pPr>
    </w:p>
    <w:p w14:paraId="3A273882" w14:textId="77777777" w:rsidR="00332D4F" w:rsidRDefault="00332D4F">
      <w:pPr>
        <w:spacing w:after="160" w:line="360" w:lineRule="auto"/>
        <w:jc w:val="both"/>
        <w:rPr>
          <w:rFonts w:ascii="Times New Roman" w:hAnsi="Times New Roman" w:cs="Times New Roman"/>
          <w:color w:val="auto"/>
        </w:rPr>
      </w:pPr>
    </w:p>
    <w:p w14:paraId="5015343B" w14:textId="77777777" w:rsidR="00332D4F" w:rsidRDefault="00332D4F">
      <w:pPr>
        <w:spacing w:after="160" w:line="360" w:lineRule="auto"/>
        <w:jc w:val="both"/>
        <w:rPr>
          <w:rFonts w:ascii="Times New Roman" w:hAnsi="Times New Roman" w:cs="Times New Roman"/>
          <w:color w:val="auto"/>
        </w:rPr>
      </w:pPr>
    </w:p>
    <w:p w14:paraId="46005795" w14:textId="77777777" w:rsidR="00332D4F" w:rsidRPr="00332D4F" w:rsidRDefault="00332D4F" w:rsidP="00332D4F">
      <w:pPr>
        <w:pStyle w:val="Heading1"/>
        <w:rPr>
          <w:rFonts w:ascii="Times New Roman" w:hAnsi="Times New Roman" w:cs="Times New Roman"/>
          <w:color w:val="auto"/>
        </w:rPr>
      </w:pPr>
      <w:r w:rsidRPr="00332D4F">
        <w:rPr>
          <w:rFonts w:ascii="Times New Roman" w:hAnsi="Times New Roman" w:cs="Times New Roman"/>
          <w:color w:val="auto"/>
        </w:rPr>
        <w:lastRenderedPageBreak/>
        <w:t>9. Future Research</w:t>
      </w:r>
    </w:p>
    <w:p w14:paraId="162CC5D3" w14:textId="77777777" w:rsidR="00332D4F" w:rsidRPr="00332D4F" w:rsidRDefault="00332D4F" w:rsidP="00332D4F">
      <w:pPr>
        <w:spacing w:after="160" w:line="360" w:lineRule="auto"/>
        <w:jc w:val="both"/>
        <w:rPr>
          <w:rFonts w:ascii="Times New Roman" w:hAnsi="Times New Roman" w:cs="Times New Roman"/>
        </w:rPr>
      </w:pPr>
      <w:r w:rsidRPr="00332D4F">
        <w:rPr>
          <w:rFonts w:ascii="Times New Roman" w:hAnsi="Times New Roman" w:cs="Times New Roman"/>
        </w:rPr>
        <w:t>The findings and limitations identified in this study point toward several concrete directions for follow-on analytical and operational research. These are organized below by analytical depth, data expansion, and methodological rigor.</w:t>
      </w:r>
    </w:p>
    <w:p w14:paraId="4EADE932"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9.1 Causal Analysis of the Late-Period Discharge Decline</w:t>
      </w:r>
    </w:p>
    <w:p w14:paraId="00D81030" w14:textId="77777777" w:rsidR="00332D4F" w:rsidRPr="00332D4F" w:rsidRDefault="00332D4F" w:rsidP="00332D4F">
      <w:pPr>
        <w:spacing w:after="160" w:line="360" w:lineRule="auto"/>
        <w:jc w:val="both"/>
        <w:rPr>
          <w:rFonts w:ascii="Times New Roman" w:hAnsi="Times New Roman" w:cs="Times New Roman"/>
          <w:color w:val="auto"/>
        </w:rPr>
      </w:pPr>
      <w:r w:rsidRPr="00332D4F">
        <w:rPr>
          <w:rFonts w:ascii="Times New Roman" w:hAnsi="Times New Roman" w:cs="Times New Roman"/>
          <w:color w:val="auto"/>
        </w:rPr>
        <w:t>Section 4.2 identified a sustained decline in monthly discharge volume during the final months of the observation period but stopped short of attributing a cause, consistent with the correlational scope of this study (Section 5.5). A priority direction for future work is a quasi-experimental or causal inference approach — such as interrupted time-series analysis or a structural break test — applied jointly to intake volume and discharge volume, to determine whether the decline reflects reduced demand, reduced processing capacity, or a policy-driven shift in sponsor vetting requirements.</w:t>
      </w:r>
    </w:p>
    <w:p w14:paraId="7BF1BFED"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9.2 Facility- and Region-Level Disaggregation</w:t>
      </w:r>
    </w:p>
    <w:p w14:paraId="045CD3AD" w14:textId="77777777" w:rsidR="00332D4F" w:rsidRPr="00332D4F" w:rsidRDefault="00332D4F" w:rsidP="00332D4F">
      <w:pPr>
        <w:spacing w:after="160" w:line="360" w:lineRule="auto"/>
        <w:jc w:val="both"/>
        <w:rPr>
          <w:rFonts w:ascii="Times New Roman" w:hAnsi="Times New Roman" w:cs="Times New Roman"/>
          <w:color w:val="auto"/>
        </w:rPr>
      </w:pPr>
      <w:r w:rsidRPr="00332D4F">
        <w:rPr>
          <w:rFonts w:ascii="Times New Roman" w:hAnsi="Times New Roman" w:cs="Times New Roman"/>
          <w:color w:val="auto"/>
        </w:rPr>
        <w:t>As noted in Section 5.1, the current dataset is aggregated at the national daily level. Extending data collection to facility-level or regional granularity would allow future analyses to localize where, geographically and organizationally, backlog and stagnation events originate, enabling targeted rather than system-wide interventions.</w:t>
      </w:r>
    </w:p>
    <w:p w14:paraId="78313423"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9.3 Sponsor-Side Process Modelling</w:t>
      </w:r>
    </w:p>
    <w:p w14:paraId="12AA2DEF" w14:textId="77777777" w:rsidR="00332D4F" w:rsidRPr="00332D4F" w:rsidRDefault="00332D4F" w:rsidP="00332D4F">
      <w:pPr>
        <w:spacing w:after="160" w:line="360" w:lineRule="auto"/>
        <w:jc w:val="both"/>
        <w:rPr>
          <w:rFonts w:ascii="Times New Roman" w:hAnsi="Times New Roman" w:cs="Times New Roman"/>
          <w:color w:val="auto"/>
        </w:rPr>
      </w:pPr>
      <w:r w:rsidRPr="00332D4F">
        <w:rPr>
          <w:rFonts w:ascii="Times New Roman" w:hAnsi="Times New Roman" w:cs="Times New Roman"/>
          <w:color w:val="auto"/>
        </w:rPr>
        <w:t>This study models the pipeline up to the point of discharge but does not separately observe sponsor-side factors such as vetting duration, home study completion time, or post-placement case follow-up. Incorporating sponsor-side process data, where available, would allow the Discharge Effectiveness Index to be decomposed into HHS-side processing speed versus sponsor-side approval speed, sharpening the diagnostic value of the metric.</w:t>
      </w:r>
    </w:p>
    <w:p w14:paraId="25B0F02F"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9.4 Predictive Backlog and Stagnation Forecasting</w:t>
      </w:r>
    </w:p>
    <w:p w14:paraId="0FFB040F" w14:textId="77777777" w:rsidR="00332D4F" w:rsidRDefault="00332D4F" w:rsidP="00332D4F">
      <w:pPr>
        <w:spacing w:after="160" w:line="360" w:lineRule="auto"/>
        <w:jc w:val="both"/>
        <w:rPr>
          <w:rFonts w:ascii="Times New Roman" w:hAnsi="Times New Roman" w:cs="Times New Roman"/>
          <w:color w:val="auto"/>
        </w:rPr>
      </w:pPr>
      <w:r w:rsidRPr="00332D4F">
        <w:rPr>
          <w:rFonts w:ascii="Times New Roman" w:hAnsi="Times New Roman" w:cs="Times New Roman"/>
          <w:color w:val="auto"/>
        </w:rPr>
        <w:t>The backlog and stagnation detection methods used in this study are retrospective, flagging strain only after it has occurred. A natural extension is the development of a short-horizon forecasting model — for example, using ARIMA, exponential smoothing, or a gradient-boosted regression on lagged intake and throughput features — to predict elevated backlog risk several days in advance, enabling proactive rather than reactive operational response.</w:t>
      </w:r>
    </w:p>
    <w:p w14:paraId="0E458334" w14:textId="77777777" w:rsidR="008243DB" w:rsidRPr="00332D4F" w:rsidRDefault="008243DB" w:rsidP="00332D4F">
      <w:pPr>
        <w:spacing w:after="160" w:line="360" w:lineRule="auto"/>
        <w:jc w:val="both"/>
        <w:rPr>
          <w:rFonts w:ascii="Times New Roman" w:hAnsi="Times New Roman" w:cs="Times New Roman"/>
          <w:color w:val="auto"/>
        </w:rPr>
      </w:pPr>
    </w:p>
    <w:p w14:paraId="2BD763C8"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lastRenderedPageBreak/>
        <w:t>9.5 Formal Causal Inference on Weekday/Weekend Parity</w:t>
      </w:r>
    </w:p>
    <w:p w14:paraId="011BA935" w14:textId="77777777" w:rsidR="00332D4F" w:rsidRPr="00332D4F" w:rsidRDefault="00332D4F" w:rsidP="00332D4F">
      <w:pPr>
        <w:spacing w:after="160" w:line="360" w:lineRule="auto"/>
        <w:jc w:val="both"/>
        <w:rPr>
          <w:rFonts w:ascii="Times New Roman" w:hAnsi="Times New Roman" w:cs="Times New Roman"/>
        </w:rPr>
      </w:pPr>
      <w:r w:rsidRPr="00332D4F">
        <w:rPr>
          <w:rFonts w:ascii="Times New Roman" w:hAnsi="Times New Roman" w:cs="Times New Roman"/>
        </w:rPr>
        <w:t>While Section 3.7 found no meaningful weekday/weekend efficiency gap in this dataset, this result was established through descriptive comparison rather than formal hypothesis testing. Future work should apply a two-sample statistical test (e.g., Welch's t-test or a non-parametric equivalent given the data's distributional properties) to confirm whether the observed 1.6% difference is statistically distinguishable from zero, and should extend the analysis to federal holidays and other non-standard operating days not captured by a simple weekday/weekend split.</w:t>
      </w:r>
    </w:p>
    <w:p w14:paraId="1D36F68D" w14:textId="77777777" w:rsidR="00332D4F" w:rsidRPr="00332D4F" w:rsidRDefault="00332D4F" w:rsidP="00332D4F">
      <w:pPr>
        <w:pStyle w:val="Heading2"/>
        <w:rPr>
          <w:rFonts w:ascii="Times New Roman" w:hAnsi="Times New Roman" w:cs="Times New Roman"/>
          <w:color w:val="auto"/>
        </w:rPr>
      </w:pPr>
      <w:r w:rsidRPr="00332D4F">
        <w:rPr>
          <w:rFonts w:ascii="Times New Roman" w:hAnsi="Times New Roman" w:cs="Times New Roman"/>
          <w:color w:val="auto"/>
        </w:rPr>
        <w:t>9.6 Dashboard Extension to Real-Time Data Ingestion</w:t>
      </w:r>
    </w:p>
    <w:p w14:paraId="609D3DB6" w14:textId="77777777" w:rsidR="00332D4F" w:rsidRDefault="00332D4F" w:rsidP="00332D4F">
      <w:pPr>
        <w:spacing w:after="160" w:line="360" w:lineRule="auto"/>
        <w:jc w:val="both"/>
        <w:rPr>
          <w:rFonts w:ascii="Times New Roman" w:hAnsi="Times New Roman" w:cs="Times New Roman"/>
          <w:sz w:val="25"/>
          <w:szCs w:val="25"/>
        </w:rPr>
      </w:pPr>
      <w:r w:rsidRPr="00332D4F">
        <w:rPr>
          <w:rFonts w:ascii="Times New Roman" w:hAnsi="Times New Roman" w:cs="Times New Roman"/>
        </w:rPr>
        <w:t xml:space="preserve">The current </w:t>
      </w:r>
      <w:proofErr w:type="spellStart"/>
      <w:r w:rsidRPr="00332D4F">
        <w:rPr>
          <w:rFonts w:ascii="Times New Roman" w:hAnsi="Times New Roman" w:cs="Times New Roman"/>
        </w:rPr>
        <w:t>Streamlit</w:t>
      </w:r>
      <w:proofErr w:type="spellEnd"/>
      <w:r w:rsidRPr="00332D4F">
        <w:rPr>
          <w:rFonts w:ascii="Times New Roman" w:hAnsi="Times New Roman" w:cs="Times New Roman"/>
        </w:rPr>
        <w:t xml:space="preserve"> dashboard operates on a static, periodically refreshed CSV extract. A natural operational extension is connecting the dashboard to a live or near-real-time data pipeline (e.g., a scheduled ETL job feeding a managed database), which would allow the KPIs, alerts, and stagnation detection described in this paper to function as a genuine real-time operational monitoring tool rather than a retrospective analytical one.</w:t>
      </w:r>
    </w:p>
    <w:p w14:paraId="5F9D852B" w14:textId="77777777" w:rsidR="00E64074" w:rsidRPr="00E64074" w:rsidRDefault="00E64074" w:rsidP="00696802">
      <w:pPr>
        <w:spacing w:after="160" w:line="276" w:lineRule="auto"/>
        <w:jc w:val="both"/>
        <w:rPr>
          <w:rFonts w:ascii="Times New Roman" w:hAnsi="Times New Roman" w:cs="Times New Roman"/>
          <w:b/>
          <w:bCs/>
          <w:sz w:val="25"/>
          <w:szCs w:val="25"/>
        </w:rPr>
      </w:pPr>
      <w:r w:rsidRPr="00E64074">
        <w:rPr>
          <w:rFonts w:ascii="Times New Roman" w:hAnsi="Times New Roman" w:cs="Times New Roman"/>
          <w:b/>
          <w:bCs/>
          <w:sz w:val="25"/>
          <w:szCs w:val="25"/>
        </w:rPr>
        <w:t>9.7 Long-Term Performance Forecasting</w:t>
      </w:r>
    </w:p>
    <w:p w14:paraId="390A9D23" w14:textId="77777777" w:rsidR="00E64074" w:rsidRPr="00E64074" w:rsidRDefault="00E64074" w:rsidP="00E64074">
      <w:pPr>
        <w:spacing w:after="160" w:line="360" w:lineRule="auto"/>
        <w:jc w:val="both"/>
        <w:rPr>
          <w:rFonts w:ascii="Times New Roman" w:hAnsi="Times New Roman" w:cs="Times New Roman"/>
        </w:rPr>
      </w:pPr>
      <w:r w:rsidRPr="00E64074">
        <w:rPr>
          <w:rFonts w:ascii="Times New Roman" w:hAnsi="Times New Roman" w:cs="Times New Roman"/>
        </w:rPr>
        <w:t>The Year-over-Year Analysis introduced in this study highlighted substantial changes in operational performance across the observation period. Future work should extend these findings through multi-year forecasting models capable of predicting long-term trends in Transfer Efficiency, Discharge Effectiveness, Backlog Accumulation, and Placement Outcomes. Such forecasting could support strategic capacity planning and policy evaluation by identifying performance deterioration before it becomes operationally significant.</w:t>
      </w:r>
    </w:p>
    <w:p w14:paraId="1464B6E3" w14:textId="77777777" w:rsidR="00E64074" w:rsidRPr="00E64074" w:rsidRDefault="00E64074" w:rsidP="00332D4F">
      <w:pPr>
        <w:spacing w:after="160" w:line="360" w:lineRule="auto"/>
        <w:jc w:val="both"/>
        <w:rPr>
          <w:rFonts w:ascii="Times New Roman" w:hAnsi="Times New Roman" w:cs="Times New Roman"/>
          <w:sz w:val="25"/>
          <w:szCs w:val="25"/>
        </w:rPr>
      </w:pPr>
    </w:p>
    <w:p w14:paraId="7D627A72" w14:textId="77777777" w:rsidR="00332D4F" w:rsidRPr="00C766DB" w:rsidRDefault="00332D4F">
      <w:pPr>
        <w:spacing w:after="160" w:line="360" w:lineRule="auto"/>
        <w:jc w:val="both"/>
        <w:rPr>
          <w:rFonts w:ascii="Times New Roman" w:hAnsi="Times New Roman" w:cs="Times New Roman"/>
          <w:color w:val="auto"/>
        </w:rPr>
      </w:pPr>
    </w:p>
    <w:p w14:paraId="69E8641E" w14:textId="77777777" w:rsidR="009D6C83" w:rsidRPr="00C766DB" w:rsidRDefault="00830EFB">
      <w:pPr>
        <w:rPr>
          <w:rFonts w:ascii="Times New Roman" w:hAnsi="Times New Roman" w:cs="Times New Roman"/>
          <w:color w:val="auto"/>
        </w:rPr>
      </w:pPr>
      <w:r w:rsidRPr="00C766DB">
        <w:rPr>
          <w:rFonts w:ascii="Times New Roman" w:hAnsi="Times New Roman" w:cs="Times New Roman"/>
          <w:color w:val="auto"/>
        </w:rPr>
        <w:br w:type="page"/>
      </w:r>
    </w:p>
    <w:p w14:paraId="1355BEE0" w14:textId="77777777" w:rsidR="009D6C83" w:rsidRPr="00C766DB" w:rsidRDefault="00830EFB">
      <w:pPr>
        <w:pStyle w:val="Heading1"/>
        <w:rPr>
          <w:rFonts w:ascii="Times New Roman" w:hAnsi="Times New Roman" w:cs="Times New Roman"/>
          <w:color w:val="auto"/>
        </w:rPr>
      </w:pPr>
      <w:bookmarkStart w:id="46" w:name="_Toc232714642"/>
      <w:r w:rsidRPr="00C766DB">
        <w:rPr>
          <w:rFonts w:ascii="Times New Roman" w:hAnsi="Times New Roman" w:cs="Times New Roman"/>
          <w:color w:val="auto"/>
        </w:rPr>
        <w:lastRenderedPageBreak/>
        <w:t>References</w:t>
      </w:r>
      <w:bookmarkEnd w:id="46"/>
    </w:p>
    <w:p w14:paraId="3212785B"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bookmarkStart w:id="47" w:name="_Toc232714643"/>
      <w:r w:rsidRPr="00B633B4">
        <w:rPr>
          <w:rFonts w:ascii="Times New Roman" w:hAnsi="Times New Roman" w:cs="Times New Roman"/>
        </w:rPr>
        <w:t>U.S. Department of Health and Human Services, Administration for Children and Families, Office of Refugee Resettlement. Unaccompanied Children Program operational data.</w:t>
      </w:r>
    </w:p>
    <w:p w14:paraId="09A01B33"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Unified Mentor. Care Transition Efficiency and Placement Outcome Analytics: Project Requirements and Methodology Guide.</w:t>
      </w:r>
    </w:p>
    <w:p w14:paraId="5E40195D"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U.S. Government Accountability Office. Unaccompanied Children: Actions Needed to Improve Grant Application Reviews and Oversight of Care Facilities. GAO Report.</w:t>
      </w:r>
    </w:p>
    <w:p w14:paraId="5C19FA92"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U.S. Department of Health and Human Services, Office of Inspector General. Care Provider Facilities Described Challenges Addressing Mental Health Needs of Children in HHS Custody. OIG Report.</w:t>
      </w:r>
    </w:p>
    <w:p w14:paraId="6BAEA18E"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Migration Policy Institute. Unaccompanied Children at the U.S.-Mexico Border: A Policy and Data Overview. MPI Issue Brief.</w:t>
      </w:r>
    </w:p>
    <w:p w14:paraId="2578C1B8"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Congressional Research Service. Unaccompanied Alien Children: An Overview. CRS Report for Congress.</w:t>
      </w:r>
    </w:p>
    <w:p w14:paraId="24AC7082"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Little, R. J. A., and Rubin, D. B. Statistical Analysis with Missing Data. 3rd ed. Wiley, 2019.</w:t>
      </w:r>
    </w:p>
    <w:p w14:paraId="0664FBB4"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 xml:space="preserve">Hyndman, R. J., and Athanasopoulos, G. Forecasting: Principles and Practice. 3rd ed. </w:t>
      </w:r>
      <w:proofErr w:type="spellStart"/>
      <w:r w:rsidRPr="00B633B4">
        <w:rPr>
          <w:rFonts w:ascii="Times New Roman" w:hAnsi="Times New Roman" w:cs="Times New Roman"/>
        </w:rPr>
        <w:t>OTexts</w:t>
      </w:r>
      <w:proofErr w:type="spellEnd"/>
      <w:r w:rsidRPr="00B633B4">
        <w:rPr>
          <w:rFonts w:ascii="Times New Roman" w:hAnsi="Times New Roman" w:cs="Times New Roman"/>
        </w:rPr>
        <w:t>, 2021.</w:t>
      </w:r>
    </w:p>
    <w:p w14:paraId="6B18DF03"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Box, G. E. P., Jenkins, G. M., Reinsel, G. C., and Ljung, G. M. Time Series Analysis: Forecasting and Control. 5th ed. Wiley, 2015.</w:t>
      </w:r>
    </w:p>
    <w:p w14:paraId="34305FE4"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McKinney, W. Data Structures for Statistical Computing in Python. Proceedings of the 9th Python in Science Conference, 2010.</w:t>
      </w:r>
    </w:p>
    <w:p w14:paraId="3EDB7396"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Harris, C. R. et al. Array Programming with NumPy. Nature, vol. 585, 2020, pp. 357–362.</w:t>
      </w:r>
    </w:p>
    <w:p w14:paraId="03EE1F75"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Hunter, J. D. Matplotlib: A 2D Graphics Environment. Computing in Science &amp; Engineering, vol. 9, no. 3, 2007, pp. 90–95.</w:t>
      </w:r>
    </w:p>
    <w:p w14:paraId="61397670"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proofErr w:type="spellStart"/>
      <w:r w:rsidRPr="00B633B4">
        <w:rPr>
          <w:rFonts w:ascii="Times New Roman" w:hAnsi="Times New Roman" w:cs="Times New Roman"/>
        </w:rPr>
        <w:t>Streamlit</w:t>
      </w:r>
      <w:proofErr w:type="spellEnd"/>
      <w:r w:rsidRPr="00B633B4">
        <w:rPr>
          <w:rFonts w:ascii="Times New Roman" w:hAnsi="Times New Roman" w:cs="Times New Roman"/>
        </w:rPr>
        <w:t xml:space="preserve"> Inc. </w:t>
      </w:r>
      <w:proofErr w:type="spellStart"/>
      <w:r w:rsidRPr="00B633B4">
        <w:rPr>
          <w:rFonts w:ascii="Times New Roman" w:hAnsi="Times New Roman" w:cs="Times New Roman"/>
        </w:rPr>
        <w:t>Streamlit</w:t>
      </w:r>
      <w:proofErr w:type="spellEnd"/>
      <w:r w:rsidRPr="00B633B4">
        <w:rPr>
          <w:rFonts w:ascii="Times New Roman" w:hAnsi="Times New Roman" w:cs="Times New Roman"/>
        </w:rPr>
        <w:t xml:space="preserve"> Documentation. https://docs.streamlit.io</w:t>
      </w:r>
    </w:p>
    <w:p w14:paraId="74818398" w14:textId="77777777" w:rsidR="00B633B4" w:rsidRP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 xml:space="preserve">Plotly Technologies Inc. Plotly Python </w:t>
      </w:r>
      <w:proofErr w:type="gramStart"/>
      <w:r w:rsidRPr="00B633B4">
        <w:rPr>
          <w:rFonts w:ascii="Times New Roman" w:hAnsi="Times New Roman" w:cs="Times New Roman"/>
        </w:rPr>
        <w:t>Open Source</w:t>
      </w:r>
      <w:proofErr w:type="gramEnd"/>
      <w:r w:rsidRPr="00B633B4">
        <w:rPr>
          <w:rFonts w:ascii="Times New Roman" w:hAnsi="Times New Roman" w:cs="Times New Roman"/>
        </w:rPr>
        <w:t xml:space="preserve"> Graphing Library. https://plotly.com/python/</w:t>
      </w:r>
    </w:p>
    <w:p w14:paraId="42BA49EC" w14:textId="1843B6EA" w:rsidR="00B633B4" w:rsidRDefault="00B633B4" w:rsidP="00B633B4">
      <w:pPr>
        <w:pStyle w:val="ListParagraph"/>
        <w:numPr>
          <w:ilvl w:val="0"/>
          <w:numId w:val="5"/>
        </w:numPr>
        <w:spacing w:after="140" w:line="320" w:lineRule="auto"/>
        <w:jc w:val="both"/>
        <w:rPr>
          <w:rFonts w:ascii="Times New Roman" w:hAnsi="Times New Roman" w:cs="Times New Roman"/>
        </w:rPr>
      </w:pPr>
      <w:r w:rsidRPr="00B633B4">
        <w:rPr>
          <w:rFonts w:ascii="Times New Roman" w:hAnsi="Times New Roman" w:cs="Times New Roman"/>
        </w:rPr>
        <w:t xml:space="preserve">Welch, B. L. The Generalization of ‘Student’s’ Problem When Several Different Population Variances Are Involved. </w:t>
      </w:r>
      <w:proofErr w:type="spellStart"/>
      <w:r w:rsidRPr="00B633B4">
        <w:rPr>
          <w:rFonts w:ascii="Times New Roman" w:hAnsi="Times New Roman" w:cs="Times New Roman"/>
        </w:rPr>
        <w:t>Biometrika</w:t>
      </w:r>
      <w:proofErr w:type="spellEnd"/>
      <w:r w:rsidRPr="00B633B4">
        <w:rPr>
          <w:rFonts w:ascii="Times New Roman" w:hAnsi="Times New Roman" w:cs="Times New Roman"/>
        </w:rPr>
        <w:t>, vol. 34, no. 1/2, 1947, pp. 28–35.</w:t>
      </w:r>
    </w:p>
    <w:p w14:paraId="6619AC3A" w14:textId="77777777" w:rsidR="00B633B4" w:rsidRDefault="00B633B4" w:rsidP="00B633B4">
      <w:pPr>
        <w:spacing w:after="140" w:line="320" w:lineRule="auto"/>
        <w:jc w:val="both"/>
        <w:rPr>
          <w:rFonts w:ascii="Times New Roman" w:hAnsi="Times New Roman" w:cs="Times New Roman"/>
        </w:rPr>
      </w:pPr>
    </w:p>
    <w:p w14:paraId="61D9168B" w14:textId="77777777" w:rsidR="00B633B4" w:rsidRPr="00B633B4" w:rsidRDefault="00B633B4" w:rsidP="00B633B4">
      <w:pPr>
        <w:spacing w:after="140" w:line="320" w:lineRule="auto"/>
        <w:jc w:val="both"/>
        <w:rPr>
          <w:rFonts w:ascii="Times New Roman" w:hAnsi="Times New Roman" w:cs="Times New Roman"/>
        </w:rPr>
      </w:pPr>
    </w:p>
    <w:p w14:paraId="66DD8D30" w14:textId="650317F0" w:rsidR="009D6C83" w:rsidRPr="00C766DB" w:rsidRDefault="00830EFB">
      <w:pPr>
        <w:pStyle w:val="Heading1"/>
        <w:rPr>
          <w:rFonts w:ascii="Times New Roman" w:hAnsi="Times New Roman" w:cs="Times New Roman"/>
          <w:color w:val="auto"/>
        </w:rPr>
      </w:pPr>
      <w:r w:rsidRPr="00C766DB">
        <w:rPr>
          <w:rFonts w:ascii="Times New Roman" w:hAnsi="Times New Roman" w:cs="Times New Roman"/>
          <w:color w:val="auto"/>
        </w:rPr>
        <w:lastRenderedPageBreak/>
        <w:t>Appendix A: Dataset Schema</w:t>
      </w:r>
      <w:bookmarkEnd w:id="47"/>
    </w:p>
    <w:p w14:paraId="5C7E6A90" w14:textId="77777777" w:rsidR="009D6C83" w:rsidRPr="00E15BEA" w:rsidRDefault="00830EFB">
      <w:pPr>
        <w:spacing w:after="160" w:line="360" w:lineRule="auto"/>
        <w:jc w:val="both"/>
        <w:rPr>
          <w:rFonts w:ascii="Times New Roman" w:hAnsi="Times New Roman" w:cs="Times New Roman"/>
        </w:rPr>
      </w:pPr>
      <w:r w:rsidRPr="00E15BEA">
        <w:rPr>
          <w:rFonts w:ascii="Times New Roman" w:hAnsi="Times New Roman" w:cs="Times New Roman"/>
        </w:rPr>
        <w:t>The full derived dataset (cleaned_uac.csv) contains 720 rows and 21 columns,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4160"/>
      </w:tblGrid>
      <w:tr w:rsidR="009D6C83" w:rsidRPr="00E15BEA" w14:paraId="00508339" w14:textId="77777777" w:rsidTr="00DE1781">
        <w:trPr>
          <w:tblHeader/>
        </w:trPr>
        <w:tc>
          <w:tcPr>
            <w:tcW w:w="3800" w:type="dxa"/>
            <w:shd w:val="clear" w:color="auto" w:fill="0B3C5D"/>
            <w:tcMar>
              <w:top w:w="80" w:type="dxa"/>
              <w:left w:w="120" w:type="dxa"/>
              <w:bottom w:w="80" w:type="dxa"/>
              <w:right w:w="120" w:type="dxa"/>
            </w:tcMar>
            <w:vAlign w:val="center"/>
          </w:tcPr>
          <w:p w14:paraId="78CB0760"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Field</w:t>
            </w:r>
          </w:p>
        </w:tc>
        <w:tc>
          <w:tcPr>
            <w:tcW w:w="1400" w:type="dxa"/>
            <w:shd w:val="clear" w:color="auto" w:fill="0B3C5D"/>
            <w:tcMar>
              <w:top w:w="80" w:type="dxa"/>
              <w:left w:w="120" w:type="dxa"/>
              <w:bottom w:w="80" w:type="dxa"/>
              <w:right w:w="120" w:type="dxa"/>
            </w:tcMar>
            <w:vAlign w:val="center"/>
          </w:tcPr>
          <w:p w14:paraId="1FE6F1C0"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Type</w:t>
            </w:r>
          </w:p>
        </w:tc>
        <w:tc>
          <w:tcPr>
            <w:tcW w:w="4160" w:type="dxa"/>
            <w:shd w:val="clear" w:color="auto" w:fill="0B3C5D"/>
            <w:tcMar>
              <w:top w:w="80" w:type="dxa"/>
              <w:left w:w="120" w:type="dxa"/>
              <w:bottom w:w="80" w:type="dxa"/>
              <w:right w:w="120" w:type="dxa"/>
            </w:tcMar>
            <w:vAlign w:val="center"/>
          </w:tcPr>
          <w:p w14:paraId="79D52099" w14:textId="77777777" w:rsidR="009D6C83" w:rsidRPr="00E15BEA" w:rsidRDefault="00830EFB">
            <w:pPr>
              <w:rPr>
                <w:rFonts w:ascii="Times New Roman" w:hAnsi="Times New Roman" w:cs="Times New Roman"/>
              </w:rPr>
            </w:pPr>
            <w:r w:rsidRPr="00E15BEA">
              <w:rPr>
                <w:rFonts w:ascii="Times New Roman" w:hAnsi="Times New Roman" w:cs="Times New Roman"/>
                <w:b/>
                <w:bCs/>
                <w:color w:val="FFFFFF"/>
                <w:sz w:val="20"/>
                <w:szCs w:val="20"/>
              </w:rPr>
              <w:t>Description</w:t>
            </w:r>
          </w:p>
        </w:tc>
      </w:tr>
      <w:tr w:rsidR="009D6C83" w:rsidRPr="00E15BEA" w14:paraId="22EDD758" w14:textId="77777777" w:rsidTr="00DE1781">
        <w:tc>
          <w:tcPr>
            <w:tcW w:w="3800" w:type="dxa"/>
            <w:tcMar>
              <w:top w:w="80" w:type="dxa"/>
              <w:left w:w="120" w:type="dxa"/>
              <w:bottom w:w="80" w:type="dxa"/>
              <w:right w:w="120" w:type="dxa"/>
            </w:tcMar>
            <w:vAlign w:val="center"/>
          </w:tcPr>
          <w:p w14:paraId="2BC6DC1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Date</w:t>
            </w:r>
          </w:p>
        </w:tc>
        <w:tc>
          <w:tcPr>
            <w:tcW w:w="1400" w:type="dxa"/>
            <w:tcMar>
              <w:top w:w="80" w:type="dxa"/>
              <w:left w:w="120" w:type="dxa"/>
              <w:bottom w:w="80" w:type="dxa"/>
              <w:right w:w="120" w:type="dxa"/>
            </w:tcMar>
            <w:vAlign w:val="center"/>
          </w:tcPr>
          <w:p w14:paraId="06F5B1D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Date</w:t>
            </w:r>
          </w:p>
        </w:tc>
        <w:tc>
          <w:tcPr>
            <w:tcW w:w="4160" w:type="dxa"/>
            <w:tcMar>
              <w:top w:w="80" w:type="dxa"/>
              <w:left w:w="120" w:type="dxa"/>
              <w:bottom w:w="80" w:type="dxa"/>
              <w:right w:w="120" w:type="dxa"/>
            </w:tcMar>
            <w:vAlign w:val="center"/>
          </w:tcPr>
          <w:p w14:paraId="1AB4BE1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reporting date</w:t>
            </w:r>
          </w:p>
        </w:tc>
      </w:tr>
      <w:tr w:rsidR="009D6C83" w:rsidRPr="00E15BEA" w14:paraId="31DD7E3A" w14:textId="77777777" w:rsidTr="00DE1781">
        <w:tc>
          <w:tcPr>
            <w:tcW w:w="3800" w:type="dxa"/>
            <w:tcMar>
              <w:top w:w="80" w:type="dxa"/>
              <w:left w:w="120" w:type="dxa"/>
              <w:bottom w:w="80" w:type="dxa"/>
              <w:right w:w="120" w:type="dxa"/>
            </w:tcMar>
            <w:vAlign w:val="center"/>
          </w:tcPr>
          <w:p w14:paraId="196B140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apprehended and placed in CBP custody</w:t>
            </w:r>
          </w:p>
        </w:tc>
        <w:tc>
          <w:tcPr>
            <w:tcW w:w="1400" w:type="dxa"/>
            <w:tcMar>
              <w:top w:w="80" w:type="dxa"/>
              <w:left w:w="120" w:type="dxa"/>
              <w:bottom w:w="80" w:type="dxa"/>
              <w:right w:w="120" w:type="dxa"/>
            </w:tcMar>
            <w:vAlign w:val="center"/>
          </w:tcPr>
          <w:p w14:paraId="3BEC07D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68F59EE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CBP intake</w:t>
            </w:r>
          </w:p>
        </w:tc>
      </w:tr>
      <w:tr w:rsidR="009D6C83" w:rsidRPr="00E15BEA" w14:paraId="60DEC49C" w14:textId="77777777" w:rsidTr="00DE1781">
        <w:tc>
          <w:tcPr>
            <w:tcW w:w="3800" w:type="dxa"/>
            <w:tcMar>
              <w:top w:w="80" w:type="dxa"/>
              <w:left w:w="120" w:type="dxa"/>
              <w:bottom w:w="80" w:type="dxa"/>
              <w:right w:w="120" w:type="dxa"/>
            </w:tcMar>
            <w:vAlign w:val="center"/>
          </w:tcPr>
          <w:p w14:paraId="1940320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in CBP custody</w:t>
            </w:r>
          </w:p>
        </w:tc>
        <w:tc>
          <w:tcPr>
            <w:tcW w:w="1400" w:type="dxa"/>
            <w:tcMar>
              <w:top w:w="80" w:type="dxa"/>
              <w:left w:w="120" w:type="dxa"/>
              <w:bottom w:w="80" w:type="dxa"/>
              <w:right w:w="120" w:type="dxa"/>
            </w:tcMar>
            <w:vAlign w:val="center"/>
          </w:tcPr>
          <w:p w14:paraId="4ECC819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1694ADDD"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Active CBP population</w:t>
            </w:r>
          </w:p>
        </w:tc>
      </w:tr>
      <w:tr w:rsidR="009D6C83" w:rsidRPr="00E15BEA" w14:paraId="3D746B33" w14:textId="77777777" w:rsidTr="00DE1781">
        <w:tc>
          <w:tcPr>
            <w:tcW w:w="3800" w:type="dxa"/>
            <w:tcMar>
              <w:top w:w="80" w:type="dxa"/>
              <w:left w:w="120" w:type="dxa"/>
              <w:bottom w:w="80" w:type="dxa"/>
              <w:right w:w="120" w:type="dxa"/>
            </w:tcMar>
            <w:vAlign w:val="center"/>
          </w:tcPr>
          <w:p w14:paraId="5D297FE5"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transferred out of CBP custody</w:t>
            </w:r>
          </w:p>
        </w:tc>
        <w:tc>
          <w:tcPr>
            <w:tcW w:w="1400" w:type="dxa"/>
            <w:tcMar>
              <w:top w:w="80" w:type="dxa"/>
              <w:left w:w="120" w:type="dxa"/>
              <w:bottom w:w="80" w:type="dxa"/>
              <w:right w:w="120" w:type="dxa"/>
            </w:tcMar>
            <w:vAlign w:val="center"/>
          </w:tcPr>
          <w:p w14:paraId="1C1C4B4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047FFF5E"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CBP → HHS transfers</w:t>
            </w:r>
          </w:p>
        </w:tc>
      </w:tr>
      <w:tr w:rsidR="009D6C83" w:rsidRPr="00E15BEA" w14:paraId="0A256151" w14:textId="77777777" w:rsidTr="00DE1781">
        <w:tc>
          <w:tcPr>
            <w:tcW w:w="3800" w:type="dxa"/>
            <w:tcMar>
              <w:top w:w="80" w:type="dxa"/>
              <w:left w:w="120" w:type="dxa"/>
              <w:bottom w:w="80" w:type="dxa"/>
              <w:right w:w="120" w:type="dxa"/>
            </w:tcMar>
            <w:vAlign w:val="center"/>
          </w:tcPr>
          <w:p w14:paraId="36416A4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in HHS Care</w:t>
            </w:r>
          </w:p>
        </w:tc>
        <w:tc>
          <w:tcPr>
            <w:tcW w:w="1400" w:type="dxa"/>
            <w:tcMar>
              <w:top w:w="80" w:type="dxa"/>
              <w:left w:w="120" w:type="dxa"/>
              <w:bottom w:w="80" w:type="dxa"/>
              <w:right w:w="120" w:type="dxa"/>
            </w:tcMar>
            <w:vAlign w:val="center"/>
          </w:tcPr>
          <w:p w14:paraId="06961A94"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478666D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Active HHS population</w:t>
            </w:r>
          </w:p>
        </w:tc>
      </w:tr>
      <w:tr w:rsidR="009D6C83" w:rsidRPr="00E15BEA" w14:paraId="24A506E4" w14:textId="77777777" w:rsidTr="00DE1781">
        <w:tc>
          <w:tcPr>
            <w:tcW w:w="3800" w:type="dxa"/>
            <w:tcMar>
              <w:top w:w="80" w:type="dxa"/>
              <w:left w:w="120" w:type="dxa"/>
              <w:bottom w:w="80" w:type="dxa"/>
              <w:right w:w="120" w:type="dxa"/>
            </w:tcMar>
            <w:vAlign w:val="center"/>
          </w:tcPr>
          <w:p w14:paraId="57130DE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Children discharged from HHS Care</w:t>
            </w:r>
          </w:p>
        </w:tc>
        <w:tc>
          <w:tcPr>
            <w:tcW w:w="1400" w:type="dxa"/>
            <w:tcMar>
              <w:top w:w="80" w:type="dxa"/>
              <w:left w:w="120" w:type="dxa"/>
              <w:bottom w:w="80" w:type="dxa"/>
              <w:right w:w="120" w:type="dxa"/>
            </w:tcMar>
            <w:vAlign w:val="center"/>
          </w:tcPr>
          <w:p w14:paraId="110960F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2FD8A0FE"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Daily successful discharges</w:t>
            </w:r>
          </w:p>
        </w:tc>
      </w:tr>
      <w:tr w:rsidR="009D6C83" w:rsidRPr="00E15BEA" w14:paraId="5F3F0E81" w14:textId="77777777" w:rsidTr="00DE1781">
        <w:tc>
          <w:tcPr>
            <w:tcW w:w="3800" w:type="dxa"/>
            <w:tcMar>
              <w:top w:w="80" w:type="dxa"/>
              <w:left w:w="120" w:type="dxa"/>
              <w:bottom w:w="80" w:type="dxa"/>
              <w:right w:w="120" w:type="dxa"/>
            </w:tcMar>
            <w:vAlign w:val="center"/>
          </w:tcPr>
          <w:p w14:paraId="6A0631C4"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Transfer_Efficiency</w:t>
            </w:r>
            <w:proofErr w:type="spellEnd"/>
          </w:p>
        </w:tc>
        <w:tc>
          <w:tcPr>
            <w:tcW w:w="1400" w:type="dxa"/>
            <w:tcMar>
              <w:top w:w="80" w:type="dxa"/>
              <w:left w:w="120" w:type="dxa"/>
              <w:bottom w:w="80" w:type="dxa"/>
              <w:right w:w="120" w:type="dxa"/>
            </w:tcMar>
            <w:vAlign w:val="center"/>
          </w:tcPr>
          <w:p w14:paraId="0AB01D5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21629D7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Transfers ÷ CBP custody population</w:t>
            </w:r>
          </w:p>
        </w:tc>
      </w:tr>
      <w:tr w:rsidR="009D6C83" w:rsidRPr="00E15BEA" w14:paraId="29D8FF5C" w14:textId="77777777" w:rsidTr="00DE1781">
        <w:tc>
          <w:tcPr>
            <w:tcW w:w="3800" w:type="dxa"/>
            <w:tcMar>
              <w:top w:w="80" w:type="dxa"/>
              <w:left w:w="120" w:type="dxa"/>
              <w:bottom w:w="80" w:type="dxa"/>
              <w:right w:w="120" w:type="dxa"/>
            </w:tcMar>
            <w:vAlign w:val="center"/>
          </w:tcPr>
          <w:p w14:paraId="111C60E1"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Discharge_Effectiveness</w:t>
            </w:r>
            <w:proofErr w:type="spellEnd"/>
          </w:p>
        </w:tc>
        <w:tc>
          <w:tcPr>
            <w:tcW w:w="1400" w:type="dxa"/>
            <w:tcMar>
              <w:top w:w="80" w:type="dxa"/>
              <w:left w:w="120" w:type="dxa"/>
              <w:bottom w:w="80" w:type="dxa"/>
              <w:right w:w="120" w:type="dxa"/>
            </w:tcMar>
            <w:vAlign w:val="center"/>
          </w:tcPr>
          <w:p w14:paraId="08BD4E7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6176E91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Discharges ÷ HHS care population</w:t>
            </w:r>
          </w:p>
        </w:tc>
      </w:tr>
      <w:tr w:rsidR="009D6C83" w:rsidRPr="00E15BEA" w14:paraId="677B5742" w14:textId="77777777" w:rsidTr="00DE1781">
        <w:tc>
          <w:tcPr>
            <w:tcW w:w="3800" w:type="dxa"/>
            <w:tcMar>
              <w:top w:w="80" w:type="dxa"/>
              <w:left w:w="120" w:type="dxa"/>
              <w:bottom w:w="80" w:type="dxa"/>
              <w:right w:w="120" w:type="dxa"/>
            </w:tcMar>
            <w:vAlign w:val="center"/>
          </w:tcPr>
          <w:p w14:paraId="04C92466"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Transfer_to_Discharge_Ratio</w:t>
            </w:r>
            <w:proofErr w:type="spellEnd"/>
          </w:p>
        </w:tc>
        <w:tc>
          <w:tcPr>
            <w:tcW w:w="1400" w:type="dxa"/>
            <w:tcMar>
              <w:top w:w="80" w:type="dxa"/>
              <w:left w:w="120" w:type="dxa"/>
              <w:bottom w:w="80" w:type="dxa"/>
              <w:right w:w="120" w:type="dxa"/>
            </w:tcMar>
            <w:vAlign w:val="center"/>
          </w:tcPr>
          <w:p w14:paraId="33860478"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376637E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Transfers ÷ discharges</w:t>
            </w:r>
          </w:p>
        </w:tc>
      </w:tr>
      <w:tr w:rsidR="009D6C83" w:rsidRPr="00E15BEA" w14:paraId="2FF463A7" w14:textId="77777777" w:rsidTr="00DE1781">
        <w:tc>
          <w:tcPr>
            <w:tcW w:w="3800" w:type="dxa"/>
            <w:tcMar>
              <w:top w:w="80" w:type="dxa"/>
              <w:left w:w="120" w:type="dxa"/>
              <w:bottom w:w="80" w:type="dxa"/>
              <w:right w:w="120" w:type="dxa"/>
            </w:tcMar>
            <w:vAlign w:val="center"/>
          </w:tcPr>
          <w:p w14:paraId="01CF5D9D"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HHS_Care_Load_Ratio</w:t>
            </w:r>
            <w:proofErr w:type="spellEnd"/>
          </w:p>
        </w:tc>
        <w:tc>
          <w:tcPr>
            <w:tcW w:w="1400" w:type="dxa"/>
            <w:tcMar>
              <w:top w:w="80" w:type="dxa"/>
              <w:left w:w="120" w:type="dxa"/>
              <w:bottom w:w="80" w:type="dxa"/>
              <w:right w:w="120" w:type="dxa"/>
            </w:tcMar>
            <w:vAlign w:val="center"/>
          </w:tcPr>
          <w:p w14:paraId="0B471353"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40BD0EF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Relative HHS care population load</w:t>
            </w:r>
          </w:p>
        </w:tc>
      </w:tr>
      <w:tr w:rsidR="009D6C83" w:rsidRPr="00E15BEA" w14:paraId="4297BDEA" w14:textId="77777777" w:rsidTr="00DE1781">
        <w:tc>
          <w:tcPr>
            <w:tcW w:w="3800" w:type="dxa"/>
            <w:tcMar>
              <w:top w:w="80" w:type="dxa"/>
              <w:left w:w="120" w:type="dxa"/>
              <w:bottom w:w="80" w:type="dxa"/>
              <w:right w:w="120" w:type="dxa"/>
            </w:tcMar>
            <w:vAlign w:val="center"/>
          </w:tcPr>
          <w:p w14:paraId="4D9FDC3A"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Pipeline_Throughput</w:t>
            </w:r>
            <w:proofErr w:type="spellEnd"/>
          </w:p>
        </w:tc>
        <w:tc>
          <w:tcPr>
            <w:tcW w:w="1400" w:type="dxa"/>
            <w:tcMar>
              <w:top w:w="80" w:type="dxa"/>
              <w:left w:w="120" w:type="dxa"/>
              <w:bottom w:w="80" w:type="dxa"/>
              <w:right w:w="120" w:type="dxa"/>
            </w:tcMar>
            <w:vAlign w:val="center"/>
          </w:tcPr>
          <w:p w14:paraId="08D07FC1"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41C1CB0E"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Total exits ÷ total entries</w:t>
            </w:r>
          </w:p>
        </w:tc>
      </w:tr>
      <w:tr w:rsidR="009D6C83" w:rsidRPr="00E15BEA" w14:paraId="1769873A" w14:textId="77777777" w:rsidTr="00DE1781">
        <w:tc>
          <w:tcPr>
            <w:tcW w:w="3800" w:type="dxa"/>
            <w:tcMar>
              <w:top w:w="80" w:type="dxa"/>
              <w:left w:w="120" w:type="dxa"/>
              <w:bottom w:w="80" w:type="dxa"/>
              <w:right w:w="120" w:type="dxa"/>
            </w:tcMar>
            <w:vAlign w:val="center"/>
          </w:tcPr>
          <w:p w14:paraId="525D8E14"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Transfer_Backlog</w:t>
            </w:r>
            <w:proofErr w:type="spellEnd"/>
          </w:p>
        </w:tc>
        <w:tc>
          <w:tcPr>
            <w:tcW w:w="1400" w:type="dxa"/>
            <w:tcMar>
              <w:top w:w="80" w:type="dxa"/>
              <w:left w:w="120" w:type="dxa"/>
              <w:bottom w:w="80" w:type="dxa"/>
              <w:right w:w="120" w:type="dxa"/>
            </w:tcMar>
            <w:vAlign w:val="center"/>
          </w:tcPr>
          <w:p w14:paraId="6A20677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Integer</w:t>
            </w:r>
          </w:p>
        </w:tc>
        <w:tc>
          <w:tcPr>
            <w:tcW w:w="4160" w:type="dxa"/>
            <w:tcMar>
              <w:top w:w="80" w:type="dxa"/>
              <w:left w:w="120" w:type="dxa"/>
              <w:bottom w:w="80" w:type="dxa"/>
              <w:right w:w="120" w:type="dxa"/>
            </w:tcMar>
            <w:vAlign w:val="center"/>
          </w:tcPr>
          <w:p w14:paraId="782DFDA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Net daily flow imbalance</w:t>
            </w:r>
          </w:p>
        </w:tc>
      </w:tr>
      <w:tr w:rsidR="009D6C83" w:rsidRPr="00E15BEA" w14:paraId="19529255" w14:textId="77777777" w:rsidTr="00DE1781">
        <w:tc>
          <w:tcPr>
            <w:tcW w:w="3800" w:type="dxa"/>
            <w:tcMar>
              <w:top w:w="80" w:type="dxa"/>
              <w:left w:w="120" w:type="dxa"/>
              <w:bottom w:w="80" w:type="dxa"/>
              <w:right w:w="120" w:type="dxa"/>
            </w:tcMar>
            <w:vAlign w:val="center"/>
          </w:tcPr>
          <w:p w14:paraId="46758A85"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Day_Type</w:t>
            </w:r>
            <w:proofErr w:type="spellEnd"/>
            <w:r w:rsidRPr="00E15BEA">
              <w:rPr>
                <w:rFonts w:ascii="Times New Roman" w:hAnsi="Times New Roman" w:cs="Times New Roman"/>
                <w:color w:val="000000"/>
                <w:sz w:val="20"/>
                <w:szCs w:val="20"/>
              </w:rPr>
              <w:t xml:space="preserve"> / </w:t>
            </w:r>
            <w:proofErr w:type="spellStart"/>
            <w:r w:rsidRPr="00E15BEA">
              <w:rPr>
                <w:rFonts w:ascii="Times New Roman" w:hAnsi="Times New Roman" w:cs="Times New Roman"/>
                <w:color w:val="000000"/>
                <w:sz w:val="20"/>
                <w:szCs w:val="20"/>
              </w:rPr>
              <w:t>Day_Name</w:t>
            </w:r>
            <w:proofErr w:type="spellEnd"/>
          </w:p>
        </w:tc>
        <w:tc>
          <w:tcPr>
            <w:tcW w:w="1400" w:type="dxa"/>
            <w:tcMar>
              <w:top w:w="80" w:type="dxa"/>
              <w:left w:w="120" w:type="dxa"/>
              <w:bottom w:w="80" w:type="dxa"/>
              <w:right w:w="120" w:type="dxa"/>
            </w:tcMar>
            <w:vAlign w:val="center"/>
          </w:tcPr>
          <w:p w14:paraId="264FF0F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Categorical</w:t>
            </w:r>
          </w:p>
        </w:tc>
        <w:tc>
          <w:tcPr>
            <w:tcW w:w="4160" w:type="dxa"/>
            <w:tcMar>
              <w:top w:w="80" w:type="dxa"/>
              <w:left w:w="120" w:type="dxa"/>
              <w:bottom w:w="80" w:type="dxa"/>
              <w:right w:w="120" w:type="dxa"/>
            </w:tcMar>
            <w:vAlign w:val="center"/>
          </w:tcPr>
          <w:p w14:paraId="63DC666F"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Weekday/Weekend flag and day name</w:t>
            </w:r>
          </w:p>
        </w:tc>
      </w:tr>
      <w:tr w:rsidR="009D6C83" w:rsidRPr="00E15BEA" w14:paraId="1F09B436" w14:textId="77777777" w:rsidTr="00DE1781">
        <w:tc>
          <w:tcPr>
            <w:tcW w:w="3800" w:type="dxa"/>
            <w:tcMar>
              <w:top w:w="80" w:type="dxa"/>
              <w:left w:w="120" w:type="dxa"/>
              <w:bottom w:w="80" w:type="dxa"/>
              <w:right w:w="120" w:type="dxa"/>
            </w:tcMar>
            <w:vAlign w:val="center"/>
          </w:tcPr>
          <w:p w14:paraId="0FC490D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Alert</w:t>
            </w:r>
          </w:p>
        </w:tc>
        <w:tc>
          <w:tcPr>
            <w:tcW w:w="1400" w:type="dxa"/>
            <w:tcMar>
              <w:top w:w="80" w:type="dxa"/>
              <w:left w:w="120" w:type="dxa"/>
              <w:bottom w:w="80" w:type="dxa"/>
              <w:right w:w="120" w:type="dxa"/>
            </w:tcMar>
            <w:vAlign w:val="center"/>
          </w:tcPr>
          <w:p w14:paraId="02F51FF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Categorical</w:t>
            </w:r>
          </w:p>
        </w:tc>
        <w:tc>
          <w:tcPr>
            <w:tcW w:w="4160" w:type="dxa"/>
            <w:tcMar>
              <w:top w:w="80" w:type="dxa"/>
              <w:left w:w="120" w:type="dxa"/>
              <w:bottom w:w="80" w:type="dxa"/>
              <w:right w:w="120" w:type="dxa"/>
            </w:tcMar>
            <w:vAlign w:val="center"/>
          </w:tcPr>
          <w:p w14:paraId="10D6E486"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Normal / Warning operational flag</w:t>
            </w:r>
          </w:p>
        </w:tc>
      </w:tr>
      <w:tr w:rsidR="009D6C83" w:rsidRPr="00E15BEA" w14:paraId="72331F0C" w14:textId="77777777" w:rsidTr="00DE1781">
        <w:tc>
          <w:tcPr>
            <w:tcW w:w="3800" w:type="dxa"/>
            <w:tcMar>
              <w:top w:w="80" w:type="dxa"/>
              <w:left w:w="120" w:type="dxa"/>
              <w:bottom w:w="80" w:type="dxa"/>
              <w:right w:w="120" w:type="dxa"/>
            </w:tcMar>
            <w:vAlign w:val="center"/>
          </w:tcPr>
          <w:p w14:paraId="525349B1"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Rolling_Transfer_Efficiency</w:t>
            </w:r>
            <w:proofErr w:type="spellEnd"/>
          </w:p>
        </w:tc>
        <w:tc>
          <w:tcPr>
            <w:tcW w:w="1400" w:type="dxa"/>
            <w:tcMar>
              <w:top w:w="80" w:type="dxa"/>
              <w:left w:w="120" w:type="dxa"/>
              <w:bottom w:w="80" w:type="dxa"/>
              <w:right w:w="120" w:type="dxa"/>
            </w:tcMar>
            <w:vAlign w:val="center"/>
          </w:tcPr>
          <w:p w14:paraId="603EEF7A"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697615E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Smoothed Transfer Efficiency</w:t>
            </w:r>
          </w:p>
        </w:tc>
      </w:tr>
      <w:tr w:rsidR="009D6C83" w:rsidRPr="00E15BEA" w14:paraId="1D9511DC" w14:textId="77777777" w:rsidTr="00DE1781">
        <w:tc>
          <w:tcPr>
            <w:tcW w:w="3800" w:type="dxa"/>
            <w:tcMar>
              <w:top w:w="80" w:type="dxa"/>
              <w:left w:w="120" w:type="dxa"/>
              <w:bottom w:w="80" w:type="dxa"/>
              <w:right w:w="120" w:type="dxa"/>
            </w:tcMar>
            <w:vAlign w:val="center"/>
          </w:tcPr>
          <w:p w14:paraId="2E3B1149"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Rolling_Discharge_Effectiveness</w:t>
            </w:r>
            <w:proofErr w:type="spellEnd"/>
          </w:p>
        </w:tc>
        <w:tc>
          <w:tcPr>
            <w:tcW w:w="1400" w:type="dxa"/>
            <w:tcMar>
              <w:top w:w="80" w:type="dxa"/>
              <w:left w:w="120" w:type="dxa"/>
              <w:bottom w:w="80" w:type="dxa"/>
              <w:right w:w="120" w:type="dxa"/>
            </w:tcMar>
            <w:vAlign w:val="center"/>
          </w:tcPr>
          <w:p w14:paraId="2B12F629"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Float</w:t>
            </w:r>
          </w:p>
        </w:tc>
        <w:tc>
          <w:tcPr>
            <w:tcW w:w="4160" w:type="dxa"/>
            <w:tcMar>
              <w:top w:w="80" w:type="dxa"/>
              <w:left w:w="120" w:type="dxa"/>
              <w:bottom w:w="80" w:type="dxa"/>
              <w:right w:w="120" w:type="dxa"/>
            </w:tcMar>
            <w:vAlign w:val="center"/>
          </w:tcPr>
          <w:p w14:paraId="117A582B"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Smoothed Discharge Effectiveness</w:t>
            </w:r>
          </w:p>
        </w:tc>
      </w:tr>
      <w:tr w:rsidR="009D6C83" w:rsidRPr="00E15BEA" w14:paraId="6B2ACDA1" w14:textId="77777777" w:rsidTr="00DE1781">
        <w:tc>
          <w:tcPr>
            <w:tcW w:w="3800" w:type="dxa"/>
            <w:tcMar>
              <w:top w:w="80" w:type="dxa"/>
              <w:left w:w="120" w:type="dxa"/>
              <w:bottom w:w="80" w:type="dxa"/>
              <w:right w:w="120" w:type="dxa"/>
            </w:tcMar>
            <w:vAlign w:val="center"/>
          </w:tcPr>
          <w:p w14:paraId="7ADAED26" w14:textId="77777777" w:rsidR="009D6C83" w:rsidRPr="00E15BEA" w:rsidRDefault="00830EFB">
            <w:pPr>
              <w:rPr>
                <w:rFonts w:ascii="Times New Roman" w:hAnsi="Times New Roman" w:cs="Times New Roman"/>
              </w:rPr>
            </w:pPr>
            <w:proofErr w:type="spellStart"/>
            <w:r w:rsidRPr="00E15BEA">
              <w:rPr>
                <w:rFonts w:ascii="Times New Roman" w:hAnsi="Times New Roman" w:cs="Times New Roman"/>
                <w:color w:val="000000"/>
                <w:sz w:val="20"/>
                <w:szCs w:val="20"/>
              </w:rPr>
              <w:t>Stagnation_Flag</w:t>
            </w:r>
            <w:proofErr w:type="spellEnd"/>
            <w:r w:rsidRPr="00E15BEA">
              <w:rPr>
                <w:rFonts w:ascii="Times New Roman" w:hAnsi="Times New Roman" w:cs="Times New Roman"/>
                <w:color w:val="000000"/>
                <w:sz w:val="20"/>
                <w:szCs w:val="20"/>
              </w:rPr>
              <w:t xml:space="preserve"> / </w:t>
            </w:r>
            <w:proofErr w:type="spellStart"/>
            <w:r w:rsidRPr="00E15BEA">
              <w:rPr>
                <w:rFonts w:ascii="Times New Roman" w:hAnsi="Times New Roman" w:cs="Times New Roman"/>
                <w:color w:val="000000"/>
                <w:sz w:val="20"/>
                <w:szCs w:val="20"/>
              </w:rPr>
              <w:t>Stagnation_Period</w:t>
            </w:r>
            <w:proofErr w:type="spellEnd"/>
          </w:p>
        </w:tc>
        <w:tc>
          <w:tcPr>
            <w:tcW w:w="1400" w:type="dxa"/>
            <w:tcMar>
              <w:top w:w="80" w:type="dxa"/>
              <w:left w:w="120" w:type="dxa"/>
              <w:bottom w:w="80" w:type="dxa"/>
              <w:right w:w="120" w:type="dxa"/>
            </w:tcMar>
            <w:vAlign w:val="center"/>
          </w:tcPr>
          <w:p w14:paraId="3BC8CEE7"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Binary / Integer</w:t>
            </w:r>
          </w:p>
        </w:tc>
        <w:tc>
          <w:tcPr>
            <w:tcW w:w="4160" w:type="dxa"/>
            <w:tcMar>
              <w:top w:w="80" w:type="dxa"/>
              <w:left w:w="120" w:type="dxa"/>
              <w:bottom w:w="80" w:type="dxa"/>
              <w:right w:w="120" w:type="dxa"/>
            </w:tcMar>
            <w:vAlign w:val="center"/>
          </w:tcPr>
          <w:p w14:paraId="21B656C0" w14:textId="77777777" w:rsidR="009D6C83" w:rsidRPr="00E15BEA" w:rsidRDefault="00830EFB">
            <w:pPr>
              <w:rPr>
                <w:rFonts w:ascii="Times New Roman" w:hAnsi="Times New Roman" w:cs="Times New Roman"/>
              </w:rPr>
            </w:pPr>
            <w:r w:rsidRPr="00E15BEA">
              <w:rPr>
                <w:rFonts w:ascii="Times New Roman" w:hAnsi="Times New Roman" w:cs="Times New Roman"/>
                <w:color w:val="000000"/>
                <w:sz w:val="20"/>
                <w:szCs w:val="20"/>
              </w:rPr>
              <w:t>Low-efficiency streak indicator and length</w:t>
            </w:r>
          </w:p>
        </w:tc>
      </w:tr>
    </w:tbl>
    <w:p w14:paraId="641F7712" w14:textId="77777777" w:rsidR="009D6C83" w:rsidRDefault="00830EFB">
      <w:pPr>
        <w:spacing w:before="80" w:after="240"/>
        <w:jc w:val="center"/>
        <w:rPr>
          <w:rFonts w:ascii="Times New Roman" w:hAnsi="Times New Roman" w:cs="Times New Roman"/>
          <w:i/>
          <w:iCs/>
          <w:color w:val="555555"/>
          <w:sz w:val="20"/>
          <w:szCs w:val="20"/>
        </w:rPr>
      </w:pPr>
      <w:r w:rsidRPr="00E15BEA">
        <w:rPr>
          <w:rFonts w:ascii="Times New Roman" w:hAnsi="Times New Roman" w:cs="Times New Roman"/>
          <w:i/>
          <w:iCs/>
          <w:color w:val="555555"/>
          <w:sz w:val="20"/>
          <w:szCs w:val="20"/>
        </w:rPr>
        <w:t>Table A1. Complete schema of the cleaned UAC dataset.</w:t>
      </w:r>
    </w:p>
    <w:p w14:paraId="26F7D811" w14:textId="77777777" w:rsidR="003751A4" w:rsidRDefault="003751A4" w:rsidP="003751A4">
      <w:pPr>
        <w:spacing w:before="80" w:after="240"/>
        <w:rPr>
          <w:rFonts w:ascii="Times New Roman" w:hAnsi="Times New Roman" w:cs="Times New Roman"/>
          <w:i/>
          <w:iCs/>
          <w:color w:val="555555"/>
          <w:sz w:val="20"/>
          <w:szCs w:val="20"/>
        </w:rPr>
      </w:pPr>
    </w:p>
    <w:p w14:paraId="04092FC8" w14:textId="77777777" w:rsidR="00DE1781" w:rsidRDefault="00DE1781" w:rsidP="00DE1781">
      <w:pPr>
        <w:spacing w:before="80" w:after="240"/>
        <w:rPr>
          <w:rFonts w:ascii="Times New Roman" w:hAnsi="Times New Roman" w:cs="Times New Roman"/>
        </w:rPr>
      </w:pPr>
    </w:p>
    <w:p w14:paraId="2E0BE728" w14:textId="77777777" w:rsidR="003751A4" w:rsidRDefault="003751A4" w:rsidP="00DE1781">
      <w:pPr>
        <w:spacing w:before="80" w:after="240"/>
        <w:rPr>
          <w:rFonts w:ascii="Times New Roman" w:hAnsi="Times New Roman" w:cs="Times New Roman"/>
        </w:rPr>
      </w:pPr>
    </w:p>
    <w:p w14:paraId="069948AE" w14:textId="77777777" w:rsidR="003751A4" w:rsidRDefault="003751A4" w:rsidP="00DE1781">
      <w:pPr>
        <w:spacing w:before="80" w:after="240"/>
        <w:rPr>
          <w:rFonts w:ascii="Times New Roman" w:hAnsi="Times New Roman" w:cs="Times New Roman"/>
        </w:rPr>
      </w:pPr>
    </w:p>
    <w:p w14:paraId="497ECEFB" w14:textId="77777777" w:rsidR="003751A4" w:rsidRDefault="003751A4" w:rsidP="00DE1781">
      <w:pPr>
        <w:spacing w:before="80" w:after="240"/>
        <w:rPr>
          <w:rFonts w:ascii="Times New Roman" w:hAnsi="Times New Roman" w:cs="Times New Roman"/>
        </w:rPr>
      </w:pPr>
    </w:p>
    <w:p w14:paraId="7F56897A" w14:textId="77777777" w:rsidR="003751A4" w:rsidRDefault="003751A4" w:rsidP="00DE1781">
      <w:pPr>
        <w:spacing w:before="80" w:after="240"/>
        <w:rPr>
          <w:rFonts w:ascii="Times New Roman" w:hAnsi="Times New Roman" w:cs="Times New Roman"/>
        </w:rPr>
      </w:pPr>
    </w:p>
    <w:p w14:paraId="2E7E486D" w14:textId="77777777" w:rsidR="003751A4" w:rsidRDefault="003751A4" w:rsidP="00DE1781">
      <w:pPr>
        <w:spacing w:before="80" w:after="240"/>
        <w:rPr>
          <w:rFonts w:ascii="Times New Roman" w:hAnsi="Times New Roman" w:cs="Times New Roman"/>
        </w:rPr>
      </w:pPr>
    </w:p>
    <w:p w14:paraId="4803CB0C" w14:textId="77777777" w:rsidR="003751A4" w:rsidRPr="003751A4" w:rsidRDefault="003751A4" w:rsidP="003751A4">
      <w:pPr>
        <w:pStyle w:val="Heading1"/>
        <w:rPr>
          <w:rFonts w:ascii="Times New Roman" w:hAnsi="Times New Roman" w:cs="Times New Roman"/>
          <w:color w:val="auto"/>
        </w:rPr>
      </w:pPr>
      <w:r w:rsidRPr="003751A4">
        <w:rPr>
          <w:rFonts w:ascii="Times New Roman" w:hAnsi="Times New Roman" w:cs="Times New Roman"/>
          <w:color w:val="auto"/>
        </w:rPr>
        <w:lastRenderedPageBreak/>
        <w:t>Appendix B: KPI Formula Reference</w:t>
      </w:r>
    </w:p>
    <w:p w14:paraId="54917049" w14:textId="77777777" w:rsidR="003751A4" w:rsidRDefault="003751A4" w:rsidP="003751A4">
      <w:pPr>
        <w:spacing w:after="160" w:line="360" w:lineRule="auto"/>
        <w:jc w:val="both"/>
        <w:rPr>
          <w:rFonts w:ascii="Times New Roman" w:hAnsi="Times New Roman" w:cs="Times New Roman"/>
        </w:rPr>
      </w:pPr>
      <w:r w:rsidRPr="003751A4">
        <w:rPr>
          <w:rFonts w:ascii="Times New Roman" w:hAnsi="Times New Roman" w:cs="Times New Roman"/>
        </w:rPr>
        <w:t xml:space="preserve">This appendix consolidates the formula, interpretation, and ideal direction for each of the five core KPIs derived and used throughout this study and the accompanying </w:t>
      </w:r>
      <w:proofErr w:type="spellStart"/>
      <w:r w:rsidRPr="003751A4">
        <w:rPr>
          <w:rFonts w:ascii="Times New Roman" w:hAnsi="Times New Roman" w:cs="Times New Roman"/>
        </w:rPr>
        <w:t>Streamlit</w:t>
      </w:r>
      <w:proofErr w:type="spellEnd"/>
      <w:r w:rsidRPr="003751A4">
        <w:rPr>
          <w:rFonts w:ascii="Times New Roman" w:hAnsi="Times New Roman" w:cs="Times New Roman"/>
        </w:rPr>
        <w:t xml:space="preserve"> dashboard, for quick reference.</w:t>
      </w:r>
    </w:p>
    <w:p w14:paraId="603458B5" w14:textId="77777777" w:rsidR="00B633B4" w:rsidRPr="00B633B4" w:rsidRDefault="00B633B4" w:rsidP="003751A4">
      <w:pPr>
        <w:spacing w:after="160" w:line="360" w:lineRule="auto"/>
        <w:jc w:val="both"/>
        <w:rPr>
          <w:rFonts w:ascii="Times New Roman" w:hAnsi="Times New Roman" w:cs="Times New Roman"/>
          <w:sz w:val="6"/>
          <w:szCs w:val="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3751A4" w:rsidRPr="003751A4" w14:paraId="079BF4F3" w14:textId="77777777" w:rsidTr="003751A4">
        <w:trPr>
          <w:tblHeader/>
        </w:trPr>
        <w:tc>
          <w:tcPr>
            <w:tcW w:w="2600" w:type="dxa"/>
            <w:shd w:val="clear" w:color="auto" w:fill="0B3C5D"/>
            <w:tcMar>
              <w:top w:w="80" w:type="dxa"/>
              <w:left w:w="120" w:type="dxa"/>
              <w:bottom w:w="80" w:type="dxa"/>
              <w:right w:w="120" w:type="dxa"/>
            </w:tcMar>
            <w:vAlign w:val="center"/>
          </w:tcPr>
          <w:p w14:paraId="6A8D940F"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KPI</w:t>
            </w:r>
          </w:p>
        </w:tc>
        <w:tc>
          <w:tcPr>
            <w:tcW w:w="3600" w:type="dxa"/>
            <w:shd w:val="clear" w:color="auto" w:fill="0B3C5D"/>
            <w:tcMar>
              <w:top w:w="80" w:type="dxa"/>
              <w:left w:w="120" w:type="dxa"/>
              <w:bottom w:w="80" w:type="dxa"/>
              <w:right w:w="120" w:type="dxa"/>
            </w:tcMar>
            <w:vAlign w:val="center"/>
          </w:tcPr>
          <w:p w14:paraId="5475E0BC"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Formula</w:t>
            </w:r>
          </w:p>
        </w:tc>
        <w:tc>
          <w:tcPr>
            <w:tcW w:w="3160" w:type="dxa"/>
            <w:shd w:val="clear" w:color="auto" w:fill="0B3C5D"/>
            <w:tcMar>
              <w:top w:w="80" w:type="dxa"/>
              <w:left w:w="120" w:type="dxa"/>
              <w:bottom w:w="80" w:type="dxa"/>
              <w:right w:w="120" w:type="dxa"/>
            </w:tcMar>
            <w:vAlign w:val="center"/>
          </w:tcPr>
          <w:p w14:paraId="493B6B9B"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Interpretation</w:t>
            </w:r>
          </w:p>
        </w:tc>
      </w:tr>
      <w:tr w:rsidR="003751A4" w:rsidRPr="003751A4" w14:paraId="3C4E4B94" w14:textId="77777777" w:rsidTr="003751A4">
        <w:tc>
          <w:tcPr>
            <w:tcW w:w="2600" w:type="dxa"/>
            <w:tcMar>
              <w:top w:w="80" w:type="dxa"/>
              <w:left w:w="120" w:type="dxa"/>
              <w:bottom w:w="80" w:type="dxa"/>
              <w:right w:w="120" w:type="dxa"/>
            </w:tcMar>
            <w:vAlign w:val="center"/>
          </w:tcPr>
          <w:p w14:paraId="0510C760"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Transfer Efficiency Ratio</w:t>
            </w:r>
          </w:p>
        </w:tc>
        <w:tc>
          <w:tcPr>
            <w:tcW w:w="3600" w:type="dxa"/>
            <w:tcMar>
              <w:top w:w="80" w:type="dxa"/>
              <w:left w:w="120" w:type="dxa"/>
              <w:bottom w:w="80" w:type="dxa"/>
              <w:right w:w="120" w:type="dxa"/>
            </w:tcMar>
            <w:vAlign w:val="center"/>
          </w:tcPr>
          <w:p w14:paraId="6FBD711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Children Transferred ÷ Children in CBP Custody</w:t>
            </w:r>
          </w:p>
        </w:tc>
        <w:tc>
          <w:tcPr>
            <w:tcW w:w="3160" w:type="dxa"/>
            <w:tcMar>
              <w:top w:w="80" w:type="dxa"/>
              <w:left w:w="120" w:type="dxa"/>
              <w:bottom w:w="80" w:type="dxa"/>
              <w:right w:w="120" w:type="dxa"/>
            </w:tcMar>
            <w:vAlign w:val="center"/>
          </w:tcPr>
          <w:p w14:paraId="51A8303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Higher is better; reflects CBP → HHS transfer speed</w:t>
            </w:r>
          </w:p>
        </w:tc>
      </w:tr>
      <w:tr w:rsidR="003751A4" w:rsidRPr="003751A4" w14:paraId="37324A79" w14:textId="77777777" w:rsidTr="003751A4">
        <w:tc>
          <w:tcPr>
            <w:tcW w:w="2600" w:type="dxa"/>
            <w:tcMar>
              <w:top w:w="80" w:type="dxa"/>
              <w:left w:w="120" w:type="dxa"/>
              <w:bottom w:w="80" w:type="dxa"/>
              <w:right w:w="120" w:type="dxa"/>
            </w:tcMar>
            <w:vAlign w:val="center"/>
          </w:tcPr>
          <w:p w14:paraId="22B63CF1"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Discharge Effectiveness Index</w:t>
            </w:r>
          </w:p>
        </w:tc>
        <w:tc>
          <w:tcPr>
            <w:tcW w:w="3600" w:type="dxa"/>
            <w:tcMar>
              <w:top w:w="80" w:type="dxa"/>
              <w:left w:w="120" w:type="dxa"/>
              <w:bottom w:w="80" w:type="dxa"/>
              <w:right w:w="120" w:type="dxa"/>
            </w:tcMar>
            <w:vAlign w:val="center"/>
          </w:tcPr>
          <w:p w14:paraId="444CAAAA"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Children Discharged ÷ Children in HHS Care</w:t>
            </w:r>
          </w:p>
        </w:tc>
        <w:tc>
          <w:tcPr>
            <w:tcW w:w="3160" w:type="dxa"/>
            <w:tcMar>
              <w:top w:w="80" w:type="dxa"/>
              <w:left w:w="120" w:type="dxa"/>
              <w:bottom w:w="80" w:type="dxa"/>
              <w:right w:w="120" w:type="dxa"/>
            </w:tcMar>
            <w:vAlign w:val="center"/>
          </w:tcPr>
          <w:p w14:paraId="4C3C0FAD"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Higher is better; reflects sponsor placement success</w:t>
            </w:r>
          </w:p>
        </w:tc>
      </w:tr>
      <w:tr w:rsidR="003751A4" w:rsidRPr="003751A4" w14:paraId="4047AA0A" w14:textId="77777777" w:rsidTr="003751A4">
        <w:tc>
          <w:tcPr>
            <w:tcW w:w="2600" w:type="dxa"/>
            <w:tcMar>
              <w:top w:w="80" w:type="dxa"/>
              <w:left w:w="120" w:type="dxa"/>
              <w:bottom w:w="80" w:type="dxa"/>
              <w:right w:w="120" w:type="dxa"/>
            </w:tcMar>
            <w:vAlign w:val="center"/>
          </w:tcPr>
          <w:p w14:paraId="1F5FC9A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Pipeline Throughput Rate</w:t>
            </w:r>
          </w:p>
        </w:tc>
        <w:tc>
          <w:tcPr>
            <w:tcW w:w="3600" w:type="dxa"/>
            <w:tcMar>
              <w:top w:w="80" w:type="dxa"/>
              <w:left w:w="120" w:type="dxa"/>
              <w:bottom w:w="80" w:type="dxa"/>
              <w:right w:w="120" w:type="dxa"/>
            </w:tcMar>
            <w:vAlign w:val="center"/>
          </w:tcPr>
          <w:p w14:paraId="38C76F92"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Total Exits ÷ Total Entries</w:t>
            </w:r>
          </w:p>
        </w:tc>
        <w:tc>
          <w:tcPr>
            <w:tcW w:w="3160" w:type="dxa"/>
            <w:tcMar>
              <w:top w:w="80" w:type="dxa"/>
              <w:left w:w="120" w:type="dxa"/>
              <w:bottom w:w="80" w:type="dxa"/>
              <w:right w:w="120" w:type="dxa"/>
            </w:tcMar>
            <w:vAlign w:val="center"/>
          </w:tcPr>
          <w:p w14:paraId="5610097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≥1.0 indicates system clearing backlog; &lt;1.0 indicates growing strain</w:t>
            </w:r>
          </w:p>
        </w:tc>
      </w:tr>
      <w:tr w:rsidR="003751A4" w:rsidRPr="003751A4" w14:paraId="34C69ED4" w14:textId="77777777" w:rsidTr="003751A4">
        <w:tc>
          <w:tcPr>
            <w:tcW w:w="2600" w:type="dxa"/>
            <w:tcMar>
              <w:top w:w="80" w:type="dxa"/>
              <w:left w:w="120" w:type="dxa"/>
              <w:bottom w:w="80" w:type="dxa"/>
              <w:right w:w="120" w:type="dxa"/>
            </w:tcMar>
            <w:vAlign w:val="center"/>
          </w:tcPr>
          <w:p w14:paraId="185327FD"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Backlog Accumulation Rate</w:t>
            </w:r>
          </w:p>
        </w:tc>
        <w:tc>
          <w:tcPr>
            <w:tcW w:w="3600" w:type="dxa"/>
            <w:tcMar>
              <w:top w:w="80" w:type="dxa"/>
              <w:left w:w="120" w:type="dxa"/>
              <w:bottom w:w="80" w:type="dxa"/>
              <w:right w:w="120" w:type="dxa"/>
            </w:tcMar>
            <w:vAlign w:val="center"/>
          </w:tcPr>
          <w:p w14:paraId="4931CD08"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Net daily imbalance between inflow and successful exits</w:t>
            </w:r>
          </w:p>
        </w:tc>
        <w:tc>
          <w:tcPr>
            <w:tcW w:w="3160" w:type="dxa"/>
            <w:tcMar>
              <w:top w:w="80" w:type="dxa"/>
              <w:left w:w="120" w:type="dxa"/>
              <w:bottom w:w="80" w:type="dxa"/>
              <w:right w:w="120" w:type="dxa"/>
            </w:tcMar>
            <w:vAlign w:val="center"/>
          </w:tcPr>
          <w:p w14:paraId="1693879F"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 xml:space="preserve">Lower (closer to zero or negative) is better; tracked cumulatively as </w:t>
            </w:r>
            <w:proofErr w:type="spellStart"/>
            <w:r w:rsidRPr="003751A4">
              <w:rPr>
                <w:rFonts w:ascii="Times New Roman" w:hAnsi="Times New Roman" w:cs="Times New Roman"/>
                <w:color w:val="000000"/>
                <w:sz w:val="20"/>
                <w:szCs w:val="20"/>
              </w:rPr>
              <w:t>Transfer_Backlog</w:t>
            </w:r>
            <w:proofErr w:type="spellEnd"/>
          </w:p>
        </w:tc>
      </w:tr>
      <w:tr w:rsidR="003751A4" w:rsidRPr="003751A4" w14:paraId="12F5937E" w14:textId="77777777" w:rsidTr="003751A4">
        <w:tc>
          <w:tcPr>
            <w:tcW w:w="2600" w:type="dxa"/>
            <w:tcMar>
              <w:top w:w="80" w:type="dxa"/>
              <w:left w:w="120" w:type="dxa"/>
              <w:bottom w:w="80" w:type="dxa"/>
              <w:right w:w="120" w:type="dxa"/>
            </w:tcMar>
            <w:vAlign w:val="center"/>
          </w:tcPr>
          <w:p w14:paraId="42C7EA1B"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Outcome Stability Score</w:t>
            </w:r>
          </w:p>
        </w:tc>
        <w:tc>
          <w:tcPr>
            <w:tcW w:w="3600" w:type="dxa"/>
            <w:tcMar>
              <w:top w:w="80" w:type="dxa"/>
              <w:left w:w="120" w:type="dxa"/>
              <w:bottom w:w="80" w:type="dxa"/>
              <w:right w:w="120" w:type="dxa"/>
            </w:tcMar>
            <w:vAlign w:val="center"/>
          </w:tcPr>
          <w:p w14:paraId="0A6CE56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Standard deviation of Discharge Effectiveness (raw and rolling)</w:t>
            </w:r>
          </w:p>
        </w:tc>
        <w:tc>
          <w:tcPr>
            <w:tcW w:w="3160" w:type="dxa"/>
            <w:tcMar>
              <w:top w:w="80" w:type="dxa"/>
              <w:left w:w="120" w:type="dxa"/>
              <w:bottom w:w="80" w:type="dxa"/>
              <w:right w:w="120" w:type="dxa"/>
            </w:tcMar>
            <w:vAlign w:val="center"/>
          </w:tcPr>
          <w:p w14:paraId="0EA960DC"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Lower is better; reflects consistency of placement outcomes over time</w:t>
            </w:r>
          </w:p>
        </w:tc>
      </w:tr>
    </w:tbl>
    <w:p w14:paraId="72280BC2" w14:textId="77777777" w:rsidR="003751A4" w:rsidRPr="003751A4" w:rsidRDefault="003751A4" w:rsidP="003751A4">
      <w:pPr>
        <w:spacing w:before="80" w:after="240"/>
        <w:jc w:val="center"/>
        <w:rPr>
          <w:rFonts w:ascii="Times New Roman" w:hAnsi="Times New Roman" w:cs="Times New Roman"/>
        </w:rPr>
      </w:pPr>
      <w:r w:rsidRPr="003751A4">
        <w:rPr>
          <w:rFonts w:ascii="Times New Roman" w:hAnsi="Times New Roman" w:cs="Times New Roman"/>
          <w:i/>
          <w:iCs/>
          <w:color w:val="555555"/>
          <w:sz w:val="20"/>
          <w:szCs w:val="20"/>
        </w:rPr>
        <w:t>Table B1. KPI formula and interpretation reference.</w:t>
      </w:r>
    </w:p>
    <w:p w14:paraId="7A97BCDE" w14:textId="77777777" w:rsidR="00B633B4" w:rsidRPr="00B633B4" w:rsidRDefault="00B633B4" w:rsidP="003751A4">
      <w:pPr>
        <w:spacing w:after="160" w:line="360" w:lineRule="auto"/>
        <w:jc w:val="both"/>
        <w:rPr>
          <w:rFonts w:ascii="Times New Roman" w:hAnsi="Times New Roman" w:cs="Times New Roman"/>
          <w:color w:val="auto"/>
          <w:sz w:val="6"/>
          <w:szCs w:val="6"/>
        </w:rPr>
      </w:pPr>
    </w:p>
    <w:p w14:paraId="0557FA28" w14:textId="6042B7F3" w:rsidR="003751A4" w:rsidRPr="00B633B4" w:rsidRDefault="003751A4" w:rsidP="003751A4">
      <w:pPr>
        <w:spacing w:after="160" w:line="360" w:lineRule="auto"/>
        <w:jc w:val="both"/>
        <w:rPr>
          <w:rFonts w:ascii="Times New Roman" w:hAnsi="Times New Roman" w:cs="Times New Roman"/>
          <w:color w:val="auto"/>
        </w:rPr>
      </w:pPr>
      <w:r w:rsidRPr="00B633B4">
        <w:rPr>
          <w:rFonts w:ascii="Times New Roman" w:hAnsi="Times New Roman" w:cs="Times New Roman"/>
          <w:color w:val="auto"/>
        </w:rPr>
        <w:t>Two supporting diagnostic ratios were also derived from the same underlying fields and are surfaced in the Transfer Analytics dashboard page: the Transfer-to-Discharge Ratio (Transfers ÷ Discharges, where a ratio above 1.0 indicates more children entering HHS care than leaving it on a given day) and the HHS Care Load Ratio, which, as discussed in Section 4.4, is mathematically near-redundant with Discharge Effectiveness and is retained primarily as a corroborating signal rather than an independent KPI.</w:t>
      </w:r>
    </w:p>
    <w:p w14:paraId="1B247A92" w14:textId="77777777" w:rsidR="003751A4" w:rsidRPr="003751A4" w:rsidRDefault="003751A4" w:rsidP="003751A4">
      <w:pPr>
        <w:rPr>
          <w:rFonts w:ascii="Times New Roman" w:hAnsi="Times New Roman" w:cs="Times New Roman"/>
        </w:rPr>
      </w:pPr>
      <w:r w:rsidRPr="003751A4">
        <w:rPr>
          <w:rFonts w:ascii="Times New Roman" w:hAnsi="Times New Roman" w:cs="Times New Roman"/>
        </w:rPr>
        <w:br w:type="page"/>
      </w:r>
    </w:p>
    <w:p w14:paraId="617EE2B1" w14:textId="77777777" w:rsidR="003751A4" w:rsidRPr="003751A4" w:rsidRDefault="003751A4" w:rsidP="003751A4">
      <w:pPr>
        <w:pStyle w:val="Heading1"/>
        <w:rPr>
          <w:rFonts w:ascii="Times New Roman" w:hAnsi="Times New Roman" w:cs="Times New Roman"/>
          <w:color w:val="auto"/>
        </w:rPr>
      </w:pPr>
      <w:r w:rsidRPr="003751A4">
        <w:rPr>
          <w:rFonts w:ascii="Times New Roman" w:hAnsi="Times New Roman" w:cs="Times New Roman"/>
          <w:color w:val="auto"/>
        </w:rPr>
        <w:lastRenderedPageBreak/>
        <w:t>Appendix C: Software and Tools</w:t>
      </w:r>
    </w:p>
    <w:p w14:paraId="5BCB8E38" w14:textId="77777777" w:rsidR="003751A4" w:rsidRDefault="003751A4" w:rsidP="003751A4">
      <w:pPr>
        <w:spacing w:after="160" w:line="360" w:lineRule="auto"/>
        <w:jc w:val="both"/>
        <w:rPr>
          <w:rFonts w:ascii="Times New Roman" w:hAnsi="Times New Roman" w:cs="Times New Roman"/>
        </w:rPr>
      </w:pPr>
      <w:r w:rsidRPr="003751A4">
        <w:rPr>
          <w:rFonts w:ascii="Times New Roman" w:hAnsi="Times New Roman" w:cs="Times New Roman"/>
        </w:rPr>
        <w:t>All analysis, visualization, and dashboard development for this project were conducted using the open-source Python data science stack, summarized in Table C1.</w:t>
      </w:r>
    </w:p>
    <w:p w14:paraId="36148D8B" w14:textId="77777777" w:rsidR="00B633B4" w:rsidRPr="00B633B4" w:rsidRDefault="00B633B4" w:rsidP="003751A4">
      <w:pPr>
        <w:spacing w:after="160" w:line="360" w:lineRule="auto"/>
        <w:jc w:val="both"/>
        <w:rPr>
          <w:rFonts w:ascii="Times New Roman" w:hAnsi="Times New Roman" w:cs="Times New Roman"/>
          <w:sz w:val="2"/>
          <w:szCs w:val="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3751A4" w:rsidRPr="003751A4" w14:paraId="1678F8FB" w14:textId="77777777" w:rsidTr="005F1F5B">
        <w:trPr>
          <w:tblHeader/>
        </w:trPr>
        <w:tc>
          <w:tcPr>
            <w:tcW w:w="3200" w:type="dxa"/>
            <w:shd w:val="clear" w:color="auto" w:fill="0B3C5D"/>
            <w:tcMar>
              <w:top w:w="80" w:type="dxa"/>
              <w:left w:w="120" w:type="dxa"/>
              <w:bottom w:w="80" w:type="dxa"/>
              <w:right w:w="120" w:type="dxa"/>
            </w:tcMar>
            <w:vAlign w:val="center"/>
          </w:tcPr>
          <w:p w14:paraId="2B1BE618"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Tool / Library</w:t>
            </w:r>
          </w:p>
        </w:tc>
        <w:tc>
          <w:tcPr>
            <w:tcW w:w="2400" w:type="dxa"/>
            <w:shd w:val="clear" w:color="auto" w:fill="0B3C5D"/>
            <w:tcMar>
              <w:top w:w="80" w:type="dxa"/>
              <w:left w:w="120" w:type="dxa"/>
              <w:bottom w:w="80" w:type="dxa"/>
              <w:right w:w="120" w:type="dxa"/>
            </w:tcMar>
            <w:vAlign w:val="center"/>
          </w:tcPr>
          <w:p w14:paraId="6856E1D6"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Version Class</w:t>
            </w:r>
          </w:p>
        </w:tc>
        <w:tc>
          <w:tcPr>
            <w:tcW w:w="3760" w:type="dxa"/>
            <w:shd w:val="clear" w:color="auto" w:fill="0B3C5D"/>
            <w:tcMar>
              <w:top w:w="80" w:type="dxa"/>
              <w:left w:w="120" w:type="dxa"/>
              <w:bottom w:w="80" w:type="dxa"/>
              <w:right w:w="120" w:type="dxa"/>
            </w:tcMar>
            <w:vAlign w:val="center"/>
          </w:tcPr>
          <w:p w14:paraId="6822B4A4" w14:textId="77777777" w:rsidR="003751A4" w:rsidRPr="003751A4" w:rsidRDefault="003751A4" w:rsidP="00C3391D">
            <w:pPr>
              <w:rPr>
                <w:rFonts w:ascii="Times New Roman" w:hAnsi="Times New Roman" w:cs="Times New Roman"/>
              </w:rPr>
            </w:pPr>
            <w:r w:rsidRPr="003751A4">
              <w:rPr>
                <w:rFonts w:ascii="Times New Roman" w:hAnsi="Times New Roman" w:cs="Times New Roman"/>
                <w:b/>
                <w:bCs/>
                <w:color w:val="FFFFFF"/>
                <w:sz w:val="20"/>
                <w:szCs w:val="20"/>
              </w:rPr>
              <w:t>Role in Project</w:t>
            </w:r>
          </w:p>
        </w:tc>
      </w:tr>
      <w:tr w:rsidR="003751A4" w:rsidRPr="003751A4" w14:paraId="2BD586E2" w14:textId="77777777" w:rsidTr="005F1F5B">
        <w:tc>
          <w:tcPr>
            <w:tcW w:w="3200" w:type="dxa"/>
            <w:tcMar>
              <w:top w:w="80" w:type="dxa"/>
              <w:left w:w="120" w:type="dxa"/>
              <w:bottom w:w="80" w:type="dxa"/>
              <w:right w:w="120" w:type="dxa"/>
            </w:tcMar>
            <w:vAlign w:val="center"/>
          </w:tcPr>
          <w:p w14:paraId="39F48342"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Python</w:t>
            </w:r>
          </w:p>
        </w:tc>
        <w:tc>
          <w:tcPr>
            <w:tcW w:w="2400" w:type="dxa"/>
            <w:tcMar>
              <w:top w:w="80" w:type="dxa"/>
              <w:left w:w="120" w:type="dxa"/>
              <w:bottom w:w="80" w:type="dxa"/>
              <w:right w:w="120" w:type="dxa"/>
            </w:tcMar>
            <w:vAlign w:val="center"/>
          </w:tcPr>
          <w:p w14:paraId="745C5F2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3.x</w:t>
            </w:r>
          </w:p>
        </w:tc>
        <w:tc>
          <w:tcPr>
            <w:tcW w:w="3760" w:type="dxa"/>
            <w:tcMar>
              <w:top w:w="80" w:type="dxa"/>
              <w:left w:w="120" w:type="dxa"/>
              <w:bottom w:w="80" w:type="dxa"/>
              <w:right w:w="120" w:type="dxa"/>
            </w:tcMar>
            <w:vAlign w:val="center"/>
          </w:tcPr>
          <w:p w14:paraId="16BB55C1"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Core programming language for all data processing and analysis</w:t>
            </w:r>
          </w:p>
        </w:tc>
      </w:tr>
      <w:tr w:rsidR="003751A4" w:rsidRPr="003751A4" w14:paraId="0385B5FA" w14:textId="77777777" w:rsidTr="005F1F5B">
        <w:tc>
          <w:tcPr>
            <w:tcW w:w="3200" w:type="dxa"/>
            <w:tcMar>
              <w:top w:w="80" w:type="dxa"/>
              <w:left w:w="120" w:type="dxa"/>
              <w:bottom w:w="80" w:type="dxa"/>
              <w:right w:w="120" w:type="dxa"/>
            </w:tcMar>
            <w:vAlign w:val="center"/>
          </w:tcPr>
          <w:p w14:paraId="39A467AA"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pandas</w:t>
            </w:r>
          </w:p>
        </w:tc>
        <w:tc>
          <w:tcPr>
            <w:tcW w:w="2400" w:type="dxa"/>
            <w:tcMar>
              <w:top w:w="80" w:type="dxa"/>
              <w:left w:w="120" w:type="dxa"/>
              <w:bottom w:w="80" w:type="dxa"/>
              <w:right w:w="120" w:type="dxa"/>
            </w:tcMar>
            <w:vAlign w:val="center"/>
          </w:tcPr>
          <w:p w14:paraId="7329BD3F"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Data manipulation</w:t>
            </w:r>
          </w:p>
        </w:tc>
        <w:tc>
          <w:tcPr>
            <w:tcW w:w="3760" w:type="dxa"/>
            <w:tcMar>
              <w:top w:w="80" w:type="dxa"/>
              <w:left w:w="120" w:type="dxa"/>
              <w:bottom w:w="80" w:type="dxa"/>
              <w:right w:w="120" w:type="dxa"/>
            </w:tcMar>
            <w:vAlign w:val="center"/>
          </w:tcPr>
          <w:p w14:paraId="234E079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Loading, cleaning, grouping, and aggregating the daily UAC dataset</w:t>
            </w:r>
          </w:p>
        </w:tc>
      </w:tr>
      <w:tr w:rsidR="003751A4" w:rsidRPr="003751A4" w14:paraId="1FCA7269" w14:textId="77777777" w:rsidTr="005F1F5B">
        <w:tc>
          <w:tcPr>
            <w:tcW w:w="3200" w:type="dxa"/>
            <w:tcMar>
              <w:top w:w="80" w:type="dxa"/>
              <w:left w:w="120" w:type="dxa"/>
              <w:bottom w:w="80" w:type="dxa"/>
              <w:right w:w="120" w:type="dxa"/>
            </w:tcMar>
            <w:vAlign w:val="center"/>
          </w:tcPr>
          <w:p w14:paraId="3BA2D8F0"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NumPy</w:t>
            </w:r>
          </w:p>
        </w:tc>
        <w:tc>
          <w:tcPr>
            <w:tcW w:w="2400" w:type="dxa"/>
            <w:tcMar>
              <w:top w:w="80" w:type="dxa"/>
              <w:left w:w="120" w:type="dxa"/>
              <w:bottom w:w="80" w:type="dxa"/>
              <w:right w:w="120" w:type="dxa"/>
            </w:tcMar>
            <w:vAlign w:val="center"/>
          </w:tcPr>
          <w:p w14:paraId="716953F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Numerical computing</w:t>
            </w:r>
          </w:p>
        </w:tc>
        <w:tc>
          <w:tcPr>
            <w:tcW w:w="3760" w:type="dxa"/>
            <w:tcMar>
              <w:top w:w="80" w:type="dxa"/>
              <w:left w:w="120" w:type="dxa"/>
              <w:bottom w:w="80" w:type="dxa"/>
              <w:right w:w="120" w:type="dxa"/>
            </w:tcMar>
            <w:vAlign w:val="center"/>
          </w:tcPr>
          <w:p w14:paraId="70C71055"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Vectorized numerical operations underlying derived metric calculations</w:t>
            </w:r>
          </w:p>
        </w:tc>
      </w:tr>
      <w:tr w:rsidR="003751A4" w:rsidRPr="003751A4" w14:paraId="0435C0B0" w14:textId="77777777" w:rsidTr="005F1F5B">
        <w:tc>
          <w:tcPr>
            <w:tcW w:w="3200" w:type="dxa"/>
            <w:tcMar>
              <w:top w:w="80" w:type="dxa"/>
              <w:left w:w="120" w:type="dxa"/>
              <w:bottom w:w="80" w:type="dxa"/>
              <w:right w:w="120" w:type="dxa"/>
            </w:tcMar>
            <w:vAlign w:val="center"/>
          </w:tcPr>
          <w:p w14:paraId="3493DE6B"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Matplotlib</w:t>
            </w:r>
          </w:p>
        </w:tc>
        <w:tc>
          <w:tcPr>
            <w:tcW w:w="2400" w:type="dxa"/>
            <w:tcMar>
              <w:top w:w="80" w:type="dxa"/>
              <w:left w:w="120" w:type="dxa"/>
              <w:bottom w:w="80" w:type="dxa"/>
              <w:right w:w="120" w:type="dxa"/>
            </w:tcMar>
            <w:vAlign w:val="center"/>
          </w:tcPr>
          <w:p w14:paraId="27C87229"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Static visualization</w:t>
            </w:r>
          </w:p>
        </w:tc>
        <w:tc>
          <w:tcPr>
            <w:tcW w:w="3760" w:type="dxa"/>
            <w:tcMar>
              <w:top w:w="80" w:type="dxa"/>
              <w:left w:w="120" w:type="dxa"/>
              <w:bottom w:w="80" w:type="dxa"/>
              <w:right w:w="120" w:type="dxa"/>
            </w:tcMar>
            <w:vAlign w:val="center"/>
          </w:tcPr>
          <w:p w14:paraId="4FD046B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Generation of all publication-quality figures embedded in this paper</w:t>
            </w:r>
          </w:p>
        </w:tc>
      </w:tr>
      <w:tr w:rsidR="003751A4" w:rsidRPr="003751A4" w14:paraId="54A45387" w14:textId="77777777" w:rsidTr="005F1F5B">
        <w:tc>
          <w:tcPr>
            <w:tcW w:w="3200" w:type="dxa"/>
            <w:tcMar>
              <w:top w:w="80" w:type="dxa"/>
              <w:left w:w="120" w:type="dxa"/>
              <w:bottom w:w="80" w:type="dxa"/>
              <w:right w:w="120" w:type="dxa"/>
            </w:tcMar>
            <w:vAlign w:val="center"/>
          </w:tcPr>
          <w:p w14:paraId="1D2DCA20"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Plotly (</w:t>
            </w:r>
            <w:proofErr w:type="spellStart"/>
            <w:proofErr w:type="gramStart"/>
            <w:r w:rsidRPr="003751A4">
              <w:rPr>
                <w:rFonts w:ascii="Times New Roman" w:hAnsi="Times New Roman" w:cs="Times New Roman"/>
                <w:color w:val="000000"/>
                <w:sz w:val="20"/>
                <w:szCs w:val="20"/>
              </w:rPr>
              <w:t>plotly.express</w:t>
            </w:r>
            <w:proofErr w:type="spellEnd"/>
            <w:proofErr w:type="gramEnd"/>
            <w:r w:rsidRPr="003751A4">
              <w:rPr>
                <w:rFonts w:ascii="Times New Roman" w:hAnsi="Times New Roman" w:cs="Times New Roman"/>
                <w:color w:val="000000"/>
                <w:sz w:val="20"/>
                <w:szCs w:val="20"/>
              </w:rPr>
              <w:t xml:space="preserve"> / </w:t>
            </w:r>
            <w:proofErr w:type="spellStart"/>
            <w:r w:rsidRPr="003751A4">
              <w:rPr>
                <w:rFonts w:ascii="Times New Roman" w:hAnsi="Times New Roman" w:cs="Times New Roman"/>
                <w:color w:val="000000"/>
                <w:sz w:val="20"/>
                <w:szCs w:val="20"/>
              </w:rPr>
              <w:t>graph_objects</w:t>
            </w:r>
            <w:proofErr w:type="spellEnd"/>
            <w:r w:rsidRPr="003751A4">
              <w:rPr>
                <w:rFonts w:ascii="Times New Roman" w:hAnsi="Times New Roman" w:cs="Times New Roman"/>
                <w:color w:val="000000"/>
                <w:sz w:val="20"/>
                <w:szCs w:val="20"/>
              </w:rPr>
              <w:t>)</w:t>
            </w:r>
          </w:p>
        </w:tc>
        <w:tc>
          <w:tcPr>
            <w:tcW w:w="2400" w:type="dxa"/>
            <w:tcMar>
              <w:top w:w="80" w:type="dxa"/>
              <w:left w:w="120" w:type="dxa"/>
              <w:bottom w:w="80" w:type="dxa"/>
              <w:right w:w="120" w:type="dxa"/>
            </w:tcMar>
            <w:vAlign w:val="center"/>
          </w:tcPr>
          <w:p w14:paraId="00AFEB38"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Interactive visualization</w:t>
            </w:r>
          </w:p>
        </w:tc>
        <w:tc>
          <w:tcPr>
            <w:tcW w:w="3760" w:type="dxa"/>
            <w:tcMar>
              <w:top w:w="80" w:type="dxa"/>
              <w:left w:w="120" w:type="dxa"/>
              <w:bottom w:w="80" w:type="dxa"/>
              <w:right w:w="120" w:type="dxa"/>
            </w:tcMar>
            <w:vAlign w:val="center"/>
          </w:tcPr>
          <w:p w14:paraId="77DF82A8"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 xml:space="preserve">All interactive charts within the </w:t>
            </w:r>
            <w:proofErr w:type="spellStart"/>
            <w:r w:rsidRPr="003751A4">
              <w:rPr>
                <w:rFonts w:ascii="Times New Roman" w:hAnsi="Times New Roman" w:cs="Times New Roman"/>
                <w:color w:val="000000"/>
                <w:sz w:val="20"/>
                <w:szCs w:val="20"/>
              </w:rPr>
              <w:t>Streamlit</w:t>
            </w:r>
            <w:proofErr w:type="spellEnd"/>
            <w:r w:rsidRPr="003751A4">
              <w:rPr>
                <w:rFonts w:ascii="Times New Roman" w:hAnsi="Times New Roman" w:cs="Times New Roman"/>
                <w:color w:val="000000"/>
                <w:sz w:val="20"/>
                <w:szCs w:val="20"/>
              </w:rPr>
              <w:t xml:space="preserve"> dashboard</w:t>
            </w:r>
          </w:p>
        </w:tc>
      </w:tr>
      <w:tr w:rsidR="003751A4" w:rsidRPr="003751A4" w14:paraId="3240B7DD" w14:textId="77777777" w:rsidTr="005F1F5B">
        <w:tc>
          <w:tcPr>
            <w:tcW w:w="3200" w:type="dxa"/>
            <w:tcMar>
              <w:top w:w="80" w:type="dxa"/>
              <w:left w:w="120" w:type="dxa"/>
              <w:bottom w:w="80" w:type="dxa"/>
              <w:right w:w="120" w:type="dxa"/>
            </w:tcMar>
            <w:vAlign w:val="center"/>
          </w:tcPr>
          <w:p w14:paraId="3F254805" w14:textId="77777777" w:rsidR="003751A4" w:rsidRPr="003751A4" w:rsidRDefault="003751A4" w:rsidP="00C3391D">
            <w:pPr>
              <w:rPr>
                <w:rFonts w:ascii="Times New Roman" w:hAnsi="Times New Roman" w:cs="Times New Roman"/>
              </w:rPr>
            </w:pPr>
            <w:proofErr w:type="spellStart"/>
            <w:r w:rsidRPr="003751A4">
              <w:rPr>
                <w:rFonts w:ascii="Times New Roman" w:hAnsi="Times New Roman" w:cs="Times New Roman"/>
                <w:color w:val="000000"/>
                <w:sz w:val="20"/>
                <w:szCs w:val="20"/>
              </w:rPr>
              <w:t>Streamlit</w:t>
            </w:r>
            <w:proofErr w:type="spellEnd"/>
          </w:p>
        </w:tc>
        <w:tc>
          <w:tcPr>
            <w:tcW w:w="2400" w:type="dxa"/>
            <w:tcMar>
              <w:top w:w="80" w:type="dxa"/>
              <w:left w:w="120" w:type="dxa"/>
              <w:bottom w:w="80" w:type="dxa"/>
              <w:right w:w="120" w:type="dxa"/>
            </w:tcMar>
            <w:vAlign w:val="center"/>
          </w:tcPr>
          <w:p w14:paraId="1448C9D3"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Web application framework</w:t>
            </w:r>
          </w:p>
        </w:tc>
        <w:tc>
          <w:tcPr>
            <w:tcW w:w="3760" w:type="dxa"/>
            <w:tcMar>
              <w:top w:w="80" w:type="dxa"/>
              <w:left w:w="120" w:type="dxa"/>
              <w:bottom w:w="80" w:type="dxa"/>
              <w:right w:w="120" w:type="dxa"/>
            </w:tcMar>
            <w:vAlign w:val="center"/>
          </w:tcPr>
          <w:p w14:paraId="47736D9B"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Construction of the nine-page interactive analytics dashboard</w:t>
            </w:r>
          </w:p>
        </w:tc>
      </w:tr>
      <w:tr w:rsidR="003751A4" w:rsidRPr="003751A4" w14:paraId="2864427D" w14:textId="77777777" w:rsidTr="005F1F5B">
        <w:tc>
          <w:tcPr>
            <w:tcW w:w="3200" w:type="dxa"/>
            <w:tcMar>
              <w:top w:w="80" w:type="dxa"/>
              <w:left w:w="120" w:type="dxa"/>
              <w:bottom w:w="80" w:type="dxa"/>
              <w:right w:w="120" w:type="dxa"/>
            </w:tcMar>
            <w:vAlign w:val="center"/>
          </w:tcPr>
          <w:p w14:paraId="77DA69FB"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python-docx / docx (Node.js)</w:t>
            </w:r>
          </w:p>
        </w:tc>
        <w:tc>
          <w:tcPr>
            <w:tcW w:w="2400" w:type="dxa"/>
            <w:tcMar>
              <w:top w:w="80" w:type="dxa"/>
              <w:left w:w="120" w:type="dxa"/>
              <w:bottom w:w="80" w:type="dxa"/>
              <w:right w:w="120" w:type="dxa"/>
            </w:tcMar>
            <w:vAlign w:val="center"/>
          </w:tcPr>
          <w:p w14:paraId="1120B414"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Document generation</w:t>
            </w:r>
          </w:p>
        </w:tc>
        <w:tc>
          <w:tcPr>
            <w:tcW w:w="3760" w:type="dxa"/>
            <w:tcMar>
              <w:top w:w="80" w:type="dxa"/>
              <w:left w:w="120" w:type="dxa"/>
              <w:bottom w:w="80" w:type="dxa"/>
              <w:right w:w="120" w:type="dxa"/>
            </w:tcMar>
            <w:vAlign w:val="center"/>
          </w:tcPr>
          <w:p w14:paraId="2EA91A57"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Programmatic generation of this research paper</w:t>
            </w:r>
          </w:p>
        </w:tc>
      </w:tr>
      <w:tr w:rsidR="003751A4" w:rsidRPr="003751A4" w14:paraId="02EA166B" w14:textId="77777777" w:rsidTr="005F1F5B">
        <w:tc>
          <w:tcPr>
            <w:tcW w:w="3200" w:type="dxa"/>
            <w:tcMar>
              <w:top w:w="80" w:type="dxa"/>
              <w:left w:w="120" w:type="dxa"/>
              <w:bottom w:w="80" w:type="dxa"/>
              <w:right w:w="120" w:type="dxa"/>
            </w:tcMar>
            <w:vAlign w:val="center"/>
          </w:tcPr>
          <w:p w14:paraId="295788CF" w14:textId="0C61D3CB"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Microsoft Word</w:t>
            </w:r>
          </w:p>
        </w:tc>
        <w:tc>
          <w:tcPr>
            <w:tcW w:w="2400" w:type="dxa"/>
            <w:tcMar>
              <w:top w:w="80" w:type="dxa"/>
              <w:left w:w="120" w:type="dxa"/>
              <w:bottom w:w="80" w:type="dxa"/>
              <w:right w:w="120" w:type="dxa"/>
            </w:tcMar>
            <w:vAlign w:val="center"/>
          </w:tcPr>
          <w:p w14:paraId="1E28270C"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Document rendering</w:t>
            </w:r>
          </w:p>
        </w:tc>
        <w:tc>
          <w:tcPr>
            <w:tcW w:w="3760" w:type="dxa"/>
            <w:tcMar>
              <w:top w:w="80" w:type="dxa"/>
              <w:left w:w="120" w:type="dxa"/>
              <w:bottom w:w="80" w:type="dxa"/>
              <w:right w:w="120" w:type="dxa"/>
            </w:tcMar>
            <w:vAlign w:val="center"/>
          </w:tcPr>
          <w:p w14:paraId="056EB388" w14:textId="77777777" w:rsidR="003751A4" w:rsidRPr="003751A4" w:rsidRDefault="003751A4" w:rsidP="00C3391D">
            <w:pPr>
              <w:rPr>
                <w:rFonts w:ascii="Times New Roman" w:hAnsi="Times New Roman" w:cs="Times New Roman"/>
              </w:rPr>
            </w:pPr>
            <w:r w:rsidRPr="003751A4">
              <w:rPr>
                <w:rFonts w:ascii="Times New Roman" w:hAnsi="Times New Roman" w:cs="Times New Roman"/>
                <w:color w:val="000000"/>
                <w:sz w:val="20"/>
                <w:szCs w:val="20"/>
              </w:rPr>
              <w:t>Final rendering and editing of the research paper output</w:t>
            </w:r>
          </w:p>
        </w:tc>
      </w:tr>
    </w:tbl>
    <w:p w14:paraId="696AA836" w14:textId="77777777" w:rsidR="003751A4" w:rsidRPr="003751A4" w:rsidRDefault="003751A4" w:rsidP="003751A4">
      <w:pPr>
        <w:spacing w:before="80" w:after="240"/>
        <w:jc w:val="center"/>
        <w:rPr>
          <w:rFonts w:ascii="Times New Roman" w:hAnsi="Times New Roman" w:cs="Times New Roman"/>
        </w:rPr>
      </w:pPr>
      <w:r w:rsidRPr="003751A4">
        <w:rPr>
          <w:rFonts w:ascii="Times New Roman" w:hAnsi="Times New Roman" w:cs="Times New Roman"/>
          <w:i/>
          <w:iCs/>
          <w:color w:val="555555"/>
          <w:sz w:val="20"/>
          <w:szCs w:val="20"/>
        </w:rPr>
        <w:t>Table C1. Software and tools used in data processing, analysis, and reporting.</w:t>
      </w:r>
    </w:p>
    <w:p w14:paraId="40032B1F" w14:textId="77777777" w:rsidR="00B633B4" w:rsidRPr="00B633B4" w:rsidRDefault="00B633B4" w:rsidP="003751A4">
      <w:pPr>
        <w:spacing w:after="160" w:line="360" w:lineRule="auto"/>
        <w:jc w:val="both"/>
        <w:rPr>
          <w:rFonts w:ascii="Times New Roman" w:hAnsi="Times New Roman" w:cs="Times New Roman"/>
          <w:sz w:val="2"/>
          <w:szCs w:val="2"/>
        </w:rPr>
      </w:pPr>
    </w:p>
    <w:p w14:paraId="3BC4194E" w14:textId="4DB8593B" w:rsidR="003751A4" w:rsidRPr="003751A4" w:rsidRDefault="003751A4" w:rsidP="003751A4">
      <w:pPr>
        <w:spacing w:after="160" w:line="360" w:lineRule="auto"/>
        <w:jc w:val="both"/>
        <w:rPr>
          <w:rFonts w:ascii="Times New Roman" w:hAnsi="Times New Roman" w:cs="Times New Roman"/>
        </w:rPr>
      </w:pPr>
      <w:r w:rsidRPr="003751A4">
        <w:rPr>
          <w:rFonts w:ascii="Times New Roman" w:hAnsi="Times New Roman" w:cs="Times New Roman"/>
        </w:rPr>
        <w:t xml:space="preserve">The complete </w:t>
      </w:r>
      <w:proofErr w:type="spellStart"/>
      <w:r w:rsidRPr="003751A4">
        <w:rPr>
          <w:rFonts w:ascii="Times New Roman" w:hAnsi="Times New Roman" w:cs="Times New Roman"/>
        </w:rPr>
        <w:t>Streamlit</w:t>
      </w:r>
      <w:proofErr w:type="spellEnd"/>
      <w:r w:rsidRPr="003751A4">
        <w:rPr>
          <w:rFonts w:ascii="Times New Roman" w:hAnsi="Times New Roman" w:cs="Times New Roman"/>
        </w:rPr>
        <w:t xml:space="preserve"> dashboard source code is organized into </w:t>
      </w:r>
      <w:proofErr w:type="gramStart"/>
      <w:r w:rsidR="005605C8">
        <w:rPr>
          <w:rFonts w:ascii="Times New Roman" w:hAnsi="Times New Roman" w:cs="Times New Roman"/>
        </w:rPr>
        <w:t>ten</w:t>
      </w:r>
      <w:r w:rsidRPr="003751A4">
        <w:rPr>
          <w:rFonts w:ascii="Times New Roman" w:hAnsi="Times New Roman" w:cs="Times New Roman"/>
        </w:rPr>
        <w:t xml:space="preserve"> page</w:t>
      </w:r>
      <w:proofErr w:type="gramEnd"/>
      <w:r w:rsidRPr="003751A4">
        <w:rPr>
          <w:rFonts w:ascii="Times New Roman" w:hAnsi="Times New Roman" w:cs="Times New Roman"/>
        </w:rPr>
        <w:t xml:space="preserve"> modules (see Table 4, Section 6.3) plus a shared entry-point application, all reading from the single cleaned_uac.csv dataset described in Appendix A. No proprietary or licensed software was required to reproduce any analysis, figure, or KPI presented in this study.</w:t>
      </w:r>
    </w:p>
    <w:p w14:paraId="6D0B8F36" w14:textId="77777777" w:rsidR="003751A4" w:rsidRPr="003751A4" w:rsidRDefault="003751A4" w:rsidP="003751A4">
      <w:pPr>
        <w:rPr>
          <w:rFonts w:ascii="Times New Roman" w:hAnsi="Times New Roman" w:cs="Times New Roman"/>
        </w:rPr>
      </w:pPr>
      <w:r w:rsidRPr="003751A4">
        <w:rPr>
          <w:rFonts w:ascii="Times New Roman" w:hAnsi="Times New Roman" w:cs="Times New Roman"/>
        </w:rPr>
        <w:br w:type="page"/>
      </w:r>
    </w:p>
    <w:p w14:paraId="6F820E90" w14:textId="77777777" w:rsidR="003751A4" w:rsidRPr="003751A4" w:rsidRDefault="003751A4" w:rsidP="003751A4">
      <w:pPr>
        <w:pStyle w:val="Heading1"/>
        <w:rPr>
          <w:rFonts w:ascii="Times New Roman" w:hAnsi="Times New Roman" w:cs="Times New Roman"/>
          <w:color w:val="auto"/>
        </w:rPr>
      </w:pPr>
      <w:r w:rsidRPr="003751A4">
        <w:rPr>
          <w:rFonts w:ascii="Times New Roman" w:hAnsi="Times New Roman" w:cs="Times New Roman"/>
          <w:color w:val="auto"/>
        </w:rPr>
        <w:lastRenderedPageBreak/>
        <w:t>About the Author</w:t>
      </w:r>
    </w:p>
    <w:p w14:paraId="6B75A591" w14:textId="2E98901A" w:rsidR="003751A4" w:rsidRPr="003751A4" w:rsidRDefault="003751A4" w:rsidP="003751A4">
      <w:pPr>
        <w:spacing w:after="160" w:line="360" w:lineRule="auto"/>
        <w:jc w:val="both"/>
        <w:rPr>
          <w:rFonts w:ascii="Times New Roman" w:hAnsi="Times New Roman" w:cs="Times New Roman"/>
        </w:rPr>
      </w:pPr>
      <w:r>
        <w:rPr>
          <w:rFonts w:ascii="Times New Roman" w:hAnsi="Times New Roman" w:cs="Times New Roman"/>
        </w:rPr>
        <w:t>Sandh</w:t>
      </w:r>
      <w:r w:rsidR="00437727">
        <w:rPr>
          <w:rFonts w:ascii="Times New Roman" w:hAnsi="Times New Roman" w:cs="Times New Roman"/>
        </w:rPr>
        <w:t>ya</w:t>
      </w:r>
      <w:r>
        <w:rPr>
          <w:rFonts w:ascii="Times New Roman" w:hAnsi="Times New Roman" w:cs="Times New Roman"/>
        </w:rPr>
        <w:t xml:space="preserve"> Rani Dash</w:t>
      </w:r>
      <w:r w:rsidR="00437727">
        <w:rPr>
          <w:rFonts w:ascii="Times New Roman" w:hAnsi="Times New Roman" w:cs="Times New Roman"/>
        </w:rPr>
        <w:t xml:space="preserve"> </w:t>
      </w:r>
      <w:r w:rsidRPr="003751A4">
        <w:rPr>
          <w:rFonts w:ascii="Times New Roman" w:hAnsi="Times New Roman" w:cs="Times New Roman"/>
        </w:rPr>
        <w:t>is a</w:t>
      </w:r>
      <w:r>
        <w:rPr>
          <w:rFonts w:ascii="Times New Roman" w:hAnsi="Times New Roman" w:cs="Times New Roman"/>
        </w:rPr>
        <w:t>n</w:t>
      </w:r>
      <w:r w:rsidRPr="003751A4">
        <w:rPr>
          <w:rFonts w:ascii="Times New Roman" w:hAnsi="Times New Roman" w:cs="Times New Roman"/>
        </w:rPr>
        <w:t xml:space="preserve"> aspiring data </w:t>
      </w:r>
      <w:r w:rsidR="007739E2">
        <w:rPr>
          <w:rFonts w:ascii="Times New Roman" w:hAnsi="Times New Roman" w:cs="Times New Roman"/>
        </w:rPr>
        <w:t>analyst</w:t>
      </w:r>
      <w:r w:rsidRPr="003751A4">
        <w:rPr>
          <w:rFonts w:ascii="Times New Roman" w:hAnsi="Times New Roman" w:cs="Times New Roman"/>
        </w:rPr>
        <w:t xml:space="preserve"> intern, and AI enthusiast with an interest in healthcare analytics and process optimization.</w:t>
      </w:r>
      <w:r>
        <w:rPr>
          <w:rFonts w:ascii="Times New Roman" w:hAnsi="Times New Roman" w:cs="Times New Roman"/>
        </w:rPr>
        <w:t xml:space="preserve"> </w:t>
      </w:r>
      <w:r w:rsidRPr="003751A4">
        <w:rPr>
          <w:rFonts w:ascii="Times New Roman" w:hAnsi="Times New Roman" w:cs="Times New Roman"/>
        </w:rPr>
        <w:t xml:space="preserve">This research paper and the accompanying </w:t>
      </w:r>
      <w:r w:rsidR="008A6629">
        <w:rPr>
          <w:rFonts w:ascii="Times New Roman" w:hAnsi="Times New Roman" w:cs="Times New Roman"/>
        </w:rPr>
        <w:t>ten</w:t>
      </w:r>
      <w:r w:rsidRPr="003751A4">
        <w:rPr>
          <w:rFonts w:ascii="Times New Roman" w:hAnsi="Times New Roman" w:cs="Times New Roman"/>
        </w:rPr>
        <w:t xml:space="preserve">-page </w:t>
      </w:r>
      <w:proofErr w:type="spellStart"/>
      <w:r w:rsidRPr="003751A4">
        <w:rPr>
          <w:rFonts w:ascii="Times New Roman" w:hAnsi="Times New Roman" w:cs="Times New Roman"/>
        </w:rPr>
        <w:t>Streamlit</w:t>
      </w:r>
      <w:proofErr w:type="spellEnd"/>
      <w:r w:rsidRPr="003751A4">
        <w:rPr>
          <w:rFonts w:ascii="Times New Roman" w:hAnsi="Times New Roman" w:cs="Times New Roman"/>
        </w:rPr>
        <w:t xml:space="preserve"> analytics dashboard were prepared as part of the Care Transition Efficiency and Placement Outcome Analytics project, undertaken in partnership with Unified Mentor for the U.S. Department of Health and Human Services. The work spans the full analytics lifecycle: data cleaning and KPI derivation, exploratory and statistical analysis, interactive dashboard development in </w:t>
      </w:r>
      <w:proofErr w:type="spellStart"/>
      <w:r w:rsidRPr="003751A4">
        <w:rPr>
          <w:rFonts w:ascii="Times New Roman" w:hAnsi="Times New Roman" w:cs="Times New Roman"/>
        </w:rPr>
        <w:t>Streamlit</w:t>
      </w:r>
      <w:proofErr w:type="spellEnd"/>
      <w:r w:rsidRPr="003751A4">
        <w:rPr>
          <w:rFonts w:ascii="Times New Roman" w:hAnsi="Times New Roman" w:cs="Times New Roman"/>
        </w:rPr>
        <w:t>, and the synthesis of findings into this formal research paper.</w:t>
      </w:r>
    </w:p>
    <w:p w14:paraId="1B5DA43D" w14:textId="77777777" w:rsidR="003751A4" w:rsidRPr="003751A4" w:rsidRDefault="003751A4" w:rsidP="003751A4">
      <w:pPr>
        <w:spacing w:after="160" w:line="360" w:lineRule="auto"/>
        <w:jc w:val="both"/>
        <w:rPr>
          <w:rFonts w:ascii="Times New Roman" w:hAnsi="Times New Roman" w:cs="Times New Roman"/>
        </w:rPr>
      </w:pPr>
      <w:r w:rsidRPr="003751A4">
        <w:rPr>
          <w:rFonts w:ascii="Times New Roman" w:hAnsi="Times New Roman" w:cs="Times New Roman"/>
        </w:rPr>
        <w:t xml:space="preserve">The author's contribution to this project includes the design of the </w:t>
      </w:r>
      <w:proofErr w:type="gramStart"/>
      <w:r w:rsidRPr="003751A4">
        <w:rPr>
          <w:rFonts w:ascii="Times New Roman" w:hAnsi="Times New Roman" w:cs="Times New Roman"/>
        </w:rPr>
        <w:t>five core</w:t>
      </w:r>
      <w:proofErr w:type="gramEnd"/>
      <w:r w:rsidRPr="003751A4">
        <w:rPr>
          <w:rFonts w:ascii="Times New Roman" w:hAnsi="Times New Roman" w:cs="Times New Roman"/>
        </w:rPr>
        <w:t xml:space="preserve"> process-efficiency KPIs described in Section 2.3, the stagnation and backlog detection logic underlying Sections 2.4 and 3.4–3.5, the full implementation of the interactive dashboard summarized in Section 6, and the analysis, interpretation, and recommendations presented throughout this paper.</w:t>
      </w:r>
    </w:p>
    <w:p w14:paraId="189AB465" w14:textId="77777777" w:rsidR="00734EC8" w:rsidRDefault="003751A4" w:rsidP="00734EC8">
      <w:pPr>
        <w:spacing w:after="160" w:line="360" w:lineRule="auto"/>
        <w:jc w:val="both"/>
        <w:rPr>
          <w:rFonts w:ascii="Consolas" w:eastAsia="Times New Roman" w:hAnsi="Consolas" w:cs="Times New Roman"/>
          <w:b/>
          <w:bCs/>
          <w:color w:val="FFFFFF"/>
          <w:sz w:val="21"/>
          <w:szCs w:val="21"/>
        </w:rPr>
      </w:pPr>
      <w:r w:rsidRPr="003751A4">
        <w:rPr>
          <w:rFonts w:ascii="Times New Roman" w:hAnsi="Times New Roman" w:cs="Times New Roman"/>
        </w:rPr>
        <w:t>For questions regarding methodology, data sources, or the accompanying dashboard, please refer to the project repository and documentation accompanying this submission.</w:t>
      </w:r>
      <w:r w:rsidR="00734EC8" w:rsidRPr="00734EC8">
        <w:rPr>
          <w:rFonts w:ascii="Consolas" w:eastAsia="Times New Roman" w:hAnsi="Consolas" w:cs="Times New Roman"/>
          <w:b/>
          <w:bCs/>
          <w:color w:val="FFFFFF"/>
          <w:sz w:val="21"/>
          <w:szCs w:val="21"/>
        </w:rPr>
        <w:t xml:space="preserve"> </w:t>
      </w:r>
    </w:p>
    <w:p w14:paraId="5BE90A87" w14:textId="47501660" w:rsidR="003751A4" w:rsidRPr="00734EC8" w:rsidRDefault="00734EC8" w:rsidP="003751A4">
      <w:pPr>
        <w:spacing w:after="160" w:line="360" w:lineRule="auto"/>
        <w:jc w:val="both"/>
        <w:rPr>
          <w:rFonts w:ascii="Times New Roman" w:hAnsi="Times New Roman" w:cs="Times New Roman"/>
        </w:rPr>
      </w:pPr>
      <w:r>
        <w:rPr>
          <w:rFonts w:ascii="Times New Roman" w:hAnsi="Times New Roman" w:cs="Times New Roman"/>
          <w:b/>
          <w:bCs/>
        </w:rPr>
        <w:t xml:space="preserve">GitHub </w:t>
      </w:r>
      <w:proofErr w:type="gramStart"/>
      <w:r>
        <w:rPr>
          <w:rFonts w:ascii="Times New Roman" w:hAnsi="Times New Roman" w:cs="Times New Roman"/>
          <w:b/>
          <w:bCs/>
        </w:rPr>
        <w:t>Repository :</w:t>
      </w:r>
      <w:proofErr w:type="gramEnd"/>
      <w:r w:rsidRPr="00734EC8">
        <w:rPr>
          <w:rFonts w:ascii="Times New Roman" w:hAnsi="Times New Roman" w:cs="Times New Roman"/>
        </w:rPr>
        <w:t xml:space="preserve"> </w:t>
      </w:r>
      <w:hyperlink r:id="rId19" w:history="1">
        <w:r w:rsidRPr="0073513E">
          <w:rPr>
            <w:rStyle w:val="Hyperlink"/>
            <w:rFonts w:ascii="Times New Roman" w:hAnsi="Times New Roman" w:cs="Times New Roman"/>
          </w:rPr>
          <w:t>https://github.com/Sandhya-Rani-Dash/Care-Transition-Efficiency-Placement-Outcome-Analytics</w:t>
        </w:r>
      </w:hyperlink>
    </w:p>
    <w:p w14:paraId="3CA46502" w14:textId="1645CC9D" w:rsidR="003751A4" w:rsidRPr="003751A4" w:rsidRDefault="003751A4" w:rsidP="003751A4">
      <w:pPr>
        <w:spacing w:before="80" w:after="240"/>
        <w:rPr>
          <w:rFonts w:ascii="Times New Roman" w:hAnsi="Times New Roman" w:cs="Times New Roman"/>
        </w:rPr>
      </w:pPr>
    </w:p>
    <w:sectPr w:rsidR="003751A4" w:rsidRPr="003751A4">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0B6B9" w14:textId="77777777" w:rsidR="003D3017" w:rsidRDefault="003D3017">
      <w:r>
        <w:separator/>
      </w:r>
    </w:p>
  </w:endnote>
  <w:endnote w:type="continuationSeparator" w:id="0">
    <w:p w14:paraId="04DD2F52" w14:textId="77777777" w:rsidR="003D3017" w:rsidRDefault="003D3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6FDC" w14:textId="77777777" w:rsidR="009D6C83" w:rsidRDefault="00830EFB">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42A04">
      <w:rPr>
        <w:noProof/>
        <w:color w:val="555555"/>
        <w:sz w:val="18"/>
        <w:szCs w:val="18"/>
      </w:rPr>
      <w:t>1</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ECB9" w14:textId="77777777" w:rsidR="009D6C83" w:rsidRDefault="00830EFB">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C42A04">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A88CC" w14:textId="77777777" w:rsidR="003D3017" w:rsidRDefault="003D3017">
      <w:r>
        <w:separator/>
      </w:r>
    </w:p>
  </w:footnote>
  <w:footnote w:type="continuationSeparator" w:id="0">
    <w:p w14:paraId="22B0B64B" w14:textId="77777777" w:rsidR="003D3017" w:rsidRDefault="003D3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E4F7" w14:textId="77777777" w:rsidR="009D6C83" w:rsidRDefault="00830EFB">
    <w:pPr>
      <w:jc w:val="right"/>
    </w:pPr>
    <w:r>
      <w:rPr>
        <w:i/>
        <w:iCs/>
        <w:color w:val="555555"/>
        <w:sz w:val="16"/>
        <w:szCs w:val="16"/>
      </w:rPr>
      <w:t>Care Transition Efficiency and Placement Outcome Analytics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CAA7" w14:textId="77777777" w:rsidR="009D6C83" w:rsidRDefault="00830EFB">
    <w:pPr>
      <w:jc w:val="right"/>
    </w:pPr>
    <w:r>
      <w:rPr>
        <w:i/>
        <w:iCs/>
        <w:color w:val="555555"/>
        <w:sz w:val="16"/>
        <w:szCs w:val="16"/>
      </w:rPr>
      <w:t>Care Transition Efficiency and Placement Outcome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4EDD"/>
    <w:multiLevelType w:val="hybridMultilevel"/>
    <w:tmpl w:val="6794F378"/>
    <w:lvl w:ilvl="0" w:tplc="C9543BEE">
      <w:start w:val="1"/>
      <w:numFmt w:val="bullet"/>
      <w:lvlText w:val="•"/>
      <w:lvlJc w:val="left"/>
      <w:pPr>
        <w:ind w:left="720" w:hanging="360"/>
      </w:pPr>
    </w:lvl>
    <w:lvl w:ilvl="1" w:tplc="AD72A398">
      <w:numFmt w:val="decimal"/>
      <w:lvlText w:val=""/>
      <w:lvlJc w:val="left"/>
    </w:lvl>
    <w:lvl w:ilvl="2" w:tplc="AE8E0606">
      <w:numFmt w:val="decimal"/>
      <w:lvlText w:val=""/>
      <w:lvlJc w:val="left"/>
    </w:lvl>
    <w:lvl w:ilvl="3" w:tplc="80F835F6">
      <w:numFmt w:val="decimal"/>
      <w:lvlText w:val=""/>
      <w:lvlJc w:val="left"/>
    </w:lvl>
    <w:lvl w:ilvl="4" w:tplc="6EA65076">
      <w:numFmt w:val="decimal"/>
      <w:lvlText w:val=""/>
      <w:lvlJc w:val="left"/>
    </w:lvl>
    <w:lvl w:ilvl="5" w:tplc="568480F6">
      <w:numFmt w:val="decimal"/>
      <w:lvlText w:val=""/>
      <w:lvlJc w:val="left"/>
    </w:lvl>
    <w:lvl w:ilvl="6" w:tplc="E2E274FC">
      <w:numFmt w:val="decimal"/>
      <w:lvlText w:val=""/>
      <w:lvlJc w:val="left"/>
    </w:lvl>
    <w:lvl w:ilvl="7" w:tplc="5958FE6A">
      <w:numFmt w:val="decimal"/>
      <w:lvlText w:val=""/>
      <w:lvlJc w:val="left"/>
    </w:lvl>
    <w:lvl w:ilvl="8" w:tplc="E63630B4">
      <w:numFmt w:val="decimal"/>
      <w:lvlText w:val=""/>
      <w:lvlJc w:val="left"/>
    </w:lvl>
  </w:abstractNum>
  <w:abstractNum w:abstractNumId="1" w15:restartNumberingAfterBreak="0">
    <w:nsid w:val="3BFF5E2D"/>
    <w:multiLevelType w:val="hybridMultilevel"/>
    <w:tmpl w:val="7436A61A"/>
    <w:lvl w:ilvl="0" w:tplc="CF407572">
      <w:start w:val="1"/>
      <w:numFmt w:val="decimal"/>
      <w:lvlText w:val="[%1]"/>
      <w:lvlJc w:val="left"/>
      <w:pPr>
        <w:ind w:left="600" w:hanging="600"/>
      </w:pPr>
    </w:lvl>
    <w:lvl w:ilvl="1" w:tplc="FA4A748C">
      <w:numFmt w:val="decimal"/>
      <w:lvlText w:val=""/>
      <w:lvlJc w:val="left"/>
    </w:lvl>
    <w:lvl w:ilvl="2" w:tplc="77FA45E0">
      <w:numFmt w:val="decimal"/>
      <w:lvlText w:val=""/>
      <w:lvlJc w:val="left"/>
    </w:lvl>
    <w:lvl w:ilvl="3" w:tplc="059C86AE">
      <w:numFmt w:val="decimal"/>
      <w:lvlText w:val=""/>
      <w:lvlJc w:val="left"/>
    </w:lvl>
    <w:lvl w:ilvl="4" w:tplc="24C63D32">
      <w:numFmt w:val="decimal"/>
      <w:lvlText w:val=""/>
      <w:lvlJc w:val="left"/>
    </w:lvl>
    <w:lvl w:ilvl="5" w:tplc="2CAC1DD0">
      <w:numFmt w:val="decimal"/>
      <w:lvlText w:val=""/>
      <w:lvlJc w:val="left"/>
    </w:lvl>
    <w:lvl w:ilvl="6" w:tplc="F4F04570">
      <w:numFmt w:val="decimal"/>
      <w:lvlText w:val=""/>
      <w:lvlJc w:val="left"/>
    </w:lvl>
    <w:lvl w:ilvl="7" w:tplc="31A281E8">
      <w:numFmt w:val="decimal"/>
      <w:lvlText w:val=""/>
      <w:lvlJc w:val="left"/>
    </w:lvl>
    <w:lvl w:ilvl="8" w:tplc="2B302EC0">
      <w:numFmt w:val="decimal"/>
      <w:lvlText w:val=""/>
      <w:lvlJc w:val="left"/>
    </w:lvl>
  </w:abstractNum>
  <w:abstractNum w:abstractNumId="2" w15:restartNumberingAfterBreak="0">
    <w:nsid w:val="3DF40D93"/>
    <w:multiLevelType w:val="multilevel"/>
    <w:tmpl w:val="EE0E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D00AB"/>
    <w:multiLevelType w:val="hybridMultilevel"/>
    <w:tmpl w:val="D73CAE02"/>
    <w:lvl w:ilvl="0" w:tplc="0A1E91E0">
      <w:start w:val="1"/>
      <w:numFmt w:val="bullet"/>
      <w:lvlText w:val="●"/>
      <w:lvlJc w:val="left"/>
      <w:pPr>
        <w:ind w:left="720" w:hanging="360"/>
      </w:pPr>
    </w:lvl>
    <w:lvl w:ilvl="1" w:tplc="C592F9AC">
      <w:start w:val="1"/>
      <w:numFmt w:val="bullet"/>
      <w:lvlText w:val="○"/>
      <w:lvlJc w:val="left"/>
      <w:pPr>
        <w:ind w:left="1440" w:hanging="360"/>
      </w:pPr>
    </w:lvl>
    <w:lvl w:ilvl="2" w:tplc="E09C7D44">
      <w:start w:val="1"/>
      <w:numFmt w:val="bullet"/>
      <w:lvlText w:val="■"/>
      <w:lvlJc w:val="left"/>
      <w:pPr>
        <w:ind w:left="2160" w:hanging="360"/>
      </w:pPr>
    </w:lvl>
    <w:lvl w:ilvl="3" w:tplc="06E83126">
      <w:start w:val="1"/>
      <w:numFmt w:val="bullet"/>
      <w:lvlText w:val="●"/>
      <w:lvlJc w:val="left"/>
      <w:pPr>
        <w:ind w:left="2880" w:hanging="360"/>
      </w:pPr>
    </w:lvl>
    <w:lvl w:ilvl="4" w:tplc="C5D4024A">
      <w:start w:val="1"/>
      <w:numFmt w:val="bullet"/>
      <w:lvlText w:val="○"/>
      <w:lvlJc w:val="left"/>
      <w:pPr>
        <w:ind w:left="3600" w:hanging="360"/>
      </w:pPr>
    </w:lvl>
    <w:lvl w:ilvl="5" w:tplc="2966B55A">
      <w:start w:val="1"/>
      <w:numFmt w:val="bullet"/>
      <w:lvlText w:val="■"/>
      <w:lvlJc w:val="left"/>
      <w:pPr>
        <w:ind w:left="4320" w:hanging="360"/>
      </w:pPr>
    </w:lvl>
    <w:lvl w:ilvl="6" w:tplc="E8EE7F22">
      <w:start w:val="1"/>
      <w:numFmt w:val="bullet"/>
      <w:lvlText w:val="●"/>
      <w:lvlJc w:val="left"/>
      <w:pPr>
        <w:ind w:left="5040" w:hanging="360"/>
      </w:pPr>
    </w:lvl>
    <w:lvl w:ilvl="7" w:tplc="A1CCB05C">
      <w:start w:val="1"/>
      <w:numFmt w:val="bullet"/>
      <w:lvlText w:val="●"/>
      <w:lvlJc w:val="left"/>
      <w:pPr>
        <w:ind w:left="5760" w:hanging="360"/>
      </w:pPr>
    </w:lvl>
    <w:lvl w:ilvl="8" w:tplc="4EEAC88A">
      <w:start w:val="1"/>
      <w:numFmt w:val="bullet"/>
      <w:lvlText w:val="●"/>
      <w:lvlJc w:val="left"/>
      <w:pPr>
        <w:ind w:left="6480" w:hanging="360"/>
      </w:pPr>
    </w:lvl>
  </w:abstractNum>
  <w:abstractNum w:abstractNumId="4" w15:restartNumberingAfterBreak="0">
    <w:nsid w:val="65011848"/>
    <w:multiLevelType w:val="hybridMultilevel"/>
    <w:tmpl w:val="691251E4"/>
    <w:lvl w:ilvl="0" w:tplc="025E0742">
      <w:start w:val="1"/>
      <w:numFmt w:val="decimal"/>
      <w:lvlText w:val="%1."/>
      <w:lvlJc w:val="left"/>
      <w:pPr>
        <w:ind w:left="720" w:hanging="360"/>
      </w:pPr>
    </w:lvl>
    <w:lvl w:ilvl="1" w:tplc="DB82A8A8">
      <w:numFmt w:val="decimal"/>
      <w:lvlText w:val=""/>
      <w:lvlJc w:val="left"/>
    </w:lvl>
    <w:lvl w:ilvl="2" w:tplc="BBCAD330">
      <w:numFmt w:val="decimal"/>
      <w:lvlText w:val=""/>
      <w:lvlJc w:val="left"/>
    </w:lvl>
    <w:lvl w:ilvl="3" w:tplc="4E5A4356">
      <w:numFmt w:val="decimal"/>
      <w:lvlText w:val=""/>
      <w:lvlJc w:val="left"/>
    </w:lvl>
    <w:lvl w:ilvl="4" w:tplc="B2CA8DD4">
      <w:numFmt w:val="decimal"/>
      <w:lvlText w:val=""/>
      <w:lvlJc w:val="left"/>
    </w:lvl>
    <w:lvl w:ilvl="5" w:tplc="7B1C3D6E">
      <w:numFmt w:val="decimal"/>
      <w:lvlText w:val=""/>
      <w:lvlJc w:val="left"/>
    </w:lvl>
    <w:lvl w:ilvl="6" w:tplc="0BC84AF8">
      <w:numFmt w:val="decimal"/>
      <w:lvlText w:val=""/>
      <w:lvlJc w:val="left"/>
    </w:lvl>
    <w:lvl w:ilvl="7" w:tplc="60CCE5CE">
      <w:numFmt w:val="decimal"/>
      <w:lvlText w:val=""/>
      <w:lvlJc w:val="left"/>
    </w:lvl>
    <w:lvl w:ilvl="8" w:tplc="92ECFE68">
      <w:numFmt w:val="decimal"/>
      <w:lvlText w:val=""/>
      <w:lvlJc w:val="left"/>
    </w:lvl>
  </w:abstractNum>
  <w:abstractNum w:abstractNumId="5" w15:restartNumberingAfterBreak="0">
    <w:nsid w:val="76DC1F86"/>
    <w:multiLevelType w:val="hybridMultilevel"/>
    <w:tmpl w:val="051663A0"/>
    <w:lvl w:ilvl="0" w:tplc="6D2EFD4E">
      <w:start w:val="1"/>
      <w:numFmt w:val="decimal"/>
      <w:lvlText w:val="[%1]"/>
      <w:lvlJc w:val="left"/>
      <w:pPr>
        <w:ind w:left="600" w:hanging="600"/>
      </w:pPr>
    </w:lvl>
    <w:lvl w:ilvl="1" w:tplc="54B880DA">
      <w:numFmt w:val="decimal"/>
      <w:lvlText w:val=""/>
      <w:lvlJc w:val="left"/>
    </w:lvl>
    <w:lvl w:ilvl="2" w:tplc="B4F6D4E4">
      <w:numFmt w:val="decimal"/>
      <w:lvlText w:val=""/>
      <w:lvlJc w:val="left"/>
    </w:lvl>
    <w:lvl w:ilvl="3" w:tplc="D458D5D0">
      <w:numFmt w:val="decimal"/>
      <w:lvlText w:val=""/>
      <w:lvlJc w:val="left"/>
    </w:lvl>
    <w:lvl w:ilvl="4" w:tplc="1A7ED1A6">
      <w:numFmt w:val="decimal"/>
      <w:lvlText w:val=""/>
      <w:lvlJc w:val="left"/>
    </w:lvl>
    <w:lvl w:ilvl="5" w:tplc="7548E772">
      <w:numFmt w:val="decimal"/>
      <w:lvlText w:val=""/>
      <w:lvlJc w:val="left"/>
    </w:lvl>
    <w:lvl w:ilvl="6" w:tplc="C30067EA">
      <w:numFmt w:val="decimal"/>
      <w:lvlText w:val=""/>
      <w:lvlJc w:val="left"/>
    </w:lvl>
    <w:lvl w:ilvl="7" w:tplc="0648416C">
      <w:numFmt w:val="decimal"/>
      <w:lvlText w:val=""/>
      <w:lvlJc w:val="left"/>
    </w:lvl>
    <w:lvl w:ilvl="8" w:tplc="2392E136">
      <w:numFmt w:val="decimal"/>
      <w:lvlText w:val=""/>
      <w:lvlJc w:val="left"/>
    </w:lvl>
  </w:abstractNum>
  <w:abstractNum w:abstractNumId="6" w15:restartNumberingAfterBreak="0">
    <w:nsid w:val="7DF4443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3272470">
    <w:abstractNumId w:val="3"/>
    <w:lvlOverride w:ilvl="0">
      <w:startOverride w:val="1"/>
    </w:lvlOverride>
  </w:num>
  <w:num w:numId="2" w16cid:durableId="1895121087">
    <w:abstractNumId w:val="0"/>
    <w:lvlOverride w:ilvl="0">
      <w:startOverride w:val="1"/>
    </w:lvlOverride>
  </w:num>
  <w:num w:numId="3" w16cid:durableId="938368695">
    <w:abstractNumId w:val="4"/>
    <w:lvlOverride w:ilvl="0">
      <w:startOverride w:val="1"/>
    </w:lvlOverride>
  </w:num>
  <w:num w:numId="4" w16cid:durableId="49354805">
    <w:abstractNumId w:val="1"/>
    <w:lvlOverride w:ilvl="0">
      <w:startOverride w:val="1"/>
    </w:lvlOverride>
  </w:num>
  <w:num w:numId="5" w16cid:durableId="1369066888">
    <w:abstractNumId w:val="5"/>
    <w:lvlOverride w:ilvl="0">
      <w:startOverride w:val="1"/>
    </w:lvlOverride>
  </w:num>
  <w:num w:numId="6" w16cid:durableId="1226918389">
    <w:abstractNumId w:val="6"/>
  </w:num>
  <w:num w:numId="7" w16cid:durableId="11193784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C83"/>
    <w:rsid w:val="000A549E"/>
    <w:rsid w:val="000C4FA6"/>
    <w:rsid w:val="000D517E"/>
    <w:rsid w:val="0018681F"/>
    <w:rsid w:val="001C39F9"/>
    <w:rsid w:val="00220A46"/>
    <w:rsid w:val="0023126B"/>
    <w:rsid w:val="00266EC6"/>
    <w:rsid w:val="00332D4F"/>
    <w:rsid w:val="003445F0"/>
    <w:rsid w:val="003751A4"/>
    <w:rsid w:val="003807D9"/>
    <w:rsid w:val="003D3017"/>
    <w:rsid w:val="00437727"/>
    <w:rsid w:val="00465692"/>
    <w:rsid w:val="0048709E"/>
    <w:rsid w:val="004E7367"/>
    <w:rsid w:val="00506D9B"/>
    <w:rsid w:val="005605C8"/>
    <w:rsid w:val="00577446"/>
    <w:rsid w:val="005A4758"/>
    <w:rsid w:val="005F1F5B"/>
    <w:rsid w:val="005F3E5B"/>
    <w:rsid w:val="0066791C"/>
    <w:rsid w:val="00682A8E"/>
    <w:rsid w:val="00696802"/>
    <w:rsid w:val="0072110A"/>
    <w:rsid w:val="00734EC8"/>
    <w:rsid w:val="007739E2"/>
    <w:rsid w:val="0078487F"/>
    <w:rsid w:val="007A2777"/>
    <w:rsid w:val="00814A3B"/>
    <w:rsid w:val="00820886"/>
    <w:rsid w:val="008243DB"/>
    <w:rsid w:val="00830EFB"/>
    <w:rsid w:val="008A64B7"/>
    <w:rsid w:val="008A6629"/>
    <w:rsid w:val="00900A71"/>
    <w:rsid w:val="009D6C83"/>
    <w:rsid w:val="00A03AF3"/>
    <w:rsid w:val="00A271C3"/>
    <w:rsid w:val="00A4790E"/>
    <w:rsid w:val="00AA093C"/>
    <w:rsid w:val="00B1673E"/>
    <w:rsid w:val="00B51334"/>
    <w:rsid w:val="00B573C1"/>
    <w:rsid w:val="00B633B4"/>
    <w:rsid w:val="00B65D0F"/>
    <w:rsid w:val="00B94146"/>
    <w:rsid w:val="00BB3A7B"/>
    <w:rsid w:val="00BB66F0"/>
    <w:rsid w:val="00C268BD"/>
    <w:rsid w:val="00C42A04"/>
    <w:rsid w:val="00C766DB"/>
    <w:rsid w:val="00C8378D"/>
    <w:rsid w:val="00CA3A23"/>
    <w:rsid w:val="00CC3B92"/>
    <w:rsid w:val="00CC400B"/>
    <w:rsid w:val="00CD5380"/>
    <w:rsid w:val="00D7540D"/>
    <w:rsid w:val="00DC669D"/>
    <w:rsid w:val="00DC6D50"/>
    <w:rsid w:val="00DE1781"/>
    <w:rsid w:val="00E15BEA"/>
    <w:rsid w:val="00E336CA"/>
    <w:rsid w:val="00E41CCB"/>
    <w:rsid w:val="00E64074"/>
    <w:rsid w:val="00E93166"/>
    <w:rsid w:val="00EC1D1F"/>
    <w:rsid w:val="00F07F42"/>
    <w:rsid w:val="00F11AE2"/>
    <w:rsid w:val="00F378E5"/>
    <w:rsid w:val="00F536E1"/>
    <w:rsid w:val="00F55598"/>
    <w:rsid w:val="00F85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93C90"/>
  <w15:docId w15:val="{E96EB25C-359D-42BD-9950-56899A36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4" w:color="1747A0"/>
      </w:pBdr>
      <w:spacing w:before="360" w:after="200"/>
      <w:outlineLvl w:val="0"/>
    </w:pPr>
    <w:rPr>
      <w:b/>
      <w:bCs/>
      <w:color w:val="0B3C5D"/>
      <w:sz w:val="30"/>
      <w:szCs w:val="30"/>
    </w:rPr>
  </w:style>
  <w:style w:type="paragraph" w:styleId="Heading2">
    <w:name w:val="heading 2"/>
    <w:link w:val="Heading2Char"/>
    <w:uiPriority w:val="9"/>
    <w:unhideWhenUsed/>
    <w:qFormat/>
    <w:pPr>
      <w:spacing w:before="280" w:after="140"/>
      <w:outlineLvl w:val="1"/>
    </w:pPr>
    <w:rPr>
      <w:b/>
      <w:bCs/>
      <w:color w:val="0B3C5D"/>
      <w:sz w:val="25"/>
      <w:szCs w:val="25"/>
    </w:rPr>
  </w:style>
  <w:style w:type="paragraph" w:styleId="Heading3">
    <w:name w:val="heading 3"/>
    <w:uiPriority w:val="9"/>
    <w:unhideWhenUsed/>
    <w:qFormat/>
    <w:pPr>
      <w:spacing w:before="220" w:after="100"/>
      <w:outlineLvl w:val="2"/>
    </w:pPr>
    <w:rPr>
      <w:b/>
      <w:bCs/>
      <w:color w:val="1747A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36CA"/>
    <w:pPr>
      <w:tabs>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C42A04"/>
    <w:pPr>
      <w:spacing w:after="100"/>
      <w:ind w:left="220"/>
    </w:pPr>
  </w:style>
  <w:style w:type="paragraph" w:styleId="TOC3">
    <w:name w:val="toc 3"/>
    <w:basedOn w:val="Normal"/>
    <w:next w:val="Normal"/>
    <w:autoRedefine/>
    <w:uiPriority w:val="39"/>
    <w:unhideWhenUsed/>
    <w:rsid w:val="00C42A04"/>
    <w:pPr>
      <w:spacing w:after="100"/>
      <w:ind w:left="440"/>
    </w:pPr>
  </w:style>
  <w:style w:type="paragraph" w:styleId="Header">
    <w:name w:val="header"/>
    <w:basedOn w:val="Normal"/>
    <w:link w:val="HeaderChar"/>
    <w:uiPriority w:val="99"/>
    <w:unhideWhenUsed/>
    <w:rsid w:val="007A2777"/>
    <w:pPr>
      <w:tabs>
        <w:tab w:val="center" w:pos="4513"/>
        <w:tab w:val="right" w:pos="9026"/>
      </w:tabs>
    </w:pPr>
  </w:style>
  <w:style w:type="character" w:customStyle="1" w:styleId="HeaderChar">
    <w:name w:val="Header Char"/>
    <w:basedOn w:val="DefaultParagraphFont"/>
    <w:link w:val="Header"/>
    <w:uiPriority w:val="99"/>
    <w:rsid w:val="007A2777"/>
  </w:style>
  <w:style w:type="paragraph" w:styleId="Footer">
    <w:name w:val="footer"/>
    <w:basedOn w:val="Normal"/>
    <w:link w:val="FooterChar"/>
    <w:uiPriority w:val="99"/>
    <w:unhideWhenUsed/>
    <w:rsid w:val="007A2777"/>
    <w:pPr>
      <w:tabs>
        <w:tab w:val="center" w:pos="4513"/>
        <w:tab w:val="right" w:pos="9026"/>
      </w:tabs>
    </w:pPr>
  </w:style>
  <w:style w:type="character" w:customStyle="1" w:styleId="FooterChar">
    <w:name w:val="Footer Char"/>
    <w:basedOn w:val="DefaultParagraphFont"/>
    <w:link w:val="Footer"/>
    <w:uiPriority w:val="99"/>
    <w:rsid w:val="007A2777"/>
  </w:style>
  <w:style w:type="paragraph" w:customStyle="1" w:styleId="TableParagraph">
    <w:name w:val="Table Paragraph"/>
    <w:basedOn w:val="Normal"/>
    <w:uiPriority w:val="1"/>
    <w:qFormat/>
    <w:rsid w:val="005F1F5B"/>
    <w:pPr>
      <w:widowControl w:val="0"/>
      <w:autoSpaceDE w:val="0"/>
      <w:autoSpaceDN w:val="0"/>
      <w:spacing w:before="73"/>
      <w:ind w:left="104"/>
    </w:pPr>
    <w:rPr>
      <w:rFonts w:ascii="Arial" w:eastAsia="Arial" w:hAnsi="Arial" w:cs="Arial"/>
      <w:color w:val="auto"/>
      <w:lang w:val="en-US" w:eastAsia="en-US"/>
    </w:rPr>
  </w:style>
  <w:style w:type="paragraph" w:styleId="NormalWeb">
    <w:name w:val="Normal (Web)"/>
    <w:basedOn w:val="Normal"/>
    <w:uiPriority w:val="99"/>
    <w:unhideWhenUsed/>
    <w:rsid w:val="0066791C"/>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1Char">
    <w:name w:val="Heading 1 Char"/>
    <w:basedOn w:val="DefaultParagraphFont"/>
    <w:link w:val="Heading1"/>
    <w:uiPriority w:val="9"/>
    <w:rsid w:val="00F378E5"/>
    <w:rPr>
      <w:b/>
      <w:bCs/>
      <w:color w:val="0B3C5D"/>
      <w:sz w:val="30"/>
      <w:szCs w:val="30"/>
    </w:rPr>
  </w:style>
  <w:style w:type="character" w:customStyle="1" w:styleId="Heading2Char">
    <w:name w:val="Heading 2 Char"/>
    <w:basedOn w:val="DefaultParagraphFont"/>
    <w:link w:val="Heading2"/>
    <w:uiPriority w:val="9"/>
    <w:rsid w:val="00F378E5"/>
    <w:rPr>
      <w:b/>
      <w:bCs/>
      <w:color w:val="0B3C5D"/>
      <w:sz w:val="25"/>
      <w:szCs w:val="25"/>
    </w:rPr>
  </w:style>
  <w:style w:type="character" w:styleId="UnresolvedMention">
    <w:name w:val="Unresolved Mention"/>
    <w:basedOn w:val="DefaultParagraphFont"/>
    <w:uiPriority w:val="99"/>
    <w:semiHidden/>
    <w:unhideWhenUsed/>
    <w:rsid w:val="00734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github.com/Sandhya-Rani-Dash/Care-Transition-Efficiency-Placement-Outcome-Analyti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BE8EB-7B20-4F31-9AF8-0C4488640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8484</TotalTime>
  <Pages>32</Pages>
  <Words>7369</Words>
  <Characters>42005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Care Transition Efficiency and Placement Outcome Analytics</vt:lpstr>
    </vt:vector>
  </TitlesOfParts>
  <Company/>
  <LinksUpToDate>false</LinksUpToDate>
  <CharactersWithSpaces>49276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Transition Efficiency and Placement Outcome Analytics</dc:title>
  <dc:subject/>
  <dc:creator>UAC Care Transition Analytics Project</dc:creator>
  <cp:keywords/>
  <dc:description/>
  <cp:lastModifiedBy>Sandhya Rani Dash</cp:lastModifiedBy>
  <cp:revision>48</cp:revision>
  <cp:lastPrinted>2026-06-28T09:55:00Z</cp:lastPrinted>
  <dcterms:created xsi:type="dcterms:W3CDTF">2026-06-18T09:54:00Z</dcterms:created>
  <dcterms:modified xsi:type="dcterms:W3CDTF">2026-06-28T10:04:00Z</dcterms:modified>
</cp:coreProperties>
</file>