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(2020–2024) reshaped global health, society, and economics. Using the Kaggle dataset, “Daily COVID-19 Data (2020-2024),” this exploratory data analysis (EDA) highlights critical pandemic trends. By leveraging granular data metrics like cumulative cases, deaths, testing, and vaccinations. This report identifies temporal, geographical, and policy-driven factors shaping pandemic outcomes.</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Daily COVID-19 Data (2020-2024)</w:t>
        </w:r>
      </w:hyperlink>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COVID-19, caused by SARS-CoV-2, emerged in late 2019, rapidly evolving into a global pandemic. It has led to over 750 million confirmed cases and more than 6.8 million deaths globally by 2024. The accompanying dataset, sourced from Kaggle, provides daily records of cases, deaths, and vaccinations across countries and regions, facilitating comprehensive pandemic analysis. The goal of this EDA is to uncover key trends, understand disparities, and evaluate the impact of public health interventions.</w:t>
      </w:r>
      <w:r w:rsidDel="00000000" w:rsidR="00000000" w:rsidRPr="00000000">
        <w:rPr>
          <w:rtl w:val="0"/>
        </w:rPr>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Overview of the Dataset</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encompasses daily COVID-19 statistics across continents, providing metrics such as cumulative confirmed cases, deaths, testing rates, and vaccinations. The data is segmented by WHO regions, enabling regional and cross-country comparisons. Specific data points include:</w:t>
      </w:r>
    </w:p>
    <w:p w:rsidR="00000000" w:rsidDel="00000000" w:rsidP="00000000" w:rsidRDefault="00000000" w:rsidRPr="00000000" w14:paraId="00000008">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Numbers:</w:t>
      </w:r>
    </w:p>
    <w:p w:rsidR="00000000" w:rsidDel="00000000" w:rsidP="00000000" w:rsidRDefault="00000000" w:rsidRPr="00000000" w14:paraId="00000009">
      <w:pPr>
        <w:numPr>
          <w:ilvl w:val="1"/>
          <w:numId w:val="2"/>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Cases - Cumulative Total:</w:t>
      </w:r>
      <w:r w:rsidDel="00000000" w:rsidR="00000000" w:rsidRPr="00000000">
        <w:rPr>
          <w:rFonts w:ascii="Times New Roman" w:cs="Times New Roman" w:eastAsia="Times New Roman" w:hAnsi="Times New Roman"/>
          <w:sz w:val="24"/>
          <w:szCs w:val="24"/>
          <w:rtl w:val="0"/>
        </w:rPr>
        <w:t xml:space="preserve"> 751 million.</w:t>
      </w:r>
    </w:p>
    <w:p w:rsidR="00000000" w:rsidDel="00000000" w:rsidP="00000000" w:rsidRDefault="00000000" w:rsidRPr="00000000" w14:paraId="0000000A">
      <w:pPr>
        <w:numPr>
          <w:ilvl w:val="1"/>
          <w:numId w:val="2"/>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Deaths - Cumulative Total:</w:t>
      </w:r>
      <w:r w:rsidDel="00000000" w:rsidR="00000000" w:rsidRPr="00000000">
        <w:rPr>
          <w:rFonts w:ascii="Times New Roman" w:cs="Times New Roman" w:eastAsia="Times New Roman" w:hAnsi="Times New Roman"/>
          <w:sz w:val="24"/>
          <w:szCs w:val="24"/>
          <w:rtl w:val="0"/>
        </w:rPr>
        <w:t xml:space="preserve"> 6.8 million.</w:t>
      </w:r>
    </w:p>
    <w:p w:rsidR="00000000" w:rsidDel="00000000" w:rsidP="00000000" w:rsidRDefault="00000000" w:rsidRPr="00000000" w14:paraId="0000000B">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Regional Distribution (WHO Regions):</w:t>
      </w:r>
    </w:p>
    <w:p w:rsidR="00000000" w:rsidDel="00000000" w:rsidP="00000000" w:rsidRDefault="00000000" w:rsidRPr="00000000" w14:paraId="0000000C">
      <w:pPr>
        <w:numPr>
          <w:ilvl w:val="1"/>
          <w:numId w:val="2"/>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Europe:</w:t>
      </w:r>
      <w:r w:rsidDel="00000000" w:rsidR="00000000" w:rsidRPr="00000000">
        <w:rPr>
          <w:rFonts w:ascii="Times New Roman" w:cs="Times New Roman" w:eastAsia="Times New Roman" w:hAnsi="Times New Roman"/>
          <w:sz w:val="24"/>
          <w:szCs w:val="24"/>
          <w:rtl w:val="0"/>
        </w:rPr>
        <w:t xml:space="preserve"> 279.5M cases, 2.27M deaths.</w:t>
      </w:r>
    </w:p>
    <w:p w:rsidR="00000000" w:rsidDel="00000000" w:rsidP="00000000" w:rsidRDefault="00000000" w:rsidRPr="00000000" w14:paraId="0000000D">
      <w:pPr>
        <w:numPr>
          <w:ilvl w:val="1"/>
          <w:numId w:val="2"/>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Americas:</w:t>
      </w:r>
      <w:r w:rsidDel="00000000" w:rsidR="00000000" w:rsidRPr="00000000">
        <w:rPr>
          <w:rFonts w:ascii="Times New Roman" w:cs="Times New Roman" w:eastAsia="Times New Roman" w:hAnsi="Times New Roman"/>
          <w:sz w:val="24"/>
          <w:szCs w:val="24"/>
          <w:rtl w:val="0"/>
        </w:rPr>
        <w:t xml:space="preserve"> 192.7M cases, 3.02M deaths.</w:t>
      </w:r>
    </w:p>
    <w:p w:rsidR="00000000" w:rsidDel="00000000" w:rsidP="00000000" w:rsidRDefault="00000000" w:rsidRPr="00000000" w14:paraId="0000000E">
      <w:pPr>
        <w:numPr>
          <w:ilvl w:val="1"/>
          <w:numId w:val="2"/>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Africa:</w:t>
      </w:r>
      <w:r w:rsidDel="00000000" w:rsidR="00000000" w:rsidRPr="00000000">
        <w:rPr>
          <w:rFonts w:ascii="Times New Roman" w:cs="Times New Roman" w:eastAsia="Times New Roman" w:hAnsi="Times New Roman"/>
          <w:sz w:val="24"/>
          <w:szCs w:val="24"/>
          <w:rtl w:val="0"/>
        </w:rPr>
        <w:t xml:space="preserve"> 9M cases, 174K deaths.</w:t>
      </w:r>
    </w:p>
    <w:p w:rsidR="00000000" w:rsidDel="00000000" w:rsidP="00000000" w:rsidRDefault="00000000" w:rsidRPr="00000000" w14:paraId="0000000F">
      <w:pPr>
        <w:numPr>
          <w:ilvl w:val="1"/>
          <w:numId w:val="2"/>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South-East Asia:</w:t>
      </w:r>
      <w:r w:rsidDel="00000000" w:rsidR="00000000" w:rsidRPr="00000000">
        <w:rPr>
          <w:rFonts w:ascii="Times New Roman" w:cs="Times New Roman" w:eastAsia="Times New Roman" w:hAnsi="Times New Roman"/>
          <w:sz w:val="24"/>
          <w:szCs w:val="24"/>
          <w:rtl w:val="0"/>
        </w:rPr>
        <w:t xml:space="preserve"> 61.3M cases, 808K deaths.</w:t>
      </w:r>
    </w:p>
    <w:p w:rsidR="00000000" w:rsidDel="00000000" w:rsidP="00000000" w:rsidRDefault="00000000" w:rsidRPr="00000000" w14:paraId="00000010">
      <w:pPr>
        <w:numPr>
          <w:ilvl w:val="1"/>
          <w:numId w:val="2"/>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Western Pacific:</w:t>
      </w:r>
      <w:r w:rsidDel="00000000" w:rsidR="00000000" w:rsidRPr="00000000">
        <w:rPr>
          <w:rFonts w:ascii="Times New Roman" w:cs="Times New Roman" w:eastAsia="Times New Roman" w:hAnsi="Times New Roman"/>
          <w:sz w:val="24"/>
          <w:szCs w:val="24"/>
          <w:rtl w:val="0"/>
        </w:rPr>
        <w:t xml:space="preserve"> 208.5M cases, 421K deaths.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segmentation highlights significant disparities in pandemic outcomes between regions.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Analysis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Temporal Trends</w:t>
      </w:r>
    </w:p>
    <w:p w:rsidR="00000000" w:rsidDel="00000000" w:rsidP="00000000" w:rsidRDefault="00000000" w:rsidRPr="00000000" w14:paraId="00000014">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and death trajectories exhibit distinct waves, with peaks in late 2020 and 2021, attributed to new variants and fluctuating public health measures.</w:t>
      </w:r>
    </w:p>
    <w:p w:rsidR="00000000" w:rsidDel="00000000" w:rsidP="00000000" w:rsidRDefault="00000000" w:rsidRPr="00000000" w14:paraId="00000015">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2024, cases and deaths show a marked decline, paralleling global vaccination campaigns.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Regional Distribution</w:t>
      </w:r>
    </w:p>
    <w:p w:rsidR="00000000" w:rsidDel="00000000" w:rsidP="00000000" w:rsidRDefault="00000000" w:rsidRPr="00000000" w14:paraId="00000017">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 and the Americas account for ~60% of global cases and ~77% of deaths, making them the hardest-hit regions.</w:t>
      </w:r>
    </w:p>
    <w:p w:rsidR="00000000" w:rsidDel="00000000" w:rsidP="00000000" w:rsidRDefault="00000000" w:rsidRPr="00000000" w14:paraId="00000018">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 and South-East Asia reported lower per capita cases, though underreporting and limited testing may contribute.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Testing and Positivity Rates</w:t>
      </w:r>
    </w:p>
    <w:p w:rsidR="00000000" w:rsidDel="00000000" w:rsidP="00000000" w:rsidRDefault="00000000" w:rsidRPr="00000000" w14:paraId="0000001A">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volume increased significantly over time, reducing positivity rates. Countries with robust testing strategies reported better containment and fewer deaths.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Vaccination Impact</w:t>
      </w:r>
    </w:p>
    <w:p w:rsidR="00000000" w:rsidDel="00000000" w:rsidP="00000000" w:rsidRDefault="00000000" w:rsidRPr="00000000" w14:paraId="0000001C">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 and the Americas achieved high vaccination rates early, resulting in reduced severe outcomes.</w:t>
      </w:r>
    </w:p>
    <w:p w:rsidR="00000000" w:rsidDel="00000000" w:rsidP="00000000" w:rsidRDefault="00000000" w:rsidRPr="00000000" w14:paraId="0000001D">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analyses reveal a direct link between higher vaccination rates and lower death rates in 2023-2024.</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Findings</w:t>
      </w:r>
    </w:p>
    <w:p w:rsidR="00000000" w:rsidDel="00000000" w:rsidP="00000000" w:rsidRDefault="00000000" w:rsidRPr="00000000" w14:paraId="0000001F">
      <w:pPr>
        <w:numPr>
          <w:ilvl w:val="0"/>
          <w:numId w:val="4"/>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High-Impact Regions:</w:t>
      </w:r>
      <w:r w:rsidDel="00000000" w:rsidR="00000000" w:rsidRPr="00000000">
        <w:rPr>
          <w:rFonts w:ascii="Times New Roman" w:cs="Times New Roman" w:eastAsia="Times New Roman" w:hAnsi="Times New Roman"/>
          <w:sz w:val="24"/>
          <w:szCs w:val="24"/>
          <w:rtl w:val="0"/>
        </w:rPr>
        <w:t xml:space="preserve"> Europe and the Americas experienced the greatest burden, reflecting urban density and travel hubs' impact.</w:t>
      </w:r>
    </w:p>
    <w:p w:rsidR="00000000" w:rsidDel="00000000" w:rsidP="00000000" w:rsidRDefault="00000000" w:rsidRPr="00000000" w14:paraId="00000020">
      <w:pPr>
        <w:numPr>
          <w:ilvl w:val="0"/>
          <w:numId w:val="4"/>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Temporal Trends:</w:t>
      </w:r>
      <w:r w:rsidDel="00000000" w:rsidR="00000000" w:rsidRPr="00000000">
        <w:rPr>
          <w:rFonts w:ascii="Times New Roman" w:cs="Times New Roman" w:eastAsia="Times New Roman" w:hAnsi="Times New Roman"/>
          <w:sz w:val="24"/>
          <w:szCs w:val="24"/>
          <w:rtl w:val="0"/>
        </w:rPr>
        <w:t xml:space="preserve"> Peaks in 2020-2021 align with variant surges, while 2023-2024 highlights the role of vaccinations in reducing case severity.</w:t>
      </w:r>
    </w:p>
    <w:p w:rsidR="00000000" w:rsidDel="00000000" w:rsidP="00000000" w:rsidRDefault="00000000" w:rsidRPr="00000000" w14:paraId="00000021">
      <w:pPr>
        <w:numPr>
          <w:ilvl w:val="0"/>
          <w:numId w:val="4"/>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Testing Variance:</w:t>
      </w:r>
      <w:r w:rsidDel="00000000" w:rsidR="00000000" w:rsidRPr="00000000">
        <w:rPr>
          <w:rFonts w:ascii="Times New Roman" w:cs="Times New Roman" w:eastAsia="Times New Roman" w:hAnsi="Times New Roman"/>
          <w:sz w:val="24"/>
          <w:szCs w:val="24"/>
          <w:rtl w:val="0"/>
        </w:rPr>
        <w:t xml:space="preserve"> Countries with advanced testing protocols identified and mitigated outbreaks more effectively.</w:t>
      </w:r>
    </w:p>
    <w:p w:rsidR="00000000" w:rsidDel="00000000" w:rsidP="00000000" w:rsidRDefault="00000000" w:rsidRPr="00000000" w14:paraId="00000022">
      <w:pPr>
        <w:numPr>
          <w:ilvl w:val="0"/>
          <w:numId w:val="4"/>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Vaccination Outcomes:</w:t>
      </w:r>
      <w:r w:rsidDel="00000000" w:rsidR="00000000" w:rsidRPr="00000000">
        <w:rPr>
          <w:rFonts w:ascii="Times New Roman" w:cs="Times New Roman" w:eastAsia="Times New Roman" w:hAnsi="Times New Roman"/>
          <w:sz w:val="24"/>
          <w:szCs w:val="24"/>
          <w:rtl w:val="0"/>
        </w:rPr>
        <w:t xml:space="preserve"> Regions with high vaccine uptake observed a faster recovery and fewer deaths.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EDA reveals the pandemic's profound global and regional disparities. Europe and the Americas suffered disproportionately, while Africa and South-East Asia faced unique challenges like underreporting. Vaccinations and robust testing emerged as critical factors in mitigating severe outcomes. These findings underscore the importance of equitable access to healthcare resources and coordinated public health responses for future pandemics.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bdoomoh/daily-covid-19-data-2020-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