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201DC" w14:textId="77777777" w:rsidR="006A360F" w:rsidRDefault="00C64319">
      <w:pPr>
        <w:pStyle w:val="Heading1"/>
      </w:pPr>
      <w:r>
        <w:t>Hiring Profile: Reviewers for Ads Creative Edge Cases</w:t>
      </w:r>
    </w:p>
    <w:p w14:paraId="127E2CD1" w14:textId="77777777" w:rsidR="006A360F" w:rsidRDefault="00C64319">
      <w:r>
        <w:t>Oct 10, 2026 · @sw</w:t>
      </w:r>
    </w:p>
    <w:p w14:paraId="0D8A03E1" w14:textId="77777777" w:rsidR="006A360F" w:rsidRDefault="00C64319">
      <w:pPr>
        <w:pStyle w:val="Heading2"/>
      </w:pPr>
      <w:r>
        <w:t>Why the profile changes</w:t>
      </w:r>
    </w:p>
    <w:p w14:paraId="02C379D3" w14:textId="77777777" w:rsidR="006A360F" w:rsidRDefault="00C64319">
      <w:r>
        <w:t xml:space="preserve">Hire for judgment, not throughput. The customer reports that the engine labels over 99% of creatives, so every ad a </w:t>
      </w:r>
      <w:proofErr w:type="gramStart"/>
      <w:r>
        <w:t>human sees</w:t>
      </w:r>
      <w:proofErr w:type="gramEnd"/>
      <w:r>
        <w:t xml:space="preserve"> is one the rules did not clearly anticipate.</w:t>
      </w:r>
    </w:p>
    <w:p w14:paraId="20255824" w14:textId="77777777" w:rsidR="006A360F" w:rsidRDefault="00C64319">
      <w:r>
        <w:t>That turns the job from matching ads to rules into weighing evidence across image, audio, text, landing page and advertiser history, then explaining the call in words an advertiser can act on.</w:t>
      </w:r>
    </w:p>
    <w:p w14:paraId="53B3114E" w14:textId="77777777" w:rsidR="006A360F" w:rsidRDefault="00C64319">
      <w:pPr>
        <w:pStyle w:val="Heading2"/>
      </w:pPr>
      <w:r>
        <w:t>Skills to hire for</w:t>
      </w:r>
    </w:p>
    <w:p w14:paraId="17ABBEF8" w14:textId="77777777" w:rsidR="006A360F" w:rsidRDefault="00C64319">
      <w:r>
        <w:t xml:space="preserve">Look for these eight </w:t>
      </w:r>
      <w:proofErr w:type="gramStart"/>
      <w:r>
        <w:t>skills, and</w:t>
      </w:r>
      <w:proofErr w:type="gramEnd"/>
      <w:r>
        <w:t xml:space="preserve"> screen each with a work sample rather than a resume line.</w:t>
      </w:r>
    </w:p>
    <w:tbl>
      <w:tblPr>
        <w:tblStyle w:val="TableGrid"/>
        <w:tblW w:w="0" w:type="auto"/>
        <w:tblLayout w:type="fixed"/>
        <w:tblLook w:val="0420" w:firstRow="1" w:lastRow="0" w:firstColumn="0" w:lastColumn="0" w:noHBand="0" w:noVBand="1"/>
      </w:tblPr>
      <w:tblGrid>
        <w:gridCol w:w="3120"/>
        <w:gridCol w:w="3120"/>
        <w:gridCol w:w="3120"/>
      </w:tblGrid>
      <w:tr w:rsidR="006A360F" w14:paraId="6FAF73CF" w14:textId="77777777">
        <w:trPr>
          <w:tblHeader/>
        </w:trPr>
        <w:tc>
          <w:tcPr>
            <w:tcW w:w="3120" w:type="dxa"/>
            <w:shd w:val="clear" w:color="auto" w:fill="F2F2F2"/>
          </w:tcPr>
          <w:p w14:paraId="32C9FD92" w14:textId="77777777" w:rsidR="006A360F" w:rsidRDefault="00C64319">
            <w:r>
              <w:t>Skill</w:t>
            </w:r>
          </w:p>
        </w:tc>
        <w:tc>
          <w:tcPr>
            <w:tcW w:w="3120" w:type="dxa"/>
            <w:shd w:val="clear" w:color="auto" w:fill="F2F2F2"/>
          </w:tcPr>
          <w:p w14:paraId="0A119CD7" w14:textId="77777777" w:rsidR="006A360F" w:rsidRDefault="00C64319">
            <w:r>
              <w:t>What it looks like in practice</w:t>
            </w:r>
          </w:p>
        </w:tc>
        <w:tc>
          <w:tcPr>
            <w:tcW w:w="3120" w:type="dxa"/>
            <w:shd w:val="clear" w:color="auto" w:fill="F2F2F2"/>
          </w:tcPr>
          <w:p w14:paraId="60BA8C91" w14:textId="77777777" w:rsidR="006A360F" w:rsidRDefault="00C64319">
            <w:r>
              <w:t>How to test it</w:t>
            </w:r>
          </w:p>
        </w:tc>
      </w:tr>
      <w:tr w:rsidR="006A360F" w14:paraId="3AF94AB3" w14:textId="77777777">
        <w:tc>
          <w:tcPr>
            <w:tcW w:w="3120" w:type="dxa"/>
          </w:tcPr>
          <w:p w14:paraId="38FAC3EF" w14:textId="77777777" w:rsidR="006A360F" w:rsidRDefault="00C64319">
            <w:r>
              <w:t>Policy reasoning</w:t>
            </w:r>
          </w:p>
        </w:tc>
        <w:tc>
          <w:tcPr>
            <w:tcW w:w="3120" w:type="dxa"/>
          </w:tcPr>
          <w:p w14:paraId="073B8BB5" w14:textId="77777777" w:rsidR="006A360F" w:rsidRDefault="00C64319">
            <w:r>
              <w:t>Applies a written rule to a case it does not literally cover, and states where the line sits and why</w:t>
            </w:r>
          </w:p>
        </w:tc>
        <w:tc>
          <w:tcPr>
            <w:tcW w:w="3120" w:type="dxa"/>
          </w:tcPr>
          <w:p w14:paraId="126B571A" w14:textId="77777777" w:rsidR="006A360F" w:rsidRDefault="00C64319">
            <w:r>
              <w:t>Three borderline ads against a policy excerpt; ask for decisions with reasons</w:t>
            </w:r>
          </w:p>
        </w:tc>
      </w:tr>
      <w:tr w:rsidR="006A360F" w14:paraId="7C2B668B" w14:textId="77777777">
        <w:tc>
          <w:tcPr>
            <w:tcW w:w="3120" w:type="dxa"/>
          </w:tcPr>
          <w:p w14:paraId="08B38F18" w14:textId="77777777" w:rsidR="006A360F" w:rsidRDefault="00C64319">
            <w:r>
              <w:t>Multimodal reading</w:t>
            </w:r>
          </w:p>
        </w:tc>
        <w:tc>
          <w:tcPr>
            <w:tcW w:w="3120" w:type="dxa"/>
          </w:tcPr>
          <w:p w14:paraId="6B854BEE" w14:textId="77777777" w:rsidR="006A360F" w:rsidRDefault="00C64319">
            <w:r>
              <w:t>Catches meaning that appears only in the combination of image, audio, on-screen text and landing page</w:t>
            </w:r>
          </w:p>
        </w:tc>
        <w:tc>
          <w:tcPr>
            <w:tcW w:w="3120" w:type="dxa"/>
          </w:tcPr>
          <w:p w14:paraId="73BEDCD9" w14:textId="77777777" w:rsidR="006A360F" w:rsidRDefault="00C64319">
            <w:r>
              <w:t>A video whose key claim is spoken, not shown</w:t>
            </w:r>
          </w:p>
        </w:tc>
      </w:tr>
      <w:tr w:rsidR="006A360F" w14:paraId="4983287B" w14:textId="77777777">
        <w:tc>
          <w:tcPr>
            <w:tcW w:w="3120" w:type="dxa"/>
          </w:tcPr>
          <w:p w14:paraId="2809CA20" w14:textId="77777777" w:rsidR="006A360F" w:rsidRDefault="00C64319">
            <w:r>
              <w:t>Adversarial thinking</w:t>
            </w:r>
          </w:p>
        </w:tc>
        <w:tc>
          <w:tcPr>
            <w:tcW w:w="3120" w:type="dxa"/>
          </w:tcPr>
          <w:p w14:paraId="1A9BE932" w14:textId="77777777" w:rsidR="006A360F" w:rsidRDefault="00C64319">
            <w:r>
              <w:t>Spots evasion: redirects, text hidden in images, lookalike brands, AI-generated endorsements</w:t>
            </w:r>
          </w:p>
        </w:tc>
        <w:tc>
          <w:tcPr>
            <w:tcW w:w="3120" w:type="dxa"/>
          </w:tcPr>
          <w:p w14:paraId="6A4DE626" w14:textId="77777777" w:rsidR="006A360F" w:rsidRDefault="00C64319">
            <w:r>
              <w:t>A before-and-after pair from an advertiser who "fixed" an ad</w:t>
            </w:r>
          </w:p>
        </w:tc>
      </w:tr>
      <w:tr w:rsidR="006A360F" w14:paraId="03343478" w14:textId="77777777">
        <w:tc>
          <w:tcPr>
            <w:tcW w:w="3120" w:type="dxa"/>
          </w:tcPr>
          <w:p w14:paraId="47B4C702" w14:textId="77777777" w:rsidR="006A360F" w:rsidRDefault="00C64319">
            <w:r>
              <w:t>Regional, language and regulatory fluency</w:t>
            </w:r>
          </w:p>
        </w:tc>
        <w:tc>
          <w:tcPr>
            <w:tcW w:w="3120" w:type="dxa"/>
          </w:tcPr>
          <w:p w14:paraId="7D4366C6" w14:textId="77777777" w:rsidR="006A360F" w:rsidRDefault="00C64319">
            <w:proofErr w:type="gramStart"/>
            <w:r>
              <w:t>Knows</w:t>
            </w:r>
            <w:proofErr w:type="gramEnd"/>
            <w:r>
              <w:t xml:space="preserve"> one ad can be fine in one country and not in another, and how licenses and certifications change the answer</w:t>
            </w:r>
          </w:p>
        </w:tc>
        <w:tc>
          <w:tcPr>
            <w:tcW w:w="3120" w:type="dxa"/>
          </w:tcPr>
          <w:p w14:paraId="1DCAABF9" w14:textId="77777777" w:rsidR="006A360F" w:rsidRDefault="00C64319">
            <w:r>
              <w:t>One ad, three target countries; ask for a verdict for each</w:t>
            </w:r>
          </w:p>
        </w:tc>
      </w:tr>
      <w:tr w:rsidR="006A360F" w14:paraId="07CA2375" w14:textId="77777777">
        <w:tc>
          <w:tcPr>
            <w:tcW w:w="3120" w:type="dxa"/>
          </w:tcPr>
          <w:p w14:paraId="04CD9E3D" w14:textId="77777777" w:rsidR="006A360F" w:rsidRDefault="00C64319">
            <w:r>
              <w:t>Evidence-based writing</w:t>
            </w:r>
          </w:p>
        </w:tc>
        <w:tc>
          <w:tcPr>
            <w:tcW w:w="3120" w:type="dxa"/>
          </w:tcPr>
          <w:p w14:paraId="5F3C37F1" w14:textId="77777777" w:rsidR="006A360F" w:rsidRDefault="00C64319">
            <w:r>
              <w:t>Writes a reply that says what is missing and what is not, in plain words</w:t>
            </w:r>
          </w:p>
        </w:tc>
        <w:tc>
          <w:tcPr>
            <w:tcW w:w="3120" w:type="dxa"/>
          </w:tcPr>
          <w:p w14:paraId="243B08B7" w14:textId="77777777" w:rsidR="006A360F" w:rsidRDefault="00C64319">
            <w:r>
              <w:t>Draft a reply from a case file</w:t>
            </w:r>
          </w:p>
        </w:tc>
      </w:tr>
      <w:tr w:rsidR="006A360F" w14:paraId="372D2137" w14:textId="77777777">
        <w:tc>
          <w:tcPr>
            <w:tcW w:w="3120" w:type="dxa"/>
          </w:tcPr>
          <w:p w14:paraId="70BF0436" w14:textId="77777777" w:rsidR="006A360F" w:rsidRDefault="00C64319">
            <w:r>
              <w:t>Calibrated escalation</w:t>
            </w:r>
          </w:p>
        </w:tc>
        <w:tc>
          <w:tcPr>
            <w:tcW w:w="3120" w:type="dxa"/>
          </w:tcPr>
          <w:p w14:paraId="6B117B1C" w14:textId="77777777" w:rsidR="006A360F" w:rsidRDefault="00C64319">
            <w:r>
              <w:t>Knows when to decide, when to ask, and when a case exposes a policy gap</w:t>
            </w:r>
          </w:p>
        </w:tc>
        <w:tc>
          <w:tcPr>
            <w:tcW w:w="3120" w:type="dxa"/>
          </w:tcPr>
          <w:p w14:paraId="18ACC5CE" w14:textId="77777777" w:rsidR="006A360F" w:rsidRDefault="00C64319">
            <w:r>
              <w:t>A case with missing facts; ask what they would do next</w:t>
            </w:r>
          </w:p>
        </w:tc>
      </w:tr>
      <w:tr w:rsidR="006A360F" w14:paraId="2DCBC4AE" w14:textId="77777777">
        <w:tc>
          <w:tcPr>
            <w:tcW w:w="3120" w:type="dxa"/>
          </w:tcPr>
          <w:p w14:paraId="5960095B" w14:textId="77777777" w:rsidR="006A360F" w:rsidRDefault="00C64319">
            <w:r>
              <w:t>AI literacy</w:t>
            </w:r>
          </w:p>
        </w:tc>
        <w:tc>
          <w:tcPr>
            <w:tcW w:w="3120" w:type="dxa"/>
          </w:tcPr>
          <w:p w14:paraId="5453C1BF" w14:textId="77777777" w:rsidR="006A360F" w:rsidRDefault="00C64319">
            <w:r>
              <w:t>Reads engine outputs, spots repeat false positives, writes labeled examples that help retraining</w:t>
            </w:r>
          </w:p>
        </w:tc>
        <w:tc>
          <w:tcPr>
            <w:tcW w:w="3120" w:type="dxa"/>
          </w:tcPr>
          <w:p w14:paraId="2C3CA67D" w14:textId="77777777" w:rsidR="006A360F" w:rsidRDefault="00C64319">
            <w:r>
              <w:t>Ten engine labels containing errors; ask for the pattern</w:t>
            </w:r>
          </w:p>
        </w:tc>
      </w:tr>
      <w:tr w:rsidR="006A360F" w14:paraId="03E33746" w14:textId="77777777">
        <w:tc>
          <w:tcPr>
            <w:tcW w:w="3120" w:type="dxa"/>
          </w:tcPr>
          <w:p w14:paraId="7D4514AF" w14:textId="77777777" w:rsidR="006A360F" w:rsidRDefault="00C64319">
            <w:r>
              <w:t>Resilience</w:t>
            </w:r>
          </w:p>
        </w:tc>
        <w:tc>
          <w:tcPr>
            <w:tcW w:w="3120" w:type="dxa"/>
          </w:tcPr>
          <w:p w14:paraId="5E3776BB" w14:textId="77777777" w:rsidR="006A360F" w:rsidRDefault="00C64319">
            <w:r>
              <w:t>Stays steady with graphic or adult material and uses rotation and breaks</w:t>
            </w:r>
          </w:p>
        </w:tc>
        <w:tc>
          <w:tcPr>
            <w:tcW w:w="3120" w:type="dxa"/>
          </w:tcPr>
          <w:p w14:paraId="10D2D933" w14:textId="77777777" w:rsidR="006A360F" w:rsidRDefault="00C64319">
            <w:r>
              <w:t>A realistic job preview and a structured conversation</w:t>
            </w:r>
          </w:p>
        </w:tc>
      </w:tr>
    </w:tbl>
    <w:p w14:paraId="3ECC1F51" w14:textId="77777777" w:rsidR="006A360F" w:rsidRDefault="00C64319">
      <w:pPr>
        <w:pStyle w:val="Heading2"/>
      </w:pPr>
      <w:r>
        <w:t>Edge cases and the skills that settle them</w:t>
      </w:r>
    </w:p>
    <w:p w14:paraId="37DA4AAE" w14:textId="77777777" w:rsidR="006A360F" w:rsidRDefault="00C64319">
      <w:r>
        <w:t>Each case below looks acceptable on any single signal and fails only in combination, which is the profile of an edge case.</w:t>
      </w:r>
    </w:p>
    <w:tbl>
      <w:tblPr>
        <w:tblStyle w:val="TableGrid"/>
        <w:tblW w:w="0" w:type="auto"/>
        <w:tblLayout w:type="fixed"/>
        <w:tblLook w:val="0420" w:firstRow="1" w:lastRow="0" w:firstColumn="0" w:lastColumn="0" w:noHBand="0" w:noVBand="1"/>
      </w:tblPr>
      <w:tblGrid>
        <w:gridCol w:w="3120"/>
        <w:gridCol w:w="3120"/>
        <w:gridCol w:w="3120"/>
      </w:tblGrid>
      <w:tr w:rsidR="006A360F" w14:paraId="2D331295" w14:textId="77777777">
        <w:trPr>
          <w:tblHeader/>
        </w:trPr>
        <w:tc>
          <w:tcPr>
            <w:tcW w:w="3120" w:type="dxa"/>
            <w:shd w:val="clear" w:color="auto" w:fill="F2F2F2"/>
          </w:tcPr>
          <w:p w14:paraId="4C6FD066" w14:textId="77777777" w:rsidR="006A360F" w:rsidRDefault="00C64319">
            <w:r>
              <w:t>Edge case</w:t>
            </w:r>
          </w:p>
        </w:tc>
        <w:tc>
          <w:tcPr>
            <w:tcW w:w="3120" w:type="dxa"/>
            <w:shd w:val="clear" w:color="auto" w:fill="F2F2F2"/>
          </w:tcPr>
          <w:p w14:paraId="789AB510" w14:textId="77777777" w:rsidR="006A360F" w:rsidRDefault="00C64319">
            <w:r>
              <w:t>Why it resists a label</w:t>
            </w:r>
          </w:p>
        </w:tc>
        <w:tc>
          <w:tcPr>
            <w:tcW w:w="3120" w:type="dxa"/>
            <w:shd w:val="clear" w:color="auto" w:fill="F2F2F2"/>
          </w:tcPr>
          <w:p w14:paraId="6221291C" w14:textId="77777777" w:rsidR="006A360F" w:rsidRDefault="00C64319">
            <w:r>
              <w:t>Skills that settle it</w:t>
            </w:r>
          </w:p>
        </w:tc>
      </w:tr>
      <w:tr w:rsidR="006A360F" w14:paraId="093C2C76" w14:textId="77777777">
        <w:tc>
          <w:tcPr>
            <w:tcW w:w="3120" w:type="dxa"/>
          </w:tcPr>
          <w:p w14:paraId="1B5C97D4" w14:textId="77777777" w:rsidR="006A360F" w:rsidRDefault="00C64319">
            <w:r>
              <w:t>A telehealth ad with clean on-screen text, but the voiceover names a prescription drug; it runs in three countries</w:t>
            </w:r>
          </w:p>
        </w:tc>
        <w:tc>
          <w:tcPr>
            <w:tcW w:w="3120" w:type="dxa"/>
          </w:tcPr>
          <w:p w14:paraId="4A394E3F" w14:textId="77777777" w:rsidR="006A360F" w:rsidRDefault="00C64319">
            <w:r>
              <w:t>The violation lives in the audio, prescription drug terms are restricted, and certification and country rules sit outside the creative</w:t>
            </w:r>
          </w:p>
        </w:tc>
        <w:tc>
          <w:tcPr>
            <w:tcW w:w="3120" w:type="dxa"/>
          </w:tcPr>
          <w:p w14:paraId="137BA380" w14:textId="77777777" w:rsidR="006A360F" w:rsidRDefault="00C64319">
            <w:r>
              <w:t>Multimodal reading, regional and regulatory fluency, policy reasoning</w:t>
            </w:r>
          </w:p>
        </w:tc>
      </w:tr>
      <w:tr w:rsidR="006A360F" w14:paraId="200C04BE" w14:textId="77777777">
        <w:tc>
          <w:tcPr>
            <w:tcW w:w="3120" w:type="dxa"/>
          </w:tcPr>
          <w:p w14:paraId="64825EDE" w14:textId="77777777" w:rsidR="006A360F" w:rsidRDefault="00C64319">
            <w:r>
              <w:t xml:space="preserve">A non-alcoholic drink ad that uses a </w:t>
            </w:r>
            <w:proofErr w:type="gramStart"/>
            <w:r>
              <w:t>spirits</w:t>
            </w:r>
            <w:proofErr w:type="gramEnd"/>
            <w:r>
              <w:t xml:space="preserve"> brand and a party scene</w:t>
            </w:r>
          </w:p>
        </w:tc>
        <w:tc>
          <w:tcPr>
            <w:tcW w:w="3120" w:type="dxa"/>
          </w:tcPr>
          <w:p w14:paraId="787E46BB" w14:textId="77777777" w:rsidR="006A360F" w:rsidRDefault="00C64319">
            <w:r>
              <w:t>Alcohol policy also covers drinks that resemble alcohol, and the scene can imply social success even though each element passes alone</w:t>
            </w:r>
          </w:p>
        </w:tc>
        <w:tc>
          <w:tcPr>
            <w:tcW w:w="3120" w:type="dxa"/>
          </w:tcPr>
          <w:p w14:paraId="1F6C7D34" w14:textId="77777777" w:rsidR="006A360F" w:rsidRDefault="00C64319">
            <w:r>
              <w:t>Policy reasoning, multimodal reading, cultural fluency</w:t>
            </w:r>
          </w:p>
        </w:tc>
      </w:tr>
      <w:tr w:rsidR="006A360F" w14:paraId="252CCD17" w14:textId="77777777">
        <w:tc>
          <w:tcPr>
            <w:tcW w:w="3120" w:type="dxa"/>
          </w:tcPr>
          <w:p w14:paraId="081EA021" w14:textId="77777777" w:rsidR="006A360F" w:rsidRDefault="00C64319">
            <w:r>
              <w:t>A free-to-play casino game ad whose landing page links to a real-money site on another domain</w:t>
            </w:r>
          </w:p>
        </w:tc>
        <w:tc>
          <w:tcPr>
            <w:tcW w:w="3120" w:type="dxa"/>
          </w:tcPr>
          <w:p w14:paraId="19F1C0D2" w14:textId="77777777" w:rsidR="006A360F" w:rsidRDefault="00C64319">
            <w:r>
              <w:t>Each page looks compliant alone; the risk is the click path and a certificate that covers only one URL</w:t>
            </w:r>
          </w:p>
        </w:tc>
        <w:tc>
          <w:tcPr>
            <w:tcW w:w="3120" w:type="dxa"/>
          </w:tcPr>
          <w:p w14:paraId="6A7EFFEB" w14:textId="77777777" w:rsidR="006A360F" w:rsidRDefault="00C64319">
            <w:r>
              <w:t>Adversarial thinking, regulatory fluency, calibrated escalation</w:t>
            </w:r>
          </w:p>
        </w:tc>
      </w:tr>
      <w:tr w:rsidR="006A360F" w14:paraId="40AC774A" w14:textId="77777777">
        <w:tc>
          <w:tcPr>
            <w:tcW w:w="3120" w:type="dxa"/>
          </w:tcPr>
          <w:p w14:paraId="42C4A25A" w14:textId="77777777" w:rsidR="006A360F" w:rsidRDefault="00C64319">
            <w:r>
              <w:t>An AI-generated doctor endorsing a supplement said to "work like" a prescription drug</w:t>
            </w:r>
          </w:p>
        </w:tc>
        <w:tc>
          <w:tcPr>
            <w:tcW w:w="3120" w:type="dxa"/>
          </w:tcPr>
          <w:p w14:paraId="0C953CFA" w14:textId="77777777" w:rsidR="006A360F" w:rsidRDefault="00C64319">
            <w:r>
              <w:t>It combines manipulated media, impersonation and an unapproved-substance claim, so no single label fits</w:t>
            </w:r>
          </w:p>
        </w:tc>
        <w:tc>
          <w:tcPr>
            <w:tcW w:w="3120" w:type="dxa"/>
          </w:tcPr>
          <w:p w14:paraId="5450F3F9" w14:textId="77777777" w:rsidR="006A360F" w:rsidRDefault="00C64319">
            <w:r>
              <w:t xml:space="preserve">AI literacy, adversarial thinking, evidence-based writing for the advertiser </w:t>
            </w:r>
            <w:proofErr w:type="gramStart"/>
            <w:r>
              <w:t>reply</w:t>
            </w:r>
            <w:proofErr w:type="gramEnd"/>
            <w:r>
              <w:t xml:space="preserve"> and account-level escalation</w:t>
            </w:r>
          </w:p>
        </w:tc>
      </w:tr>
    </w:tbl>
    <w:p w14:paraId="336937F0" w14:textId="77777777" w:rsidR="006A360F" w:rsidRDefault="00C64319">
      <w:r>
        <w:t>A reviewer who only matches ads to rules would decide each of these on one signal. The right call needs the whole combination, and the reply to the advertiser needs to say which part was the problem.</w:t>
      </w:r>
    </w:p>
    <w:sectPr w:rsidR="006A360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C0745"/>
    <w:multiLevelType w:val="hybridMultilevel"/>
    <w:tmpl w:val="FFFFFFFF"/>
    <w:lvl w:ilvl="0" w:tplc="26D2CE8A">
      <w:start w:val="1"/>
      <w:numFmt w:val="decimal"/>
      <w:lvlText w:val="%1."/>
      <w:lvlJc w:val="left"/>
      <w:pPr>
        <w:ind w:left="720" w:hanging="360"/>
      </w:pPr>
    </w:lvl>
    <w:lvl w:ilvl="1" w:tplc="1ADCEAB2">
      <w:start w:val="1"/>
      <w:numFmt w:val="lowerLetter"/>
      <w:lvlText w:val="%2."/>
      <w:lvlJc w:val="left"/>
      <w:pPr>
        <w:ind w:left="1440" w:hanging="360"/>
      </w:pPr>
    </w:lvl>
    <w:lvl w:ilvl="2" w:tplc="4A421A1C">
      <w:start w:val="1"/>
      <w:numFmt w:val="lowerRoman"/>
      <w:lvlText w:val="%3."/>
      <w:lvlJc w:val="left"/>
      <w:pPr>
        <w:ind w:left="2160" w:hanging="360"/>
      </w:pPr>
    </w:lvl>
    <w:lvl w:ilvl="3" w:tplc="164CADB0">
      <w:start w:val="1"/>
      <w:numFmt w:val="decimal"/>
      <w:lvlText w:val="%4."/>
      <w:lvlJc w:val="left"/>
      <w:pPr>
        <w:ind w:left="2880" w:hanging="360"/>
      </w:pPr>
    </w:lvl>
    <w:lvl w:ilvl="4" w:tplc="EF423A12">
      <w:start w:val="1"/>
      <w:numFmt w:val="lowerLetter"/>
      <w:lvlText w:val="%5."/>
      <w:lvlJc w:val="left"/>
      <w:pPr>
        <w:ind w:left="3600" w:hanging="360"/>
      </w:pPr>
    </w:lvl>
    <w:lvl w:ilvl="5" w:tplc="451C9FF0">
      <w:start w:val="1"/>
      <w:numFmt w:val="lowerRoman"/>
      <w:lvlText w:val="%6."/>
      <w:lvlJc w:val="left"/>
      <w:pPr>
        <w:ind w:left="4320" w:hanging="360"/>
      </w:pPr>
    </w:lvl>
    <w:lvl w:ilvl="6" w:tplc="5474585E">
      <w:start w:val="1"/>
      <w:numFmt w:val="decimal"/>
      <w:lvlText w:val="%7."/>
      <w:lvlJc w:val="left"/>
      <w:pPr>
        <w:ind w:left="5040" w:hanging="360"/>
      </w:pPr>
    </w:lvl>
    <w:lvl w:ilvl="7" w:tplc="7FA690FC">
      <w:start w:val="1"/>
      <w:numFmt w:val="lowerLetter"/>
      <w:lvlText w:val="%8."/>
      <w:lvlJc w:val="left"/>
      <w:pPr>
        <w:ind w:left="5760" w:hanging="360"/>
      </w:pPr>
    </w:lvl>
    <w:lvl w:ilvl="8" w:tplc="A1E431F4">
      <w:start w:val="1"/>
      <w:numFmt w:val="lowerRoman"/>
      <w:lvlText w:val="%9."/>
      <w:lvlJc w:val="left"/>
      <w:pPr>
        <w:ind w:left="6480" w:hanging="360"/>
      </w:pPr>
    </w:lvl>
  </w:abstractNum>
  <w:abstractNum w:abstractNumId="1" w15:restartNumberingAfterBreak="0">
    <w:nsid w:val="5FBB453A"/>
    <w:multiLevelType w:val="hybridMultilevel"/>
    <w:tmpl w:val="FFFFFFFF"/>
    <w:lvl w:ilvl="0" w:tplc="0280331A">
      <w:start w:val="1"/>
      <w:numFmt w:val="bullet"/>
      <w:lvlText w:val="•"/>
      <w:lvlJc w:val="left"/>
      <w:pPr>
        <w:ind w:left="720" w:hanging="360"/>
      </w:pPr>
    </w:lvl>
    <w:lvl w:ilvl="1" w:tplc="CC6E13CA">
      <w:start w:val="1"/>
      <w:numFmt w:val="bullet"/>
      <w:lvlText w:val="o"/>
      <w:lvlJc w:val="left"/>
      <w:pPr>
        <w:ind w:left="1440" w:hanging="360"/>
      </w:pPr>
    </w:lvl>
    <w:lvl w:ilvl="2" w:tplc="A7C81B9C">
      <w:start w:val="1"/>
      <w:numFmt w:val="bullet"/>
      <w:lvlText w:val="▪"/>
      <w:lvlJc w:val="left"/>
      <w:pPr>
        <w:ind w:left="2160" w:hanging="360"/>
      </w:pPr>
    </w:lvl>
    <w:lvl w:ilvl="3" w:tplc="99C825D4">
      <w:start w:val="1"/>
      <w:numFmt w:val="bullet"/>
      <w:lvlText w:val="•"/>
      <w:lvlJc w:val="left"/>
      <w:pPr>
        <w:ind w:left="2880" w:hanging="360"/>
      </w:pPr>
    </w:lvl>
    <w:lvl w:ilvl="4" w:tplc="8580E55C">
      <w:start w:val="1"/>
      <w:numFmt w:val="bullet"/>
      <w:lvlText w:val="o"/>
      <w:lvlJc w:val="left"/>
      <w:pPr>
        <w:ind w:left="3600" w:hanging="360"/>
      </w:pPr>
    </w:lvl>
    <w:lvl w:ilvl="5" w:tplc="9C48F38C">
      <w:start w:val="1"/>
      <w:numFmt w:val="bullet"/>
      <w:lvlText w:val="▪"/>
      <w:lvlJc w:val="left"/>
      <w:pPr>
        <w:ind w:left="4320" w:hanging="360"/>
      </w:pPr>
    </w:lvl>
    <w:lvl w:ilvl="6" w:tplc="FCBA0E86">
      <w:start w:val="1"/>
      <w:numFmt w:val="bullet"/>
      <w:lvlText w:val="•"/>
      <w:lvlJc w:val="left"/>
      <w:pPr>
        <w:ind w:left="5040" w:hanging="360"/>
      </w:pPr>
    </w:lvl>
    <w:lvl w:ilvl="7" w:tplc="98603638">
      <w:start w:val="1"/>
      <w:numFmt w:val="bullet"/>
      <w:lvlText w:val="o"/>
      <w:lvlJc w:val="left"/>
      <w:pPr>
        <w:ind w:left="5760" w:hanging="360"/>
      </w:pPr>
    </w:lvl>
    <w:lvl w:ilvl="8" w:tplc="7DB05F76">
      <w:start w:val="1"/>
      <w:numFmt w:val="bullet"/>
      <w:lvlText w:val="▪"/>
      <w:lvlJc w:val="left"/>
      <w:pPr>
        <w:ind w:left="6480" w:hanging="360"/>
      </w:pPr>
    </w:lvl>
  </w:abstractNum>
  <w:num w:numId="1" w16cid:durableId="1027873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0F"/>
    <w:rsid w:val="002D6824"/>
    <w:rsid w:val="0053223B"/>
    <w:rsid w:val="006A360F"/>
    <w:rsid w:val="006E7F02"/>
    <w:rsid w:val="00C64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E6D6CD"/>
  <w15:docId w15:val="{C64B84D0-91A9-034D-8D9B-5F7573A14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Hiring Profile Reviewers for Ads Creative Edge Cases</dc:title>
  <dc:description>Claude Docs node/2984b84a-567c@4 docx-w6</dc:description>
  <cp:lastModifiedBy>Dimple Mande</cp:lastModifiedBy>
  <cp:revision>2</cp:revision>
  <dcterms:created xsi:type="dcterms:W3CDTF">2026-10-12T06:48:00Z</dcterms:created>
  <dcterms:modified xsi:type="dcterms:W3CDTF">2026-10-12T06:48:00Z</dcterms:modified>
</cp:coreProperties>
</file>