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KB Example: KA-OUT-020 Allowlist or Blocklist a Campaign</w:t>
      </w:r>
    </w:p>
    <w:p>
      <w:pPr/>
      <w:r>
        <w:t xml:space="preserve">Oct 26, 2026</w:t>
      </w:r>
      <w:r>
        <w:t xml:space="preserve"> · </w:t>
      </w:r>
      <w:r>
        <w:t xml:space="preserve">@Anoop Krishnan</w:t>
      </w:r>
    </w:p>
    <w:p>
      <w:pPr>
        <w:pStyle w:val="Quote"/>
      </w:pPr>
      <w:r>
        <w:rPr>
          <w:b/>
        </w:rPr>
        <w:t xml:space="preserve">Reference example only.</w:t>
      </w:r>
      <w:r>
        <w:t xml:space="preserve"> This shows what a finished Workflow / SOP article looks like. The Heimdall steps, field names, codes and escalation details below are invented to illustrate the format. The SME must replace them with the real process before anything like this is published.</w:t>
      </w:r>
    </w:p>
    <w:p>
      <w:pPr>
        <w:pStyle w:val="Quote"/>
      </w:pPr>
      <w:r>
        <w:rPr>
          <w:b/>
        </w:rPr>
        <w:t xml:space="preserve">UPDATED 20 Oct 2026 (v2.0):</w:t>
      </w:r>
      <w:r>
        <w:t xml:space="preserve"> Rule names now include the queue code in §3 step 6. Remove this banner after 19 Nov 2026.</w:t>
      </w:r>
    </w:p>
    <w:tbl>
      <w:tblPr>
        <w:tblStyle w:val="TableGrid"/>
        <w:tblW w:w="0" w:type="auto"/>
        <w:tblLayout w:type="fixed"/>
        <w:tblLook w:val="04A0" w:firstRow="1" w:lastRow="0" w:firstColumn="0" w:lastColumn="0" w:noHBand="0" w:noVBand="1"/>
      </w:tblPr>
      <w:tblGrid>
        <w:gridCol w:w="3156"/>
        <w:gridCol w:w="6203"/>
      </w:tblGrid>
      <w:tr>
        <w:trPr>
          <w:tblHeader/>
        </w:trPr>
        <w:tc>
          <w:tcPr>
            <w:tcW w:w="3156" w:type="dxa"/>
            <w:shd w:val="clear" w:color="auto" w:fill="F2F2F2"/>
          </w:tcPr>
          <w:p>
            <w:pPr/>
            <w:r>
              <w:t xml:space="preserve">Field</w:t>
            </w:r>
          </w:p>
        </w:tc>
        <w:tc>
          <w:tcPr>
            <w:tcW w:w="6203" w:type="dxa"/>
            <w:shd w:val="clear" w:color="auto" w:fill="F2F2F2"/>
          </w:tcPr>
          <w:p>
            <w:pPr/>
            <w:r>
              <w:t xml:space="preserve">Value</w:t>
            </w:r>
          </w:p>
        </w:tc>
      </w:tr>
      <w:tr>
        <w:tc>
          <w:tcPr>
            <w:tcW w:w="3156" w:type="dxa"/>
          </w:tcPr>
          <w:p>
            <w:pPr/>
            <w:r>
              <w:t xml:space="preserve">Article ID</w:t>
            </w:r>
          </w:p>
        </w:tc>
        <w:tc>
          <w:tcPr>
            <w:tcW w:w="6203" w:type="dxa"/>
          </w:tcPr>
          <w:p>
            <w:pPr/>
            <w:r>
              <w:t xml:space="preserve">KA-OUT-020</w:t>
            </w:r>
          </w:p>
        </w:tc>
      </w:tr>
      <w:tr>
        <w:tc>
          <w:tcPr>
            <w:tcW w:w="3156" w:type="dxa"/>
          </w:tcPr>
          <w:p>
            <w:pPr/>
            <w:r>
              <w:t xml:space="preserve">Type</w:t>
            </w:r>
          </w:p>
        </w:tc>
        <w:tc>
          <w:tcPr>
            <w:tcW w:w="6203" w:type="dxa"/>
          </w:tcPr>
          <w:p>
            <w:pPr/>
            <w:r>
              <w:t xml:space="preserve">Workflow / SOP</w:t>
            </w:r>
          </w:p>
        </w:tc>
      </w:tr>
      <w:tr>
        <w:tc>
          <w:tcPr>
            <w:tcW w:w="3156" w:type="dxa"/>
          </w:tcPr>
          <w:p>
            <w:pPr/>
            <w:r>
              <w:t xml:space="preserve">Title</w:t>
            </w:r>
          </w:p>
        </w:tc>
        <w:tc>
          <w:tcPr>
            <w:tcW w:w="6203" w:type="dxa"/>
          </w:tcPr>
          <w:p>
            <w:pPr/>
            <w:r>
              <w:t xml:space="preserve">Allowlist or blocklist a campaign</w:t>
            </w:r>
          </w:p>
        </w:tc>
      </w:tr>
      <w:tr>
        <w:tc>
          <w:tcPr>
            <w:tcW w:w="3156" w:type="dxa"/>
          </w:tcPr>
          <w:p>
            <w:pPr/>
            <w:r>
              <w:t xml:space="preserve">Purpose</w:t>
            </w:r>
          </w:p>
        </w:tc>
        <w:tc>
          <w:tcPr>
            <w:tcW w:w="6203" w:type="dxa"/>
          </w:tcPr>
          <w:p>
            <w:pPr/>
            <w:r>
              <w:t xml:space="preserve">Write a Heimdall rule that allows or blocks a mail campaign, correctly named and recorded</w:t>
            </w:r>
          </w:p>
        </w:tc>
      </w:tr>
      <w:tr>
        <w:tc>
          <w:tcPr>
            <w:tcW w:w="3156" w:type="dxa"/>
          </w:tcPr>
          <w:p>
            <w:pPr/>
            <w:r>
              <w:t xml:space="preserve">Audience</w:t>
            </w:r>
          </w:p>
        </w:tc>
        <w:tc>
          <w:tcPr>
            <w:tcW w:w="6203" w:type="dxa"/>
          </w:tcPr>
          <w:p>
            <w:pPr/>
            <w:r>
              <w:t xml:space="preserve">Mail OPS analysts</w:t>
            </w:r>
          </w:p>
        </w:tc>
      </w:tr>
      <w:tr>
        <w:tc>
          <w:tcPr>
            <w:tcW w:w="3156" w:type="dxa"/>
          </w:tcPr>
          <w:p>
            <w:pPr/>
            <w:r>
              <w:t xml:space="preserve">Status</w:t>
            </w:r>
          </w:p>
        </w:tc>
        <w:tc>
          <w:tcPr>
            <w:tcW w:w="6203" w:type="dxa"/>
          </w:tcPr>
          <w:p>
            <w:pPr/>
            <w:r>
              <w:t xml:space="preserve">Published</w:t>
            </w:r>
          </w:p>
        </w:tc>
      </w:tr>
      <w:tr>
        <w:tc>
          <w:tcPr>
            <w:tcW w:w="3156" w:type="dxa"/>
          </w:tcPr>
          <w:p>
            <w:pPr/>
            <w:r>
              <w:t xml:space="preserve">Version</w:t>
            </w:r>
          </w:p>
        </w:tc>
        <w:tc>
          <w:tcPr>
            <w:tcW w:w="6203" w:type="dxa"/>
          </w:tcPr>
          <w:p>
            <w:pPr/>
            <w:r>
              <w:t xml:space="preserve">2.0</w:t>
            </w:r>
          </w:p>
        </w:tc>
      </w:tr>
      <w:tr>
        <w:tc>
          <w:tcPr>
            <w:tcW w:w="3156" w:type="dxa"/>
          </w:tcPr>
          <w:p>
            <w:pPr/>
            <w:r>
              <w:t xml:space="preserve">Owner</w:t>
            </w:r>
          </w:p>
        </w:tc>
        <w:tc>
          <w:tcPr>
            <w:tcW w:w="6203" w:type="dxa"/>
          </w:tcPr>
          <w:p>
            <w:pPr/>
            <w:r>
              <w:t xml:space="preserve">[SME name]</w:t>
            </w:r>
          </w:p>
        </w:tc>
      </w:tr>
      <w:tr>
        <w:tc>
          <w:tcPr>
            <w:tcW w:w="3156" w:type="dxa"/>
          </w:tcPr>
          <w:p>
            <w:pPr/>
            <w:r>
              <w:t xml:space="preserve">Approver</w:t>
            </w:r>
          </w:p>
        </w:tc>
        <w:tc>
          <w:tcPr>
            <w:tcW w:w="6203" w:type="dxa"/>
          </w:tcPr>
          <w:p>
            <w:pPr/>
            <w:r>
              <w:t xml:space="preserve">[Ops lead name]</w:t>
            </w:r>
          </w:p>
        </w:tc>
      </w:tr>
      <w:tr>
        <w:tc>
          <w:tcPr>
            <w:tcW w:w="3156" w:type="dxa"/>
          </w:tcPr>
          <w:p>
            <w:pPr/>
            <w:r>
              <w:t xml:space="preserve">Last approved</w:t>
            </w:r>
          </w:p>
        </w:tc>
        <w:tc>
          <w:tcPr>
            <w:tcW w:w="6203" w:type="dxa"/>
          </w:tcPr>
          <w:p>
            <w:pPr/>
            <w:r>
              <w:t xml:space="preserve">20 Oct 2026</w:t>
            </w:r>
          </w:p>
        </w:tc>
      </w:tr>
      <w:tr>
        <w:tc>
          <w:tcPr>
            <w:tcW w:w="3156" w:type="dxa"/>
          </w:tcPr>
          <w:p>
            <w:pPr/>
            <w:r>
              <w:t xml:space="preserve">Next review</w:t>
            </w:r>
          </w:p>
        </w:tc>
        <w:tc>
          <w:tcPr>
            <w:tcW w:w="6203" w:type="dxa"/>
          </w:tcPr>
          <w:p>
            <w:pPr/>
            <w:r>
              <w:t xml:space="preserve">18 Jan 2027</w:t>
            </w:r>
          </w:p>
        </w:tc>
      </w:tr>
      <w:tr>
        <w:tc>
          <w:tcPr>
            <w:tcW w:w="3156" w:type="dxa"/>
          </w:tcPr>
          <w:p>
            <w:pPr/>
            <w:r>
              <w:t xml:space="preserve">Linked LMS modules</w:t>
            </w:r>
          </w:p>
        </w:tc>
        <w:tc>
          <w:tcPr>
            <w:tcW w:w="6203" w:type="dxa"/>
          </w:tcPr>
          <w:p>
            <w:pPr/>
            <w:r>
              <w:t xml:space="preserve">M-W1-07</w:t>
            </w:r>
          </w:p>
        </w:tc>
      </w:tr>
      <w:tr>
        <w:tc>
          <w:tcPr>
            <w:tcW w:w="3156" w:type="dxa"/>
          </w:tcPr>
          <w:p>
            <w:pPr/>
            <w:r>
              <w:t xml:space="preserve">Linked questions</w:t>
            </w:r>
          </w:p>
        </w:tc>
        <w:tc>
          <w:tcPr>
            <w:tcW w:w="6203" w:type="dxa"/>
          </w:tcPr>
          <w:p>
            <w:pPr/>
            <w:r>
              <w:t xml:space="preserve">Q-OUT020-01, Q-OUT020-02</w:t>
            </w:r>
          </w:p>
        </w:tc>
      </w:tr>
      <w:tr>
        <w:tc>
          <w:tcPr>
            <w:tcW w:w="3156" w:type="dxa"/>
          </w:tcPr>
          <w:p>
            <w:pPr/>
            <w:r>
              <w:t xml:space="preserve">Related articles</w:t>
            </w:r>
          </w:p>
        </w:tc>
        <w:tc>
          <w:tcPr>
            <w:tcW w:w="6203" w:type="dxa"/>
          </w:tcPr>
          <w:p>
            <w:pPr/>
            <w:r>
              <w:t xml:space="preserve">KA-OUT-021 (Choosing between allowlist and blocklist), KA-TOOL-002 (Heimdall Tool Guide), KA-FND-006 (How mail classification works)</w:t>
            </w:r>
          </w:p>
        </w:tc>
      </w:tr>
      <w:tr>
        <w:tc>
          <w:tcPr>
            <w:tcW w:w="3156" w:type="dxa"/>
          </w:tcPr>
          <w:p>
            <w:pPr/>
            <w:r>
              <w:t xml:space="preserve">Videos</w:t>
            </w:r>
          </w:p>
        </w:tc>
        <w:tc>
          <w:tcPr>
            <w:tcW w:w="6203" w:type="dxa"/>
          </w:tcPr>
          <w:p>
            <w:pPr/>
            <w:r>
              <w:t xml:space="preserve">[Grove: Writing a Heimdall rule, 2 min]</w:t>
            </w:r>
          </w:p>
        </w:tc>
      </w:tr>
    </w:tbl>
    <w:p>
      <w:pPr>
        <w:pStyle w:val="Heading2"/>
      </w:pPr>
      <w:r>
        <w:t xml:space="preserve">§1 When to use this</w:t>
      </w:r>
    </w:p>
    <w:p>
      <w:pPr/>
      <w:r>
        <w:t xml:space="preserve">Use this workflow when a campaign has been confirmed as needing a rule: either legitimate mail is being misclassified and needs allowing, or abusive mail is getting through and needs blocking. The decision itself is made using KA-OUT-021 before you start here.</w:t>
      </w:r>
    </w:p>
    <w:p>
      <w:pPr/>
      <w:r>
        <w:t xml:space="preserve">Do not use it for a single sender or a single account; see KA-OUT-010 (Account actions) instead.</w:t>
      </w:r>
    </w:p>
    <w:p>
      <w:pPr>
        <w:pStyle w:val="Heading2"/>
      </w:pPr>
      <w:r>
        <w:t xml:space="preserve">§2 Before you start</w:t>
      </w:r>
    </w:p>
    <w:p>
      <w:pPr>
        <w:pStyle w:val="ListParagraph"/>
        <w:numPr>
          <w:ilvl w:val="0"/>
          <w:numId w:val="2"/>
        </w:numPr>
      </w:pPr>
      <w:r>
        <w:t xml:space="preserve">☐ Heimdall access with the Rule Editor role</w:t>
      </w:r>
    </w:p>
    <w:p>
      <w:pPr>
        <w:pStyle w:val="ListParagraph"/>
        <w:numPr>
          <w:ilvl w:val="0"/>
          <w:numId w:val="2"/>
        </w:numPr>
      </w:pPr>
      <w:r>
        <w:t xml:space="preserve">☐ The case ID and the decision (allow or block) recorded in the case, per KA-OUT-021</w:t>
      </w:r>
    </w:p>
    <w:p>
      <w:pPr>
        <w:pStyle w:val="ListParagraph"/>
        <w:numPr>
          <w:ilvl w:val="0"/>
          <w:numId w:val="2"/>
        </w:numPr>
      </w:pPr>
      <w:r>
        <w:t xml:space="preserve">☐ At least three sample messages from the campaign, with full headers</w:t>
      </w:r>
    </w:p>
    <w:p>
      <w:pPr>
        <w:pStyle w:val="ListParagraph"/>
        <w:numPr>
          <w:ilvl w:val="0"/>
          <w:numId w:val="2"/>
        </w:numPr>
      </w:pPr>
      <w:r>
        <w:t xml:space="preserve">☐ The campaign's common attributes identified: sending domain, subject pattern, or link domain</w:t>
      </w:r>
    </w:p>
    <w:p>
      <w:pPr>
        <w:pStyle w:val="Heading2"/>
      </w:pPr>
      <w:r>
        <w:t xml:space="preserve">§3 Steps</w:t>
      </w:r>
    </w:p>
    <w:p>
      <w:pPr>
        <w:pStyle w:val="ListParagraph"/>
        <w:numPr>
          <w:ilvl w:val="0"/>
          <w:numId w:val="3"/>
        </w:numPr>
      </w:pPr>
      <w:r>
        <w:t xml:space="preserve">Open Heimdall and select </w:t>
      </w:r>
      <w:r>
        <w:rPr>
          <w:b/>
        </w:rPr>
        <w:t xml:space="preserve">Rules</w:t>
      </w:r>
      <w:r>
        <w:t xml:space="preserve"> in the left menu. </w:t>
      </w:r>
      <w:r>
        <w:rPr>
          <w:i/>
        </w:rPr>
        <w:t xml:space="preserve">Expected result: the rule list opens, newest first.</w:t>
      </w:r>
      <w:r>
        <w:t xml:space="preserve"> [Annotated screenshot: Rules menu, callout 1. Alt text: Heimdall left menu with Rules highlighted]</w:t>
      </w:r>
    </w:p>
    <w:p>
      <w:pPr>
        <w:pStyle w:val="ListParagraph"/>
        <w:numPr>
          <w:ilvl w:val="0"/>
          <w:numId w:val="3"/>
        </w:numPr>
      </w:pPr>
      <w:r>
        <w:t xml:space="preserve">Search the rule list for the campaign's sending domain to check whether a rule already exists.</w:t>
      </w:r>
    </w:p>
    <w:p>
      <w:pPr>
        <w:pStyle w:val="ListParagraph"/>
        <w:numPr>
          <w:ilvl w:val="0"/>
          <w:numId w:val="3"/>
        </w:numPr>
      </w:pPr>
      <w:r>
        <w:t xml:space="preserve">If a matching rule exists, open it and go to KA-OUT-022 (Edit an existing rule). Otherwise, continue.</w:t>
      </w:r>
    </w:p>
    <w:p>
      <w:pPr>
        <w:pStyle w:val="ListParagraph"/>
        <w:numPr>
          <w:ilvl w:val="0"/>
          <w:numId w:val="3"/>
        </w:numPr>
      </w:pPr>
      <w:r>
        <w:t xml:space="preserve">Select </w:t>
      </w:r>
      <w:r>
        <w:rPr>
          <w:b/>
        </w:rPr>
        <w:t xml:space="preserve">New Rule</w:t>
      </w:r>
      <w:r>
        <w:t xml:space="preserve">. [Annotated screenshot: New Rule button, callout 4]</w:t>
      </w:r>
    </w:p>
    <w:p>
      <w:pPr>
        <w:pStyle w:val="ListParagraph"/>
        <w:numPr>
          <w:ilvl w:val="0"/>
          <w:numId w:val="3"/>
        </w:numPr>
      </w:pPr>
      <w:r>
        <w:t xml:space="preserve">Set </w:t>
      </w:r>
      <w:r>
        <w:rPr>
          <w:b/>
        </w:rPr>
        <w:t xml:space="preserve">Type</w:t>
      </w:r>
      <w:r>
        <w:t xml:space="preserve"> to </w:t>
      </w:r>
      <w:r>
        <w:rPr>
          <w:b/>
        </w:rPr>
        <w:t xml:space="preserve">Allowlist</w:t>
      </w:r>
      <w:r>
        <w:t xml:space="preserve"> or </w:t>
      </w:r>
      <w:r>
        <w:rPr>
          <w:b/>
        </w:rPr>
        <w:t xml:space="preserve">Blocklist</w:t>
      </w:r>
      <w:r>
        <w:t xml:space="preserve">, matching the decision recorded in the case.</w:t>
      </w:r>
    </w:p>
    <w:p>
      <w:pPr>
        <w:pStyle w:val="ListParagraph"/>
        <w:numPr>
          <w:ilvl w:val="0"/>
          <w:numId w:val="3"/>
        </w:numPr>
      </w:pPr>
      <w:r>
        <w:t xml:space="preserve">Enter the </w:t>
      </w:r>
      <w:r>
        <w:rPr>
          <w:b/>
        </w:rPr>
        <w:t xml:space="preserve">Rule name</w:t>
      </w:r>
      <w:r>
        <w:t xml:space="preserve"> using the naming convention in KA-TOOL-002 §6: queue code, action, domain, date. [Annotated screenshot: Rule name field with an example name, callout 6]</w:t>
      </w:r>
    </w:p>
    <w:p>
      <w:pPr>
        <w:pStyle w:val="ListParagraph"/>
        <w:numPr>
          <w:ilvl w:val="0"/>
          <w:numId w:val="3"/>
        </w:numPr>
      </w:pPr>
      <w:r>
        <w:t xml:space="preserve">Add the match conditions you identified in §2: one condition per attribute.</w:t>
      </w:r>
    </w:p>
    <w:p>
      <w:pPr>
        <w:pStyle w:val="ListParagraph"/>
        <w:numPr>
          <w:ilvl w:val="0"/>
          <w:numId w:val="3"/>
        </w:numPr>
      </w:pPr>
      <w:r>
        <w:t xml:space="preserve">Select </w:t>
      </w:r>
      <w:r>
        <w:rPr>
          <w:b/>
        </w:rPr>
        <w:t xml:space="preserve">Test against samples</w:t>
      </w:r>
      <w:r>
        <w:t xml:space="preserve"> and paste the sample message IDs. </w:t>
      </w:r>
      <w:r>
        <w:rPr>
          <w:i/>
        </w:rPr>
        <w:t xml:space="preserve">Expected result: every sample shows Match.</w:t>
      </w:r>
    </w:p>
    <w:p>
      <w:pPr>
        <w:pStyle w:val="ListParagraph"/>
        <w:numPr>
          <w:ilvl w:val="0"/>
          <w:numId w:val="3"/>
        </w:numPr>
      </w:pPr>
      <w:r>
        <w:t xml:space="preserve">If any sample shows No match, adjust the conditions in step 7 and test again. Never save a rule that fails its test.</w:t>
      </w:r>
    </w:p>
    <w:p>
      <w:pPr>
        <w:pStyle w:val="ListParagraph"/>
        <w:numPr>
          <w:ilvl w:val="0"/>
          <w:numId w:val="3"/>
        </w:numPr>
      </w:pPr>
      <w:r>
        <w:t xml:space="preserve">Select </w:t>
      </w:r>
      <w:r>
        <w:rPr>
          <w:b/>
        </w:rPr>
        <w:t xml:space="preserve">Save</w:t>
      </w:r>
      <w:r>
        <w:t xml:space="preserve">. </w:t>
      </w:r>
      <w:r>
        <w:rPr>
          <w:i/>
        </w:rPr>
        <w:t xml:space="preserve">Expected result: the rule shows Active in the rule list within a few minutes.</w:t>
      </w:r>
    </w:p>
    <w:p>
      <w:pPr/>
      <w:r>
        <w:rPr>
          <w:i/>
        </w:rPr>
        <w:t xml:space="preserve">Video: [Grove: Writing a Heimdall rule, 2 min]</w:t>
      </w:r>
    </w:p>
    <w:p>
      <w:pPr>
        <w:pStyle w:val="Heading2"/>
      </w:pPr>
      <w:r>
        <w:t xml:space="preserve">§4 Decisions in this workflow</w:t>
      </w:r>
    </w:p>
    <w:tbl>
      <w:tblPr>
        <w:tblStyle w:val="TableGrid"/>
        <w:tblW w:w="0" w:type="auto"/>
        <w:tblLayout w:type="fixed"/>
        <w:tblLook w:val="04A0" w:firstRow="1" w:lastRow="0" w:firstColumn="0" w:lastColumn="0" w:noHBand="0" w:noVBand="1"/>
      </w:tblPr>
      <w:tblGrid>
        <w:gridCol w:w="5386"/>
        <w:gridCol w:w="1800"/>
        <w:gridCol w:w="2172"/>
      </w:tblGrid>
      <w:tr>
        <w:trPr>
          <w:tblHeader/>
        </w:trPr>
        <w:tc>
          <w:tcPr>
            <w:tcW w:w="5386" w:type="dxa"/>
            <w:shd w:val="clear" w:color="auto" w:fill="F2F2F2"/>
          </w:tcPr>
          <w:p>
            <w:pPr/>
            <w:r>
              <w:t xml:space="preserve">Decision point</w:t>
            </w:r>
          </w:p>
        </w:tc>
        <w:tc>
          <w:tcPr>
            <w:tcW w:w="1800" w:type="dxa"/>
            <w:shd w:val="clear" w:color="auto" w:fill="F2F2F2"/>
          </w:tcPr>
          <w:p>
            <w:pPr/>
            <w:r>
              <w:t xml:space="preserve">Step</w:t>
            </w:r>
          </w:p>
        </w:tc>
        <w:tc>
          <w:tcPr>
            <w:tcW w:w="2172" w:type="dxa"/>
            <w:shd w:val="clear" w:color="auto" w:fill="F2F2F2"/>
          </w:tcPr>
          <w:p>
            <w:pPr/>
            <w:r>
              <w:t xml:space="preserve">Rule lives in</w:t>
            </w:r>
          </w:p>
        </w:tc>
      </w:tr>
      <w:tr>
        <w:tc>
          <w:tcPr>
            <w:tcW w:w="5386" w:type="dxa"/>
          </w:tcPr>
          <w:p>
            <w:pPr/>
            <w:r>
              <w:t xml:space="preserve">Allow or block</w:t>
            </w:r>
          </w:p>
        </w:tc>
        <w:tc>
          <w:tcPr>
            <w:tcW w:w="1800" w:type="dxa"/>
          </w:tcPr>
          <w:p>
            <w:pPr/>
            <w:r>
              <w:t xml:space="preserve">Before step 1</w:t>
            </w:r>
          </w:p>
        </w:tc>
        <w:tc>
          <w:tcPr>
            <w:tcW w:w="2172" w:type="dxa"/>
          </w:tcPr>
          <w:p>
            <w:pPr/>
            <w:r>
              <w:t xml:space="preserve">KA-OUT-021 §3</w:t>
            </w:r>
          </w:p>
        </w:tc>
      </w:tr>
      <w:tr>
        <w:tc>
          <w:tcPr>
            <w:tcW w:w="5386" w:type="dxa"/>
          </w:tcPr>
          <w:p>
            <w:pPr/>
            <w:r>
              <w:t xml:space="preserve">How narrow the match conditions should be</w:t>
            </w:r>
          </w:p>
        </w:tc>
        <w:tc>
          <w:tcPr>
            <w:tcW w:w="1800" w:type="dxa"/>
          </w:tcPr>
          <w:p>
            <w:pPr/>
            <w:r>
              <w:t xml:space="preserve">7</w:t>
            </w:r>
          </w:p>
        </w:tc>
        <w:tc>
          <w:tcPr>
            <w:tcW w:w="2172" w:type="dxa"/>
          </w:tcPr>
          <w:p>
            <w:pPr/>
            <w:r>
              <w:t xml:space="preserve">KA-OUT-021 §4</w:t>
            </w:r>
          </w:p>
        </w:tc>
      </w:tr>
    </w:tbl>
    <w:p>
      <w:pPr>
        <w:pStyle w:val="Heading2"/>
      </w:pPr>
      <w:r>
        <w:t xml:space="preserve">§5 Escalation</w:t>
      </w:r>
    </w:p>
    <w:tbl>
      <w:tblPr>
        <w:tblStyle w:val="TableGrid"/>
        <w:tblW w:w="0" w:type="auto"/>
        <w:tblLayout w:type="fixed"/>
        <w:tblLook w:val="04A0" w:firstRow="1" w:lastRow="0" w:firstColumn="0" w:lastColumn="0" w:noHBand="0" w:noVBand="1"/>
      </w:tblPr>
      <w:tblGrid>
        <w:gridCol w:w="3434"/>
        <w:gridCol w:w="2103"/>
        <w:gridCol w:w="1707"/>
        <w:gridCol w:w="2115"/>
      </w:tblGrid>
      <w:tr>
        <w:trPr>
          <w:tblHeader/>
        </w:trPr>
        <w:tc>
          <w:tcPr>
            <w:tcW w:w="3434" w:type="dxa"/>
            <w:shd w:val="clear" w:color="auto" w:fill="F2F2F2"/>
          </w:tcPr>
          <w:p>
            <w:pPr/>
            <w:r>
              <w:t xml:space="preserve">Escalate when</w:t>
            </w:r>
          </w:p>
        </w:tc>
        <w:tc>
          <w:tcPr>
            <w:tcW w:w="2103" w:type="dxa"/>
            <w:shd w:val="clear" w:color="auto" w:fill="F2F2F2"/>
          </w:tcPr>
          <w:p>
            <w:pPr/>
            <w:r>
              <w:t xml:space="preserve">To</w:t>
            </w:r>
          </w:p>
        </w:tc>
        <w:tc>
          <w:tcPr>
            <w:tcW w:w="1707" w:type="dxa"/>
            <w:shd w:val="clear" w:color="auto" w:fill="F2F2F2"/>
          </w:tcPr>
          <w:p>
            <w:pPr/>
            <w:r>
              <w:t xml:space="preserve">Channel</w:t>
            </w:r>
          </w:p>
        </w:tc>
        <w:tc>
          <w:tcPr>
            <w:tcW w:w="2115" w:type="dxa"/>
            <w:shd w:val="clear" w:color="auto" w:fill="F2F2F2"/>
          </w:tcPr>
          <w:p>
            <w:pPr/>
            <w:r>
              <w:t xml:space="preserve">Include</w:t>
            </w:r>
          </w:p>
        </w:tc>
      </w:tr>
      <w:tr>
        <w:tc>
          <w:tcPr>
            <w:tcW w:w="3434" w:type="dxa"/>
          </w:tcPr>
          <w:p>
            <w:pPr/>
            <w:r>
              <w:t xml:space="preserve">The campaign comes from a major mail provider or a known bulk sender</w:t>
            </w:r>
          </w:p>
        </w:tc>
        <w:tc>
          <w:tcPr>
            <w:tcW w:w="2103" w:type="dxa"/>
          </w:tcPr>
          <w:p>
            <w:pPr/>
            <w:r>
              <w:t xml:space="preserve">Postmaster queue</w:t>
            </w:r>
          </w:p>
        </w:tc>
        <w:tc>
          <w:tcPr>
            <w:tcW w:w="1707" w:type="dxa"/>
          </w:tcPr>
          <w:p>
            <w:pPr/>
            <w:r>
              <w:t xml:space="preserve">Case transfer</w:t>
            </w:r>
          </w:p>
        </w:tc>
        <w:tc>
          <w:tcPr>
            <w:tcW w:w="2115" w:type="dxa"/>
          </w:tcPr>
          <w:p>
            <w:pPr/>
            <w:r>
              <w:t xml:space="preserve">Case ID, samples, proposed rule</w:t>
            </w:r>
          </w:p>
        </w:tc>
      </w:tr>
      <w:tr>
        <w:tc>
          <w:tcPr>
            <w:tcW w:w="3434" w:type="dxa"/>
          </w:tcPr>
          <w:p>
            <w:pPr/>
            <w:r>
              <w:t xml:space="preserve">The rule would affect a very high volume of mail</w:t>
            </w:r>
          </w:p>
        </w:tc>
        <w:tc>
          <w:tcPr>
            <w:tcW w:w="2103" w:type="dxa"/>
          </w:tcPr>
          <w:p>
            <w:pPr/>
            <w:r>
              <w:t xml:space="preserve">Ops lead</w:t>
            </w:r>
          </w:p>
        </w:tc>
        <w:tc>
          <w:tcPr>
            <w:tcW w:w="1707" w:type="dxa"/>
          </w:tcPr>
          <w:p>
            <w:pPr/>
            <w:r>
              <w:t xml:space="preserve">Team channel</w:t>
            </w:r>
          </w:p>
        </w:tc>
        <w:tc>
          <w:tcPr>
            <w:tcW w:w="2115" w:type="dxa"/>
          </w:tcPr>
          <w:p>
            <w:pPr/>
            <w:r>
              <w:t xml:space="preserve">Case ID, estimated volume, test results</w:t>
            </w:r>
          </w:p>
        </w:tc>
      </w:tr>
      <w:tr>
        <w:tc>
          <w:tcPr>
            <w:tcW w:w="3434" w:type="dxa"/>
          </w:tcPr>
          <w:p>
            <w:pPr/>
            <w:r>
              <w:t xml:space="preserve">The test still fails after two adjustments</w:t>
            </w:r>
          </w:p>
        </w:tc>
        <w:tc>
          <w:tcPr>
            <w:tcW w:w="2103" w:type="dxa"/>
          </w:tcPr>
          <w:p>
            <w:pPr/>
            <w:r>
              <w:t xml:space="preserve">SME on shift</w:t>
            </w:r>
          </w:p>
        </w:tc>
        <w:tc>
          <w:tcPr>
            <w:tcW w:w="1707" w:type="dxa"/>
          </w:tcPr>
          <w:p>
            <w:pPr/>
            <w:r>
              <w:t xml:space="preserve">Team channel</w:t>
            </w:r>
          </w:p>
        </w:tc>
        <w:tc>
          <w:tcPr>
            <w:tcW w:w="2115" w:type="dxa"/>
          </w:tcPr>
          <w:p>
            <w:pPr/>
            <w:r>
              <w:t xml:space="preserve">Case ID, conditions tried</w:t>
            </w:r>
          </w:p>
        </w:tc>
      </w:tr>
    </w:tbl>
    <w:p>
      <w:pPr>
        <w:pStyle w:val="Heading2"/>
      </w:pPr>
      <w:r>
        <w:t xml:space="preserve">§6 Notes and wording</w:t>
      </w:r>
    </w:p>
    <w:p>
      <w:pPr/>
      <w:r>
        <w:t xml:space="preserve">Add this note to the case after saving the rule:</w:t>
      </w:r>
    </w:p>
    <w:p>
      <w:pPr>
        <w:pStyle w:val="Code"/>
      </w:pPr>
      <w:r>
        <w:t xml:space="preserve">Action: Blocklist rule created</w:t>
        <w:br/>
        <w:t xml:space="preserve">Rule name: [rule name from step 6]</w:t>
        <w:br/>
        <w:t xml:space="preserve">Reason: Abusive campaign per KA-OUT-021 §3</w:t>
        <w:br/>
        <w:t xml:space="preserve">Match conditions: [conditions from step 7]</w:t>
        <w:br/>
        <w:t xml:space="preserve">Test: [n] of [n] samples matched</w:t>
      </w:r>
    </w:p>
    <w:p>
      <w:pPr>
        <w:pStyle w:val="Heading2"/>
      </w:pPr>
      <w:r>
        <w:t xml:space="preserve">§7 Examples</w:t>
      </w:r>
    </w:p>
    <w:p>
      <w:pPr/>
      <w:r>
        <w:rPr>
          <w:b/>
        </w:rPr>
        <w:t xml:space="preserve">Example 1: Prize-claim phishing campaign (blocked)</w:t>
      </w:r>
    </w:p>
    <w:p>
      <w:pPr>
        <w:pStyle w:val="ListParagraph"/>
        <w:numPr>
          <w:ilvl w:val="0"/>
          <w:numId w:val="4"/>
        </w:numPr>
      </w:pPr>
      <w:r>
        <w:t xml:space="preserve">What came in: about 40 user reports in an hour of near-identical "claim your prize" emails from a newly registered domain, all linking to the same credential-harvesting page.</w:t>
      </w:r>
    </w:p>
    <w:p>
      <w:pPr>
        <w:pStyle w:val="ListParagraph"/>
        <w:numPr>
          <w:ilvl w:val="0"/>
          <w:numId w:val="4"/>
        </w:numPr>
      </w:pPr>
      <w:r>
        <w:t xml:space="preserve">What was done: blocklist rule on the sending domain plus the link domain; all five samples matched on test.</w:t>
      </w:r>
    </w:p>
    <w:p>
      <w:pPr>
        <w:pStyle w:val="ListParagraph"/>
        <w:numPr>
          <w:ilvl w:val="0"/>
          <w:numId w:val="4"/>
        </w:numPr>
      </w:pPr>
      <w:r>
        <w:t xml:space="preserve">Why: confirmed phishing with a consistent pattern, which KA-OUT-021 §3 says to block at campaign level.</w:t>
      </w:r>
    </w:p>
    <w:p>
      <w:pPr/>
      <w:r>
        <w:rPr>
          <w:b/>
        </w:rPr>
        <w:t xml:space="preserve">Example 2: Retailer newsletter sent to junk (allowed)</w:t>
      </w:r>
    </w:p>
    <w:p>
      <w:pPr>
        <w:pStyle w:val="ListParagraph"/>
        <w:numPr>
          <w:ilvl w:val="0"/>
          <w:numId w:val="5"/>
        </w:numPr>
      </w:pPr>
      <w:r>
        <w:t xml:space="preserve">What came in: users reporting a known retailer's opt-in newsletter landing in Junk after a sending change.</w:t>
      </w:r>
    </w:p>
    <w:p>
      <w:pPr>
        <w:pStyle w:val="ListParagraph"/>
        <w:numPr>
          <w:ilvl w:val="0"/>
          <w:numId w:val="5"/>
        </w:numPr>
      </w:pPr>
      <w:r>
        <w:t xml:space="preserve">What was done: escalated to Postmaster, because the sender is a known bulk sender (§5).</w:t>
      </w:r>
    </w:p>
    <w:p>
      <w:pPr>
        <w:pStyle w:val="ListParagraph"/>
        <w:numPr>
          <w:ilvl w:val="0"/>
          <w:numId w:val="5"/>
        </w:numPr>
      </w:pPr>
      <w:r>
        <w:t xml:space="preserve">Why: allowlisting a bulk sender affects many users, so it is not decided alone.</w:t>
      </w:r>
    </w:p>
    <w:p>
      <w:pPr>
        <w:pStyle w:val="Heading2"/>
      </w:pPr>
      <w:r>
        <w:t xml:space="preserve">§8 Common mistakes</w:t>
      </w:r>
    </w:p>
    <w:tbl>
      <w:tblPr>
        <w:tblStyle w:val="TableGrid"/>
        <w:tblW w:w="0" w:type="auto"/>
        <w:tblLayout w:type="fixed"/>
        <w:tblLook w:val="04A0" w:firstRow="1" w:lastRow="0" w:firstColumn="0" w:lastColumn="0" w:noHBand="0" w:noVBand="1"/>
      </w:tblPr>
      <w:tblGrid>
        <w:gridCol w:w="2589"/>
        <w:gridCol w:w="3061"/>
        <w:gridCol w:w="3709"/>
      </w:tblGrid>
      <w:tr>
        <w:trPr>
          <w:tblHeader/>
        </w:trPr>
        <w:tc>
          <w:tcPr>
            <w:tcW w:w="2589" w:type="dxa"/>
            <w:shd w:val="clear" w:color="auto" w:fill="F2F2F2"/>
          </w:tcPr>
          <w:p>
            <w:pPr/>
            <w:r>
              <w:t xml:space="preserve">Mistake</w:t>
            </w:r>
          </w:p>
        </w:tc>
        <w:tc>
          <w:tcPr>
            <w:tcW w:w="3061" w:type="dxa"/>
            <w:shd w:val="clear" w:color="auto" w:fill="F2F2F2"/>
          </w:tcPr>
          <w:p>
            <w:pPr/>
            <w:r>
              <w:t xml:space="preserve">Why it happens</w:t>
            </w:r>
          </w:p>
        </w:tc>
        <w:tc>
          <w:tcPr>
            <w:tcW w:w="3709" w:type="dxa"/>
            <w:shd w:val="clear" w:color="auto" w:fill="F2F2F2"/>
          </w:tcPr>
          <w:p>
            <w:pPr/>
            <w:r>
              <w:t xml:space="preserve">How to avoid it</w:t>
            </w:r>
          </w:p>
        </w:tc>
      </w:tr>
      <w:tr>
        <w:tc>
          <w:tcPr>
            <w:tcW w:w="2589" w:type="dxa"/>
          </w:tcPr>
          <w:p>
            <w:pPr/>
            <w:r>
              <w:t xml:space="preserve">Creating a duplicate rule</w:t>
            </w:r>
          </w:p>
        </w:tc>
        <w:tc>
          <w:tcPr>
            <w:tcW w:w="3061" w:type="dxa"/>
          </w:tcPr>
          <w:p>
            <w:pPr/>
            <w:r>
              <w:t xml:space="preserve">Skipping the search in step 2</w:t>
            </w:r>
          </w:p>
        </w:tc>
        <w:tc>
          <w:tcPr>
            <w:tcW w:w="3709" w:type="dxa"/>
          </w:tcPr>
          <w:p>
            <w:pPr/>
            <w:r>
              <w:t xml:space="preserve">Always search by sending domain first</w:t>
            </w:r>
          </w:p>
        </w:tc>
      </w:tr>
      <w:tr>
        <w:tc>
          <w:tcPr>
            <w:tcW w:w="2589" w:type="dxa"/>
          </w:tcPr>
          <w:p>
            <w:pPr/>
            <w:r>
              <w:t xml:space="preserve">Matching on subject line only</w:t>
            </w:r>
          </w:p>
        </w:tc>
        <w:tc>
          <w:tcPr>
            <w:tcW w:w="3061" w:type="dxa"/>
          </w:tcPr>
          <w:p>
            <w:pPr/>
            <w:r>
              <w:t xml:space="preserve">Subjects change between waves</w:t>
            </w:r>
          </w:p>
        </w:tc>
        <w:tc>
          <w:tcPr>
            <w:tcW w:w="3709" w:type="dxa"/>
          </w:tcPr>
          <w:p>
            <w:pPr/>
            <w:r>
              <w:t xml:space="preserve">Combine at least two attributes in step 7</w:t>
            </w:r>
          </w:p>
        </w:tc>
      </w:tr>
      <w:tr>
        <w:tc>
          <w:tcPr>
            <w:tcW w:w="2589" w:type="dxa"/>
          </w:tcPr>
          <w:p>
            <w:pPr/>
            <w:r>
              <w:t xml:space="preserve">Saving without testing</w:t>
            </w:r>
          </w:p>
        </w:tc>
        <w:tc>
          <w:tcPr>
            <w:tcW w:w="3061" w:type="dxa"/>
          </w:tcPr>
          <w:p>
            <w:pPr/>
            <w:r>
              <w:t xml:space="preserve">Time pressure in a spike</w:t>
            </w:r>
          </w:p>
        </w:tc>
        <w:tc>
          <w:tcPr>
            <w:tcW w:w="3709" w:type="dxa"/>
          </w:tcPr>
          <w:p>
            <w:pPr/>
            <w:r>
              <w:t xml:space="preserve">Step 9: never save a failing rule</w:t>
            </w:r>
          </w:p>
        </w:tc>
      </w:tr>
      <w:tr>
        <w:tc>
          <w:tcPr>
            <w:tcW w:w="2589" w:type="dxa"/>
          </w:tcPr>
          <w:p>
            <w:pPr/>
            <w:r>
              <w:t xml:space="preserve">Old naming format</w:t>
            </w:r>
          </w:p>
        </w:tc>
        <w:tc>
          <w:tcPr>
            <w:tcW w:w="3061" w:type="dxa"/>
          </w:tcPr>
          <w:p>
            <w:pPr/>
            <w:r>
              <w:t xml:space="preserve">Habit from before v2.0</w:t>
            </w:r>
          </w:p>
        </w:tc>
        <w:tc>
          <w:tcPr>
            <w:tcW w:w="3709" w:type="dxa"/>
          </w:tcPr>
          <w:p>
            <w:pPr/>
            <w:r>
              <w:t xml:space="preserve">Check KA-TOOL-002 §6</w:t>
            </w:r>
          </w:p>
        </w:tc>
      </w:tr>
    </w:tbl>
    <w:p>
      <w:pPr>
        <w:pStyle w:val="Heading2"/>
      </w:pPr>
      <w:r>
        <w:t xml:space="preserve">§9 Related</w:t>
      </w:r>
    </w:p>
    <w:p>
      <w:pPr>
        <w:pStyle w:val="ListParagraph"/>
        <w:numPr>
          <w:ilvl w:val="0"/>
          <w:numId w:val="6"/>
        </w:numPr>
      </w:pPr>
      <w:r>
        <w:t xml:space="preserve">KA-FND-006, How mail classification works</w:t>
      </w:r>
    </w:p>
    <w:p>
      <w:pPr>
        <w:pStyle w:val="ListParagraph"/>
        <w:numPr>
          <w:ilvl w:val="0"/>
          <w:numId w:val="6"/>
        </w:numPr>
      </w:pPr>
      <w:r>
        <w:t xml:space="preserve">KA-TOOL-002, Heimdall Tool Guide</w:t>
      </w:r>
    </w:p>
    <w:p>
      <w:pPr>
        <w:pStyle w:val="ListParagraph"/>
        <w:numPr>
          <w:ilvl w:val="0"/>
          <w:numId w:val="6"/>
        </w:numPr>
      </w:pPr>
      <w:r>
        <w:t xml:space="preserve">KA-OUT-021, Choosing between allowlist and blocklist</w:t>
      </w:r>
    </w:p>
    <w:p>
      <w:pPr>
        <w:pStyle w:val="ListParagraph"/>
        <w:numPr>
          <w:ilvl w:val="0"/>
          <w:numId w:val="6"/>
        </w:numPr>
      </w:pPr>
      <w:r>
        <w:t xml:space="preserve">KA-OUT-022, Edit an existing rule</w:t>
      </w:r>
    </w:p>
    <w:p>
      <w:pPr>
        <w:pStyle w:val="Heading2"/>
      </w:pPr>
      <w:r>
        <w:t xml:space="preserve">Change history</w:t>
      </w:r>
    </w:p>
    <w:tbl>
      <w:tblPr>
        <w:tblStyle w:val="TableGrid"/>
        <w:tblW w:w="0" w:type="auto"/>
        <w:tblLayout w:type="fixed"/>
        <w:tblLook w:val="04A0" w:firstRow="1" w:lastRow="0" w:firstColumn="0" w:lastColumn="0" w:noHBand="0" w:noVBand="1"/>
      </w:tblPr>
      <w:tblGrid>
        <w:gridCol w:w="1463"/>
        <w:gridCol w:w="1027"/>
        <w:gridCol w:w="2395"/>
        <w:gridCol w:w="1288"/>
        <w:gridCol w:w="1847"/>
        <w:gridCol w:w="1340"/>
      </w:tblGrid>
      <w:tr>
        <w:trPr>
          <w:tblHeader/>
        </w:trPr>
        <w:tc>
          <w:tcPr>
            <w:tcW w:w="1463" w:type="dxa"/>
            <w:shd w:val="clear" w:color="auto" w:fill="F2F2F2"/>
          </w:tcPr>
          <w:p>
            <w:pPr/>
            <w:r>
              <w:t xml:space="preserve">Date</w:t>
            </w:r>
          </w:p>
        </w:tc>
        <w:tc>
          <w:tcPr>
            <w:tcW w:w="1027" w:type="dxa"/>
            <w:shd w:val="clear" w:color="auto" w:fill="F2F2F2"/>
          </w:tcPr>
          <w:p>
            <w:pPr/>
            <w:r>
              <w:t xml:space="preserve">Version</w:t>
            </w:r>
          </w:p>
        </w:tc>
        <w:tc>
          <w:tcPr>
            <w:tcW w:w="2395" w:type="dxa"/>
            <w:shd w:val="clear" w:color="auto" w:fill="F2F2F2"/>
          </w:tcPr>
          <w:p>
            <w:pPr/>
            <w:r>
              <w:t xml:space="preserve">What changed</w:t>
            </w:r>
          </w:p>
        </w:tc>
        <w:tc>
          <w:tcPr>
            <w:tcW w:w="1288" w:type="dxa"/>
            <w:shd w:val="clear" w:color="auto" w:fill="F2F2F2"/>
          </w:tcPr>
          <w:p>
            <w:pPr/>
            <w:r>
              <w:t xml:space="preserve">Section</w:t>
            </w:r>
          </w:p>
        </w:tc>
        <w:tc>
          <w:tcPr>
            <w:tcW w:w="1847" w:type="dxa"/>
            <w:shd w:val="clear" w:color="auto" w:fill="F2F2F2"/>
          </w:tcPr>
          <w:p>
            <w:pPr/>
            <w:r>
              <w:t xml:space="preserve">Linked questions reviewed</w:t>
            </w:r>
          </w:p>
        </w:tc>
        <w:tc>
          <w:tcPr>
            <w:tcW w:w="1340" w:type="dxa"/>
            <w:shd w:val="clear" w:color="auto" w:fill="F2F2F2"/>
          </w:tcPr>
          <w:p>
            <w:pPr/>
            <w:r>
              <w:t xml:space="preserve">Approved by</w:t>
            </w:r>
          </w:p>
        </w:tc>
      </w:tr>
      <w:tr>
        <w:tc>
          <w:tcPr>
            <w:tcW w:w="1463" w:type="dxa"/>
          </w:tcPr>
          <w:p>
            <w:pPr/>
            <w:r>
              <w:t xml:space="preserve">20 Oct 2026</w:t>
            </w:r>
          </w:p>
        </w:tc>
        <w:tc>
          <w:tcPr>
            <w:tcW w:w="1027" w:type="dxa"/>
          </w:tcPr>
          <w:p>
            <w:pPr/>
            <w:r>
              <w:t xml:space="preserve">2.0</w:t>
            </w:r>
          </w:p>
        </w:tc>
        <w:tc>
          <w:tcPr>
            <w:tcW w:w="2395" w:type="dxa"/>
          </w:tcPr>
          <w:p>
            <w:pPr/>
            <w:r>
              <w:t xml:space="preserve">Rule names now include the queue code</w:t>
            </w:r>
          </w:p>
        </w:tc>
        <w:tc>
          <w:tcPr>
            <w:tcW w:w="1288" w:type="dxa"/>
          </w:tcPr>
          <w:p>
            <w:pPr/>
            <w:r>
              <w:t xml:space="preserve">§3 step 6</w:t>
            </w:r>
          </w:p>
        </w:tc>
        <w:tc>
          <w:tcPr>
            <w:tcW w:w="1847" w:type="dxa"/>
          </w:tcPr>
          <w:p>
            <w:pPr/>
            <w:r>
              <w:t xml:space="preserve">Yes, Q-OUT020-02 updated</w:t>
            </w:r>
          </w:p>
        </w:tc>
        <w:tc>
          <w:tcPr>
            <w:tcW w:w="1340" w:type="dxa"/>
          </w:tcPr>
          <w:p>
            <w:pPr/>
            <w:r>
              <w:t xml:space="preserve">[Ops lead name]</w:t>
            </w:r>
          </w:p>
        </w:tc>
      </w:tr>
      <w:tr>
        <w:tc>
          <w:tcPr>
            <w:tcW w:w="1463" w:type="dxa"/>
          </w:tcPr>
          <w:p>
            <w:pPr/>
            <w:r>
              <w:t xml:space="preserve">2 Sep 2026</w:t>
            </w:r>
          </w:p>
        </w:tc>
        <w:tc>
          <w:tcPr>
            <w:tcW w:w="1027" w:type="dxa"/>
          </w:tcPr>
          <w:p>
            <w:pPr/>
            <w:r>
              <w:t xml:space="preserve">1.1</w:t>
            </w:r>
          </w:p>
        </w:tc>
        <w:tc>
          <w:tcPr>
            <w:tcW w:w="2395" w:type="dxa"/>
          </w:tcPr>
          <w:p>
            <w:pPr/>
            <w:r>
              <w:t xml:space="preserve">Replaced step 4 screenshot after UI refresh</w:t>
            </w:r>
          </w:p>
        </w:tc>
        <w:tc>
          <w:tcPr>
            <w:tcW w:w="1288" w:type="dxa"/>
          </w:tcPr>
          <w:p>
            <w:pPr/>
            <w:r>
              <w:t xml:space="preserve">§3</w:t>
            </w:r>
          </w:p>
        </w:tc>
        <w:tc>
          <w:tcPr>
            <w:tcW w:w="1847" w:type="dxa"/>
          </w:tcPr>
          <w:p>
            <w:pPr/>
            <w:r>
              <w:t xml:space="preserve">Not needed (minor)</w:t>
            </w:r>
          </w:p>
        </w:tc>
        <w:tc>
          <w:tcPr>
            <w:tcW w:w="1340" w:type="dxa"/>
          </w:tcPr>
          <w:p>
            <w:pPr/>
            <w:r>
              <w:t xml:space="preserve">[SME name]</w:t>
            </w:r>
          </w:p>
        </w:tc>
      </w:tr>
      <w:tr>
        <w:tc>
          <w:tcPr>
            <w:tcW w:w="1463" w:type="dxa"/>
          </w:tcPr>
          <w:p>
            <w:pPr/>
            <w:r>
              <w:t xml:space="preserve">15 Jul 2026</w:t>
            </w:r>
          </w:p>
        </w:tc>
        <w:tc>
          <w:tcPr>
            <w:tcW w:w="1027" w:type="dxa"/>
          </w:tcPr>
          <w:p>
            <w:pPr/>
            <w:r>
              <w:t xml:space="preserve">1.0</w:t>
            </w:r>
          </w:p>
        </w:tc>
        <w:tc>
          <w:tcPr>
            <w:tcW w:w="2395" w:type="dxa"/>
          </w:tcPr>
          <w:p>
            <w:pPr/>
            <w:r>
              <w:t xml:space="preserve">First published</w:t>
            </w:r>
          </w:p>
        </w:tc>
        <w:tc>
          <w:tcPr>
            <w:tcW w:w="1288" w:type="dxa"/>
          </w:tcPr>
          <w:p>
            <w:pPr/>
            <w:r>
              <w:t xml:space="preserve">All</w:t>
            </w:r>
          </w:p>
        </w:tc>
        <w:tc>
          <w:tcPr>
            <w:tcW w:w="1847" w:type="dxa"/>
          </w:tcPr>
          <w:p>
            <w:pPr/>
            <w:r>
              <w:t xml:space="preserve">Not needed</w:t>
            </w:r>
          </w:p>
        </w:tc>
        <w:tc>
          <w:tcPr>
            <w:tcW w:w="1340" w:type="dxa"/>
          </w:tcPr>
          <w:p>
            <w:pPr/>
            <w:r>
              <w:t xml:space="preserve">[Ops lead name]</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KB Example KA-OUT-020 Allowlist or Blocklist a Campaign</dc:title>
  <dc:description>Claude Docs node/e58733c3-8fef@4 docx-w7</dc:description>
  <cp:revision>4</cp:revision>
</cp:coreProperties>
</file>