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LMS Example: M-W1-07 Heimdall Module Storyboard</w:t>
      </w:r>
    </w:p>
    <w:p>
      <w:pPr/>
      <w:r>
        <w:t xml:space="preserve">Oct 26, 2026</w:t>
      </w:r>
      <w:r>
        <w:t xml:space="preserve"> · </w:t>
      </w:r>
      <w:r>
        <w:t xml:space="preserve">@Anoop Krishnan</w:t>
      </w:r>
    </w:p>
    <w:p>
      <w:pPr>
        <w:pStyle w:val="Quote"/>
      </w:pPr>
      <w:r>
        <w:rPr>
          <w:b/>
        </w:rPr>
        <w:t xml:space="preserve">Reference example only.</w:t>
      </w:r>
      <w:r>
        <w:t xml:space="preserve"> This shows a finished storyboard built from the template. The Quip articles it links to and the rules behind its answers are illustrative; the SME confirms them before the real module is built.</w:t>
      </w:r>
    </w:p>
    <w:p>
      <w:pPr/>
      <w:r>
        <w:t xml:space="preserve">Notice what is missing: no Heimdall screenshots, no steps, no naming convention, no allow-or-block rules. All of that sits in Quip. If the naming convention changes, this module does not change.</w:t>
      </w:r>
    </w:p>
    <w:p>
      <w:pPr>
        <w:pStyle w:val="Heading2"/>
      </w:pPr>
      <w:r>
        <w:t xml:space="preserve">Module info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60"/>
        <w:gridCol w:w="5899"/>
      </w:tblGrid>
      <w:tr>
        <w:trPr>
          <w:tblHeader/>
        </w:trPr>
        <w:tc>
          <w:tcPr>
            <w:tcW w:w="346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5899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3460" w:type="dxa"/>
          </w:tcPr>
          <w:p>
            <w:pPr/>
            <w:r>
              <w:t xml:space="preserve">Module ID</w:t>
            </w:r>
          </w:p>
        </w:tc>
        <w:tc>
          <w:tcPr>
            <w:tcW w:w="5899" w:type="dxa"/>
          </w:tcPr>
          <w:p>
            <w:pPr/>
            <w:r>
              <w:t xml:space="preserve">M-W1-07</w:t>
            </w:r>
          </w:p>
        </w:tc>
      </w:tr>
      <w:tr>
        <w:tc>
          <w:tcPr>
            <w:tcW w:w="3460" w:type="dxa"/>
          </w:tcPr>
          <w:p>
            <w:pPr/>
            <w:r>
              <w:t xml:space="preserve">Module title</w:t>
            </w:r>
          </w:p>
        </w:tc>
        <w:tc>
          <w:tcPr>
            <w:tcW w:w="5899" w:type="dxa"/>
          </w:tcPr>
          <w:p>
            <w:pPr/>
            <w:r>
              <w:t xml:space="preserve">Heimdall: deciding and writing campaign rules</w:t>
            </w:r>
          </w:p>
        </w:tc>
      </w:tr>
      <w:tr>
        <w:tc>
          <w:tcPr>
            <w:tcW w:w="3460" w:type="dxa"/>
          </w:tcPr>
          <w:p>
            <w:pPr/>
            <w:r>
              <w:t xml:space="preserve">Curriculum row</w:t>
            </w:r>
          </w:p>
        </w:tc>
        <w:tc>
          <w:tcPr>
            <w:tcW w:w="5899" w:type="dxa"/>
          </w:tcPr>
          <w:p>
            <w:pPr/>
            <w:r>
              <w:t xml:space="preserve">Day 2, Tool Overview: Heimdall, SPL, 60 min</w:t>
            </w:r>
          </w:p>
        </w:tc>
      </w:tr>
      <w:tr>
        <w:tc>
          <w:tcPr>
            <w:tcW w:w="3460" w:type="dxa"/>
          </w:tcPr>
          <w:p>
            <w:pPr/>
            <w:r>
              <w:t xml:space="preserve">Learning path</w:t>
            </w:r>
          </w:p>
        </w:tc>
        <w:tc>
          <w:tcPr>
            <w:tcW w:w="5899" w:type="dxa"/>
          </w:tcPr>
          <w:p>
            <w:pPr/>
            <w:r>
              <w:t xml:space="preserve">Week 1: Foundations: product, mail flow, tools and the milter chain</w:t>
            </w:r>
          </w:p>
        </w:tc>
      </w:tr>
      <w:tr>
        <w:tc>
          <w:tcPr>
            <w:tcW w:w="3460" w:type="dxa"/>
          </w:tcPr>
          <w:p>
            <w:pPr/>
            <w:r>
              <w:t xml:space="preserve">Learner time</w:t>
            </w:r>
          </w:p>
        </w:tc>
        <w:tc>
          <w:tcPr>
            <w:tcW w:w="5899" w:type="dxa"/>
          </w:tcPr>
          <w:p>
            <w:pPr/>
            <w:r>
              <w:t xml:space="preserve">20 min in the module + 25 min Quip reading</w:t>
            </w:r>
          </w:p>
        </w:tc>
      </w:tr>
      <w:tr>
        <w:tc>
          <w:tcPr>
            <w:tcW w:w="3460" w:type="dxa"/>
          </w:tcPr>
          <w:p>
            <w:pPr/>
            <w:r>
              <w:t xml:space="preserve">Linked Quip articles</w:t>
            </w:r>
          </w:p>
        </w:tc>
        <w:tc>
          <w:tcPr>
            <w:tcW w:w="5899" w:type="dxa"/>
          </w:tcPr>
          <w:p>
            <w:pPr/>
            <w:r>
              <w:t xml:space="preserve">KA-FND-006 How mail classification works; KA-TOOL-002 Heimdall Tool Guide; KA-OUT-020 Allowlist or blocklist a campaign; KA-OUT-021 Choosing between allowlist and blocklist</w:t>
            </w:r>
          </w:p>
        </w:tc>
      </w:tr>
      <w:tr>
        <w:tc>
          <w:tcPr>
            <w:tcW w:w="3460" w:type="dxa"/>
          </w:tcPr>
          <w:p>
            <w:pPr/>
            <w:r>
              <w:t xml:space="preserve">Linked Trainer Guide</w:t>
            </w:r>
          </w:p>
        </w:tc>
        <w:tc>
          <w:tcPr>
            <w:tcW w:w="5899" w:type="dxa"/>
          </w:tcPr>
          <w:p>
            <w:pPr/>
            <w:r>
              <w:t xml:space="preserve">TG-M-W1-07 (for the Day 2 ILT walkthrough)</w:t>
            </w:r>
          </w:p>
        </w:tc>
      </w:tr>
      <w:tr>
        <w:tc>
          <w:tcPr>
            <w:tcW w:w="3460" w:type="dxa"/>
          </w:tcPr>
          <w:p>
            <w:pPr/>
            <w:r>
              <w:t xml:space="preserve">Linked Hands-on Activity</w:t>
            </w:r>
          </w:p>
        </w:tc>
        <w:tc>
          <w:tcPr>
            <w:tcW w:w="5899" w:type="dxa"/>
          </w:tcPr>
          <w:p>
            <w:pPr/>
            <w:r>
              <w:t xml:space="preserve">HA-TOOL-002 Write and read back a rule</w:t>
            </w:r>
          </w:p>
        </w:tc>
      </w:tr>
      <w:tr>
        <w:tc>
          <w:tcPr>
            <w:tcW w:w="3460" w:type="dxa"/>
          </w:tcPr>
          <w:p>
            <w:pPr/>
            <w:r>
              <w:t xml:space="preserve">Pass mark</w:t>
            </w:r>
          </w:p>
        </w:tc>
        <w:tc>
          <w:tcPr>
            <w:tcW w:w="5899" w:type="dxa"/>
          </w:tcPr>
          <w:p>
            <w:pPr/>
            <w:r>
              <w:t xml:space="preserve">[Agreed with the client]</w:t>
            </w:r>
          </w:p>
        </w:tc>
      </w:tr>
      <w:tr>
        <w:tc>
          <w:tcPr>
            <w:tcW w:w="3460" w:type="dxa"/>
          </w:tcPr>
          <w:p>
            <w:pPr/>
            <w:r>
              <w:t xml:space="preserve">Storyboard author</w:t>
            </w:r>
          </w:p>
        </w:tc>
        <w:tc>
          <w:tcPr>
            <w:tcW w:w="5899" w:type="dxa"/>
          </w:tcPr>
          <w:p>
            <w:pPr/>
            <w:r>
              <w:t xml:space="preserve">[Name]</w:t>
            </w:r>
          </w:p>
        </w:tc>
      </w:tr>
      <w:tr>
        <w:tc>
          <w:tcPr>
            <w:tcW w:w="3460" w:type="dxa"/>
          </w:tcPr>
          <w:p>
            <w:pPr/>
            <w:r>
              <w:t xml:space="preserve">Approved by</w:t>
            </w:r>
          </w:p>
        </w:tc>
        <w:tc>
          <w:tcPr>
            <w:tcW w:w="5899" w:type="dxa"/>
          </w:tcPr>
          <w:p>
            <w:pPr/>
            <w:r>
              <w:t xml:space="preserve">[SME name, date]</w:t>
            </w:r>
          </w:p>
        </w:tc>
      </w:tr>
    </w:tbl>
    <w:p>
      <w:pPr>
        <w:pStyle w:val="Heading2"/>
      </w:pPr>
      <w:r>
        <w:t xml:space="preserve">Storyboard</w:t>
      </w:r>
    </w:p>
    <w:p>
      <w:pPr>
        <w:pStyle w:val="Heading3"/>
      </w:pPr>
      <w:r>
        <w:t xml:space="preserve">Block 1: Title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83"/>
        <w:gridCol w:w="6676"/>
      </w:tblGrid>
      <w:tr>
        <w:trPr>
          <w:tblHeader/>
        </w:trPr>
        <w:tc>
          <w:tcPr>
            <w:tcW w:w="2683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676" w:type="dxa"/>
            <w:shd w:val="clear" w:color="auto" w:fill="F2F2F2"/>
          </w:tcPr>
          <w:p>
            <w:pPr/>
            <w:r>
              <w:t xml:space="preserve">Content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Builder element</w:t>
            </w:r>
          </w:p>
        </w:tc>
        <w:tc>
          <w:tcPr>
            <w:tcW w:w="6676" w:type="dxa"/>
          </w:tcPr>
          <w:p>
            <w:pPr/>
            <w:r>
              <w:t xml:space="preserve">Title banner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On-screen text</w:t>
            </w:r>
          </w:p>
        </w:tc>
        <w:tc>
          <w:tcPr>
            <w:tcW w:w="6676" w:type="dxa"/>
          </w:tcPr>
          <w:p>
            <w:pPr/>
            <w:r>
              <w:t xml:space="preserve">Heimdall: deciding and writing campaign rules. About 45 minutes including reading.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Media</w:t>
            </w:r>
          </w:p>
        </w:tc>
        <w:tc>
          <w:tcPr>
            <w:tcW w:w="6676" w:type="dxa"/>
          </w:tcPr>
          <w:p>
            <w:pPr/>
            <w:r>
              <w:t xml:space="preserve">Illustration: a stream of envelopes passing through a gate, some diverted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Description field</w:t>
            </w:r>
          </w:p>
        </w:tc>
        <w:tc>
          <w:tcPr>
            <w:tcW w:w="6676" w:type="dxa"/>
          </w:tcPr>
          <w:p>
            <w:pPr/>
            <w:r>
              <w:t xml:space="preserve">M-W1-07. Links: KA-FND-006, KA-TOOL-002, KA-OUT-020, KA-OUT-021</w:t>
            </w:r>
          </w:p>
        </w:tc>
      </w:tr>
    </w:tbl>
    <w:p>
      <w:pPr>
        <w:pStyle w:val="Heading3"/>
      </w:pPr>
      <w:r>
        <w:t xml:space="preserve">Block 2: The case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12"/>
        <w:gridCol w:w="6747"/>
      </w:tblGrid>
      <w:tr>
        <w:trPr>
          <w:tblHeader/>
        </w:trPr>
        <w:tc>
          <w:tcPr>
            <w:tcW w:w="2612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747" w:type="dxa"/>
            <w:shd w:val="clear" w:color="auto" w:fill="F2F2F2"/>
          </w:tcPr>
          <w:p>
            <w:pPr/>
            <w:r>
              <w:t xml:space="preserve">Content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Builder element</w:t>
            </w:r>
          </w:p>
        </w:tc>
        <w:tc>
          <w:tcPr>
            <w:tcW w:w="6747" w:type="dxa"/>
          </w:tcPr>
          <w:p>
            <w:pPr/>
            <w:r>
              <w:t xml:space="preserve">Scenario block: image + text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On-screen text</w:t>
            </w:r>
          </w:p>
        </w:tc>
        <w:tc>
          <w:tcPr>
            <w:tcW w:w="6747" w:type="dxa"/>
          </w:tcPr>
          <w:p>
            <w:pPr/>
            <w:r>
              <w:t xml:space="preserve">It's mid-morning and the reports queue is filling fast. Dozens of users have flagged near-identical emails saying they have won a prize. Each one comes from the same new domain and links to a login page that isn't Apple's. More arrive every few minutes. What would you do?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Media</w:t>
            </w:r>
          </w:p>
        </w:tc>
        <w:tc>
          <w:tcPr>
            <w:tcW w:w="6747" w:type="dxa"/>
          </w:tcPr>
          <w:p>
            <w:pPr/>
            <w:r>
              <w:t xml:space="preserve">Generic mock email: "Congratulations, claim your prize" with a button. No real tool screen.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Change risk</w:t>
            </w:r>
          </w:p>
        </w:tc>
        <w:tc>
          <w:tcPr>
            <w:tcW w:w="6747" w:type="dxa"/>
          </w:tcPr>
          <w:p>
            <w:pPr/>
            <w:r>
              <w:t xml:space="preserve">Low. The case describes a situation; it does not state the rule.</w:t>
            </w:r>
          </w:p>
        </w:tc>
      </w:tr>
    </w:tbl>
    <w:p>
      <w:pPr>
        <w:pStyle w:val="Heading3"/>
      </w:pPr>
      <w:r>
        <w:t xml:space="preserve">Block 3: Why it matters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12"/>
        <w:gridCol w:w="6747"/>
      </w:tblGrid>
      <w:tr>
        <w:trPr>
          <w:tblHeader/>
        </w:trPr>
        <w:tc>
          <w:tcPr>
            <w:tcW w:w="2612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747" w:type="dxa"/>
            <w:shd w:val="clear" w:color="auto" w:fill="F2F2F2"/>
          </w:tcPr>
          <w:p>
            <w:pPr/>
            <w:r>
              <w:t xml:space="preserve">Content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Builder element</w:t>
            </w:r>
          </w:p>
        </w:tc>
        <w:tc>
          <w:tcPr>
            <w:tcW w:w="6747" w:type="dxa"/>
          </w:tcPr>
          <w:p>
            <w:pPr/>
            <w:r>
              <w:t xml:space="preserve">Statement block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On-screen text</w:t>
            </w:r>
          </w:p>
        </w:tc>
        <w:tc>
          <w:tcPr>
            <w:tcW w:w="6747" w:type="dxa"/>
          </w:tcPr>
          <w:p>
            <w:pPr/>
            <w:r>
              <w:t xml:space="preserve">A single rule can protect, or block, mail for a very large number of users at once. Get it right and a phishing wave stops in minutes. Get it wrong and legitimate mail disappears, or the attack keeps landing.</w:t>
            </w:r>
          </w:p>
        </w:tc>
      </w:tr>
    </w:tbl>
    <w:p>
      <w:pPr>
        <w:pStyle w:val="Heading3"/>
      </w:pPr>
      <w:r>
        <w:t xml:space="preserve">Block 4: Objectives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12"/>
        <w:gridCol w:w="6747"/>
      </w:tblGrid>
      <w:tr>
        <w:trPr>
          <w:tblHeader/>
        </w:trPr>
        <w:tc>
          <w:tcPr>
            <w:tcW w:w="2612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747" w:type="dxa"/>
            <w:shd w:val="clear" w:color="auto" w:fill="F2F2F2"/>
          </w:tcPr>
          <w:p>
            <w:pPr/>
            <w:r>
              <w:t xml:space="preserve">Content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Builder element</w:t>
            </w:r>
          </w:p>
        </w:tc>
        <w:tc>
          <w:tcPr>
            <w:tcW w:w="6747" w:type="dxa"/>
          </w:tcPr>
          <w:p>
            <w:pPr/>
            <w:r>
              <w:t xml:space="preserve">Bulleted list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On-screen text</w:t>
            </w:r>
          </w:p>
        </w:tc>
        <w:tc>
          <w:tcPr>
            <w:tcW w:w="6747" w:type="dxa"/>
          </w:tcPr>
          <w:p>
            <w:pPr/>
            <w:r>
              <w:t xml:space="preserve">By the end of this module you will be able to: explain what Heimdall does in the mail flow; find what a classification means using the Heimdall Tool Guide; decide between allowing and blocking a campaign using the Decision Guide; follow the workflow to write and test a rule.</w:t>
            </w:r>
          </w:p>
        </w:tc>
      </w:tr>
    </w:tbl>
    <w:p>
      <w:pPr>
        <w:pStyle w:val="Heading3"/>
      </w:pPr>
      <w:r>
        <w:t xml:space="preserve">Block 5: Key ideas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12"/>
        <w:gridCol w:w="6747"/>
      </w:tblGrid>
      <w:tr>
        <w:trPr>
          <w:tblHeader/>
        </w:trPr>
        <w:tc>
          <w:tcPr>
            <w:tcW w:w="2612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747" w:type="dxa"/>
            <w:shd w:val="clear" w:color="auto" w:fill="F2F2F2"/>
          </w:tcPr>
          <w:p>
            <w:pPr/>
            <w:r>
              <w:t xml:space="preserve">Content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Builder element</w:t>
            </w:r>
          </w:p>
        </w:tc>
        <w:tc>
          <w:tcPr>
            <w:tcW w:w="6747" w:type="dxa"/>
          </w:tcPr>
          <w:p>
            <w:pPr/>
            <w:r>
              <w:t xml:space="preserve">Flip cards, 5 cards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On-screen text</w:t>
            </w:r>
          </w:p>
        </w:tc>
        <w:tc>
          <w:tcPr>
            <w:tcW w:w="6747" w:type="dxa"/>
          </w:tcPr>
          <w:p>
            <w:pPr/>
            <w:r>
              <w:rPr>
                <w:b/>
              </w:rPr>
              <w:t xml:space="preserve">Classification:</w:t>
            </w:r>
            <w:r>
              <w:t xml:space="preserve"> the label Heimdall gives a message, which decides where it lands. </w:t>
            </w:r>
            <w:r>
              <w:rPr>
                <w:b/>
              </w:rPr>
              <w:t xml:space="preserve">Rule:</w:t>
            </w:r>
            <w:r>
              <w:t xml:space="preserve"> an instruction that changes how matching mail is classified. </w:t>
            </w:r>
            <w:r>
              <w:rPr>
                <w:b/>
              </w:rPr>
              <w:t xml:space="preserve">Allowlist:</w:t>
            </w:r>
            <w:r>
              <w:t xml:space="preserve"> a rule that stops matching mail being treated as unwanted. </w:t>
            </w:r>
            <w:r>
              <w:rPr>
                <w:b/>
              </w:rPr>
              <w:t xml:space="preserve">Blocklist:</w:t>
            </w:r>
            <w:r>
              <w:t xml:space="preserve"> a rule that stops matching mail reaching inboxes. </w:t>
            </w:r>
            <w:r>
              <w:rPr>
                <w:b/>
              </w:rPr>
              <w:t xml:space="preserve">Campaign:</w:t>
            </w:r>
            <w:r>
              <w:t xml:space="preserve"> many messages sharing a sender, content or link pattern.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Media</w:t>
            </w:r>
          </w:p>
        </w:tc>
        <w:tc>
          <w:tcPr>
            <w:tcW w:w="6747" w:type="dxa"/>
          </w:tcPr>
          <w:p>
            <w:pPr/>
            <w:r>
              <w:t xml:space="preserve">None</w:t>
            </w:r>
          </w:p>
        </w:tc>
      </w:tr>
    </w:tbl>
    <w:p>
      <w:pPr>
        <w:pStyle w:val="Heading3"/>
      </w:pPr>
      <w:r>
        <w:t xml:space="preserve">Block 6: Reading tasks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12"/>
        <w:gridCol w:w="6747"/>
      </w:tblGrid>
      <w:tr>
        <w:trPr>
          <w:tblHeader/>
        </w:trPr>
        <w:tc>
          <w:tcPr>
            <w:tcW w:w="2612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747" w:type="dxa"/>
            <w:shd w:val="clear" w:color="auto" w:fill="F2F2F2"/>
          </w:tcPr>
          <w:p>
            <w:pPr/>
            <w:r>
              <w:t xml:space="preserve">Content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Builder element</w:t>
            </w:r>
          </w:p>
        </w:tc>
        <w:tc>
          <w:tcPr>
            <w:tcW w:w="6747" w:type="dxa"/>
          </w:tcPr>
          <w:p>
            <w:pPr/>
            <w:r>
              <w:t xml:space="preserve">Three link buttons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Task 1</w:t>
            </w:r>
          </w:p>
        </w:tc>
        <w:tc>
          <w:tcPr>
            <w:tcW w:w="6747" w:type="dxa"/>
          </w:tcPr>
          <w:p>
            <w:pPr/>
            <w:r>
              <w:t xml:space="preserve">Read KA-FND-006 §3 (How classification works). Note the classification types and where each sends mail.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Task 2</w:t>
            </w:r>
          </w:p>
        </w:tc>
        <w:tc>
          <w:tcPr>
            <w:tcW w:w="6747" w:type="dxa"/>
          </w:tcPr>
          <w:p>
            <w:pPr/>
            <w:r>
              <w:t xml:space="preserve">Read KA-OUT-021 §3 and §4 (Rules and Edge cases). Note what decides allow versus block, and when you must escalate instead.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Task 3</w:t>
            </w:r>
          </w:p>
        </w:tc>
        <w:tc>
          <w:tcPr>
            <w:tcW w:w="6747" w:type="dxa"/>
          </w:tcPr>
          <w:p>
            <w:pPr/>
            <w:r>
              <w:t xml:space="preserve">Skim KA-OUT-020 §3 (Steps). Note what you must do before saving any rule.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Links</w:t>
            </w:r>
          </w:p>
        </w:tc>
        <w:tc>
          <w:tcPr>
            <w:tcW w:w="6747" w:type="dxa"/>
          </w:tcPr>
          <w:p>
            <w:pPr/>
            <w:r>
              <w:t xml:space="preserve">[Quip section URLs for each]</w:t>
            </w:r>
          </w:p>
        </w:tc>
      </w:tr>
    </w:tbl>
    <w:p>
      <w:pPr>
        <w:pStyle w:val="Heading3"/>
      </w:pPr>
      <w:r>
        <w:t xml:space="preserve">Block 7: Solve the case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67"/>
        <w:gridCol w:w="5792"/>
      </w:tblGrid>
      <w:tr>
        <w:trPr>
          <w:tblHeader/>
        </w:trPr>
        <w:tc>
          <w:tcPr>
            <w:tcW w:w="3567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5792" w:type="dxa"/>
            <w:shd w:val="clear" w:color="auto" w:fill="F2F2F2"/>
          </w:tcPr>
          <w:p>
            <w:pPr/>
            <w:r>
              <w:t xml:space="preserve">Content</w:t>
            </w:r>
          </w:p>
        </w:tc>
      </w:tr>
      <w:tr>
        <w:tc>
          <w:tcPr>
            <w:tcW w:w="3567" w:type="dxa"/>
          </w:tcPr>
          <w:p>
            <w:pPr/>
            <w:r>
              <w:t xml:space="preserve">Builder element</w:t>
            </w:r>
          </w:p>
        </w:tc>
        <w:tc>
          <w:tcPr>
            <w:tcW w:w="5792" w:type="dxa"/>
          </w:tcPr>
          <w:p>
            <w:pPr/>
            <w:r>
              <w:t xml:space="preserve">Knowledge check, scenario</w:t>
            </w:r>
          </w:p>
        </w:tc>
      </w:tr>
      <w:tr>
        <w:tc>
          <w:tcPr>
            <w:tcW w:w="3567" w:type="dxa"/>
          </w:tcPr>
          <w:p>
            <w:pPr/>
            <w:r>
              <w:t xml:space="preserve">Question</w:t>
            </w:r>
          </w:p>
        </w:tc>
        <w:tc>
          <w:tcPr>
            <w:tcW w:w="5792" w:type="dxa"/>
          </w:tcPr>
          <w:p>
            <w:pPr/>
            <w:r>
              <w:t xml:space="preserve">Q-OUT021-01</w:t>
            </w:r>
          </w:p>
        </w:tc>
      </w:tr>
    </w:tbl>
    <w:p>
      <w:pPr>
        <w:pStyle w:val="Heading3"/>
      </w:pPr>
      <w:r>
        <w:t xml:space="preserve">Block 8: Comprehension check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12"/>
        <w:gridCol w:w="6747"/>
      </w:tblGrid>
      <w:tr>
        <w:trPr>
          <w:tblHeader/>
        </w:trPr>
        <w:tc>
          <w:tcPr>
            <w:tcW w:w="2612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747" w:type="dxa"/>
            <w:shd w:val="clear" w:color="auto" w:fill="F2F2F2"/>
          </w:tcPr>
          <w:p>
            <w:pPr/>
            <w:r>
              <w:t xml:space="preserve">Content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Builder element</w:t>
            </w:r>
          </w:p>
        </w:tc>
        <w:tc>
          <w:tcPr>
            <w:tcW w:w="6747" w:type="dxa"/>
          </w:tcPr>
          <w:p>
            <w:pPr/>
            <w:r>
              <w:t xml:space="preserve">Quiz, 4 questions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Questions</w:t>
            </w:r>
          </w:p>
        </w:tc>
        <w:tc>
          <w:tcPr>
            <w:tcW w:w="6747" w:type="dxa"/>
          </w:tcPr>
          <w:p>
            <w:pPr/>
            <w:r>
              <w:t xml:space="preserve">Q-FND006-01, Q-TOOL002-01, Q-OUT020-01, Q-OUT021-02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Retake</w:t>
            </w:r>
          </w:p>
        </w:tc>
        <w:tc>
          <w:tcPr>
            <w:tcW w:w="6747" w:type="dxa"/>
          </w:tcPr>
          <w:p>
            <w:pPr/>
            <w:r>
              <w:t xml:space="preserve">Allowed, 2 attempts</w:t>
            </w:r>
          </w:p>
        </w:tc>
      </w:tr>
    </w:tbl>
    <w:p>
      <w:pPr>
        <w:pStyle w:val="Heading3"/>
      </w:pPr>
      <w:r>
        <w:t xml:space="preserve">Block 9: Wrap up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12"/>
        <w:gridCol w:w="6747"/>
      </w:tblGrid>
      <w:tr>
        <w:trPr>
          <w:tblHeader/>
        </w:trPr>
        <w:tc>
          <w:tcPr>
            <w:tcW w:w="2612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747" w:type="dxa"/>
            <w:shd w:val="clear" w:color="auto" w:fill="F2F2F2"/>
          </w:tcPr>
          <w:p>
            <w:pPr/>
            <w:r>
              <w:t xml:space="preserve">Content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Builder element</w:t>
            </w:r>
          </w:p>
        </w:tc>
        <w:tc>
          <w:tcPr>
            <w:tcW w:w="6747" w:type="dxa"/>
          </w:tcPr>
          <w:p>
            <w:pPr/>
            <w:r>
              <w:t xml:space="preserve">Text + link list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On-screen text</w:t>
            </w:r>
          </w:p>
        </w:tc>
        <w:tc>
          <w:tcPr>
            <w:tcW w:w="6747" w:type="dxa"/>
          </w:tcPr>
          <w:p>
            <w:pPr/>
            <w:r>
              <w:t xml:space="preserve">Rules act on whole campaigns, so decide first and write second. The Decision Guide settles allow or block; the workflow makes sure the rule is right before it goes live. Keep these handy in production: KA-OUT-021, KA-OUT-020, KA-TOOL-002.</w:t>
            </w:r>
          </w:p>
        </w:tc>
      </w:tr>
    </w:tbl>
    <w:p>
      <w:pPr>
        <w:pStyle w:val="Heading2"/>
      </w:pPr>
      <w:r>
        <w:t xml:space="preserve">Question sheet</w:t>
      </w:r>
    </w:p>
    <w:p>
      <w:pPr>
        <w:pStyle w:val="Heading3"/>
      </w:pPr>
      <w:r>
        <w:t xml:space="preserve">Q-OUT021-01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77"/>
        <w:gridCol w:w="6382"/>
      </w:tblGrid>
      <w:tr>
        <w:trPr>
          <w:tblHeader/>
        </w:trPr>
        <w:tc>
          <w:tcPr>
            <w:tcW w:w="2977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6382" w:type="dxa"/>
            <w:shd w:val="clear" w:color="auto" w:fill="F2F2F2"/>
          </w:tcPr>
          <w:p>
            <w:pPr/>
            <w:r>
              <w:t xml:space="preserve">Content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Block</w:t>
            </w:r>
          </w:p>
        </w:tc>
        <w:tc>
          <w:tcPr>
            <w:tcW w:w="6382" w:type="dxa"/>
          </w:tcPr>
          <w:p>
            <w:pPr/>
            <w:r>
              <w:t xml:space="preserve">7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Type</w:t>
            </w:r>
          </w:p>
        </w:tc>
        <w:tc>
          <w:tcPr>
            <w:tcW w:w="6382" w:type="dxa"/>
          </w:tcPr>
          <w:p>
            <w:pPr/>
            <w:r>
              <w:t xml:space="preserve">Scenario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Cited section</w:t>
            </w:r>
          </w:p>
        </w:tc>
        <w:tc>
          <w:tcPr>
            <w:tcW w:w="6382" w:type="dxa"/>
          </w:tcPr>
          <w:p>
            <w:pPr/>
            <w:r>
              <w:t xml:space="preserve">KA-OUT-021 §3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Value-dependent</w:t>
            </w:r>
          </w:p>
        </w:tc>
        <w:tc>
          <w:tcPr>
            <w:tcW w:w="6382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Stem</w:t>
            </w:r>
          </w:p>
        </w:tc>
        <w:tc>
          <w:tcPr>
            <w:tcW w:w="6382" w:type="dxa"/>
          </w:tcPr>
          <w:p>
            <w:pPr/>
            <w:r>
              <w:t xml:space="preserve">Back to the prize emails: all from one new domain, all linking to a fake login page, more arriving every few minutes. What is the right response?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Option A</w:t>
            </w:r>
          </w:p>
        </w:tc>
        <w:tc>
          <w:tcPr>
            <w:tcW w:w="6382" w:type="dxa"/>
          </w:tcPr>
          <w:p>
            <w:pPr/>
            <w:r>
              <w:t xml:space="preserve">Block each reporting user's sender one by one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Option B</w:t>
            </w:r>
          </w:p>
        </w:tc>
        <w:tc>
          <w:tcPr>
            <w:tcW w:w="6382" w:type="dxa"/>
          </w:tcPr>
          <w:p>
            <w:pPr/>
            <w:r>
              <w:t xml:space="preserve">Create a blocklist rule for the campaign, matching on more than one shared attribute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Option C</w:t>
            </w:r>
          </w:p>
        </w:tc>
        <w:tc>
          <w:tcPr>
            <w:tcW w:w="6382" w:type="dxa"/>
          </w:tcPr>
          <w:p>
            <w:pPr/>
            <w:r>
              <w:t xml:space="preserve">Allowlist the domain until the volume drops, then review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Option D</w:t>
            </w:r>
          </w:p>
        </w:tc>
        <w:tc>
          <w:tcPr>
            <w:tcW w:w="6382" w:type="dxa"/>
          </w:tcPr>
          <w:p>
            <w:pPr/>
            <w:r>
              <w:t xml:space="preserve">Take no action; users can delete the emails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Correct</w:t>
            </w:r>
          </w:p>
        </w:tc>
        <w:tc>
          <w:tcPr>
            <w:tcW w:w="6382" w:type="dxa"/>
          </w:tcPr>
          <w:p>
            <w:pPr/>
            <w:r>
              <w:t xml:space="preserve">B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Feedback, correct</w:t>
            </w:r>
          </w:p>
        </w:tc>
        <w:tc>
          <w:tcPr>
            <w:tcW w:w="6382" w:type="dxa"/>
          </w:tcPr>
          <w:p>
            <w:pPr/>
            <w:r>
              <w:t xml:space="preserve">Right. A confirmed phishing campaign with a consistent pattern is handled at campaign level. See KA-OUT-021 §3.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Feedback, incorrect</w:t>
            </w:r>
          </w:p>
        </w:tc>
        <w:tc>
          <w:tcPr>
            <w:tcW w:w="6382" w:type="dxa"/>
          </w:tcPr>
          <w:p>
            <w:pPr/>
            <w:r>
              <w:t xml:space="preserve">This is a campaign, not individual senders, and it is clearly abusive. Check what the Decision Guide says about confirmed phishing. See KA-OUT-021 §3.</w:t>
            </w:r>
          </w:p>
        </w:tc>
      </w:tr>
    </w:tbl>
    <w:p>
      <w:pPr>
        <w:pStyle w:val="Heading3"/>
      </w:pPr>
      <w:r>
        <w:t xml:space="preserve">Q-FND006-01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77"/>
        <w:gridCol w:w="6382"/>
      </w:tblGrid>
      <w:tr>
        <w:trPr>
          <w:tblHeader/>
        </w:trPr>
        <w:tc>
          <w:tcPr>
            <w:tcW w:w="2977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6382" w:type="dxa"/>
            <w:shd w:val="clear" w:color="auto" w:fill="F2F2F2"/>
          </w:tcPr>
          <w:p>
            <w:pPr/>
            <w:r>
              <w:t xml:space="preserve">Content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Block</w:t>
            </w:r>
          </w:p>
        </w:tc>
        <w:tc>
          <w:tcPr>
            <w:tcW w:w="6382" w:type="dxa"/>
          </w:tcPr>
          <w:p>
            <w:pPr/>
            <w:r>
              <w:t xml:space="preserve">8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Type</w:t>
            </w:r>
          </w:p>
        </w:tc>
        <w:tc>
          <w:tcPr>
            <w:tcW w:w="6382" w:type="dxa"/>
          </w:tcPr>
          <w:p>
            <w:pPr/>
            <w:r>
              <w:t xml:space="preserve">MCQ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Cited section</w:t>
            </w:r>
          </w:p>
        </w:tc>
        <w:tc>
          <w:tcPr>
            <w:tcW w:w="6382" w:type="dxa"/>
          </w:tcPr>
          <w:p>
            <w:pPr/>
            <w:r>
              <w:t xml:space="preserve">KA-FND-006 §3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Value-dependent</w:t>
            </w:r>
          </w:p>
        </w:tc>
        <w:tc>
          <w:tcPr>
            <w:tcW w:w="6382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Stem</w:t>
            </w:r>
          </w:p>
        </w:tc>
        <w:tc>
          <w:tcPr>
            <w:tcW w:w="6382" w:type="dxa"/>
          </w:tcPr>
          <w:p>
            <w:pPr/>
            <w:r>
              <w:t xml:space="preserve">What does a message's classification decide?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Option A</w:t>
            </w:r>
          </w:p>
        </w:tc>
        <w:tc>
          <w:tcPr>
            <w:tcW w:w="6382" w:type="dxa"/>
          </w:tcPr>
          <w:p>
            <w:pPr/>
            <w:r>
              <w:t xml:space="preserve">Where the message lands for the user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Option B</w:t>
            </w:r>
          </w:p>
        </w:tc>
        <w:tc>
          <w:tcPr>
            <w:tcW w:w="6382" w:type="dxa"/>
          </w:tcPr>
          <w:p>
            <w:pPr/>
            <w:r>
              <w:t xml:space="preserve">Whether the sender's account is closed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Option C</w:t>
            </w:r>
          </w:p>
        </w:tc>
        <w:tc>
          <w:tcPr>
            <w:tcW w:w="6382" w:type="dxa"/>
          </w:tcPr>
          <w:p>
            <w:pPr/>
            <w:r>
              <w:t xml:space="preserve">How long the message is stored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Option D</w:t>
            </w:r>
          </w:p>
        </w:tc>
        <w:tc>
          <w:tcPr>
            <w:tcW w:w="6382" w:type="dxa"/>
          </w:tcPr>
          <w:p>
            <w:pPr/>
            <w:r>
              <w:t xml:space="preserve">Which analyst reviews it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Correct</w:t>
            </w:r>
          </w:p>
        </w:tc>
        <w:tc>
          <w:tcPr>
            <w:tcW w:w="6382" w:type="dxa"/>
          </w:tcPr>
          <w:p>
            <w:pPr/>
            <w:r>
              <w:t xml:space="preserve">A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Feedback, correct</w:t>
            </w:r>
          </w:p>
        </w:tc>
        <w:tc>
          <w:tcPr>
            <w:tcW w:w="6382" w:type="dxa"/>
          </w:tcPr>
          <w:p>
            <w:pPr/>
            <w:r>
              <w:t xml:space="preserve">Yes. Classification decides the message's destination. See KA-FND-006 §3.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Feedback, incorrect</w:t>
            </w:r>
          </w:p>
        </w:tc>
        <w:tc>
          <w:tcPr>
            <w:tcW w:w="6382" w:type="dxa"/>
          </w:tcPr>
          <w:p>
            <w:pPr/>
            <w:r>
              <w:t xml:space="preserve">Classification is about the message, not the account or the analyst. See KA-FND-006 §3.</w:t>
            </w:r>
          </w:p>
        </w:tc>
      </w:tr>
    </w:tbl>
    <w:p>
      <w:pPr>
        <w:pStyle w:val="Heading3"/>
      </w:pPr>
      <w:r>
        <w:t xml:space="preserve">Q-TOOL002-01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77"/>
        <w:gridCol w:w="6382"/>
      </w:tblGrid>
      <w:tr>
        <w:trPr>
          <w:tblHeader/>
        </w:trPr>
        <w:tc>
          <w:tcPr>
            <w:tcW w:w="2977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6382" w:type="dxa"/>
            <w:shd w:val="clear" w:color="auto" w:fill="F2F2F2"/>
          </w:tcPr>
          <w:p>
            <w:pPr/>
            <w:r>
              <w:t xml:space="preserve">Content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Block</w:t>
            </w:r>
          </w:p>
        </w:tc>
        <w:tc>
          <w:tcPr>
            <w:tcW w:w="6382" w:type="dxa"/>
          </w:tcPr>
          <w:p>
            <w:pPr/>
            <w:r>
              <w:t xml:space="preserve">8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Type</w:t>
            </w:r>
          </w:p>
        </w:tc>
        <w:tc>
          <w:tcPr>
            <w:tcW w:w="6382" w:type="dxa"/>
          </w:tcPr>
          <w:p>
            <w:pPr/>
            <w:r>
              <w:t xml:space="preserve">MCQ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Cited section</w:t>
            </w:r>
          </w:p>
        </w:tc>
        <w:tc>
          <w:tcPr>
            <w:tcW w:w="6382" w:type="dxa"/>
          </w:tcPr>
          <w:p>
            <w:pPr/>
            <w:r>
              <w:t xml:space="preserve">KA-TOOL-002 §5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Value-dependent</w:t>
            </w:r>
          </w:p>
        </w:tc>
        <w:tc>
          <w:tcPr>
            <w:tcW w:w="6382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Stem</w:t>
            </w:r>
          </w:p>
        </w:tc>
        <w:tc>
          <w:tcPr>
            <w:tcW w:w="6382" w:type="dxa"/>
          </w:tcPr>
          <w:p>
            <w:pPr/>
            <w:r>
              <w:t xml:space="preserve">You open an existing Heimdall rule and don't recognise a value in one of its fields. Where do you check what it means?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Option A</w:t>
            </w:r>
          </w:p>
        </w:tc>
        <w:tc>
          <w:tcPr>
            <w:tcW w:w="6382" w:type="dxa"/>
          </w:tcPr>
          <w:p>
            <w:pPr/>
            <w:r>
              <w:t xml:space="preserve">Ask the user who reported the email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Option B</w:t>
            </w:r>
          </w:p>
        </w:tc>
        <w:tc>
          <w:tcPr>
            <w:tcW w:w="6382" w:type="dxa"/>
          </w:tcPr>
          <w:p>
            <w:pPr/>
            <w:r>
              <w:t xml:space="preserve">The field and value reference in the Heimdall Tool Guide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Option C</w:t>
            </w:r>
          </w:p>
        </w:tc>
        <w:tc>
          <w:tcPr>
            <w:tcW w:w="6382" w:type="dxa"/>
          </w:tcPr>
          <w:p>
            <w:pPr/>
            <w:r>
              <w:t xml:space="preserve">The LMS module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Option D</w:t>
            </w:r>
          </w:p>
        </w:tc>
        <w:tc>
          <w:tcPr>
            <w:tcW w:w="6382" w:type="dxa"/>
          </w:tcPr>
          <w:p>
            <w:pPr/>
            <w:r>
              <w:t xml:space="preserve">Guess from the rule name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Correct</w:t>
            </w:r>
          </w:p>
        </w:tc>
        <w:tc>
          <w:tcPr>
            <w:tcW w:w="6382" w:type="dxa"/>
          </w:tcPr>
          <w:p>
            <w:pPr/>
            <w:r>
              <w:t xml:space="preserve">B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Feedback, correct</w:t>
            </w:r>
          </w:p>
        </w:tc>
        <w:tc>
          <w:tcPr>
            <w:tcW w:w="6382" w:type="dxa"/>
          </w:tcPr>
          <w:p>
            <w:pPr/>
            <w:r>
              <w:t xml:space="preserve">Correct. Field meanings live in the Tool Guide so they stay current. See KA-TOOL-002 §5.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Feedback, incorrect</w:t>
            </w:r>
          </w:p>
        </w:tc>
        <w:tc>
          <w:tcPr>
            <w:tcW w:w="6382" w:type="dxa"/>
          </w:tcPr>
          <w:p>
            <w:pPr/>
            <w:r>
              <w:t xml:space="preserve">The LMS does not hold tool details; Quip does. See KA-TOOL-002 §5.</w:t>
            </w:r>
          </w:p>
        </w:tc>
      </w:tr>
    </w:tbl>
    <w:p>
      <w:pPr>
        <w:pStyle w:val="Heading3"/>
      </w:pPr>
      <w:r>
        <w:t xml:space="preserve">Q-OUT020-01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77"/>
        <w:gridCol w:w="6382"/>
      </w:tblGrid>
      <w:tr>
        <w:trPr>
          <w:tblHeader/>
        </w:trPr>
        <w:tc>
          <w:tcPr>
            <w:tcW w:w="2977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6382" w:type="dxa"/>
            <w:shd w:val="clear" w:color="auto" w:fill="F2F2F2"/>
          </w:tcPr>
          <w:p>
            <w:pPr/>
            <w:r>
              <w:t xml:space="preserve">Content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Block</w:t>
            </w:r>
          </w:p>
        </w:tc>
        <w:tc>
          <w:tcPr>
            <w:tcW w:w="6382" w:type="dxa"/>
          </w:tcPr>
          <w:p>
            <w:pPr/>
            <w:r>
              <w:t xml:space="preserve">8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Type</w:t>
            </w:r>
          </w:p>
        </w:tc>
        <w:tc>
          <w:tcPr>
            <w:tcW w:w="6382" w:type="dxa"/>
          </w:tcPr>
          <w:p>
            <w:pPr/>
            <w:r>
              <w:t xml:space="preserve">Scenario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Cited section</w:t>
            </w:r>
          </w:p>
        </w:tc>
        <w:tc>
          <w:tcPr>
            <w:tcW w:w="6382" w:type="dxa"/>
          </w:tcPr>
          <w:p>
            <w:pPr/>
            <w:r>
              <w:t xml:space="preserve">KA-OUT-020 §3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Value-dependent</w:t>
            </w:r>
          </w:p>
        </w:tc>
        <w:tc>
          <w:tcPr>
            <w:tcW w:w="6382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Stem</w:t>
            </w:r>
          </w:p>
        </w:tc>
        <w:tc>
          <w:tcPr>
            <w:tcW w:w="6382" w:type="dxa"/>
          </w:tcPr>
          <w:p>
            <w:pPr/>
            <w:r>
              <w:t xml:space="preserve">You test a new blocklist rule against five samples. Four show Match, one shows No match. The queue is busy. What do you do?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Option A</w:t>
            </w:r>
          </w:p>
        </w:tc>
        <w:tc>
          <w:tcPr>
            <w:tcW w:w="6382" w:type="dxa"/>
          </w:tcPr>
          <w:p>
            <w:pPr/>
            <w:r>
              <w:t xml:space="preserve">Save it; four out of five is enough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Option B</w:t>
            </w:r>
          </w:p>
        </w:tc>
        <w:tc>
          <w:tcPr>
            <w:tcW w:w="6382" w:type="dxa"/>
          </w:tcPr>
          <w:p>
            <w:pPr/>
            <w:r>
              <w:t xml:space="preserve">Adjust the conditions and test again before saving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Option C</w:t>
            </w:r>
          </w:p>
        </w:tc>
        <w:tc>
          <w:tcPr>
            <w:tcW w:w="6382" w:type="dxa"/>
          </w:tcPr>
          <w:p>
            <w:pPr/>
            <w:r>
              <w:t xml:space="preserve">Save it and fix it later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Option D</w:t>
            </w:r>
          </w:p>
        </w:tc>
        <w:tc>
          <w:tcPr>
            <w:tcW w:w="6382" w:type="dxa"/>
          </w:tcPr>
          <w:p>
            <w:pPr/>
            <w:r>
              <w:t xml:space="preserve">Delete the failing sample and test again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Correct</w:t>
            </w:r>
          </w:p>
        </w:tc>
        <w:tc>
          <w:tcPr>
            <w:tcW w:w="6382" w:type="dxa"/>
          </w:tcPr>
          <w:p>
            <w:pPr/>
            <w:r>
              <w:t xml:space="preserve">B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Feedback, correct</w:t>
            </w:r>
          </w:p>
        </w:tc>
        <w:tc>
          <w:tcPr>
            <w:tcW w:w="6382" w:type="dxa"/>
          </w:tcPr>
          <w:p>
            <w:pPr/>
            <w:r>
              <w:t xml:space="preserve">Right. A rule is never saved while any sample fails its test. See KA-OUT-020 §3.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Feedback, incorrect</w:t>
            </w:r>
          </w:p>
        </w:tc>
        <w:tc>
          <w:tcPr>
            <w:tcW w:w="6382" w:type="dxa"/>
          </w:tcPr>
          <w:p>
            <w:pPr/>
            <w:r>
              <w:t xml:space="preserve">A failing test means the rule may miss part of the campaign or catch the wrong mail. See KA-OUT-020 §3.</w:t>
            </w:r>
          </w:p>
        </w:tc>
      </w:tr>
    </w:tbl>
    <w:p>
      <w:pPr>
        <w:pStyle w:val="Heading3"/>
      </w:pPr>
      <w:r>
        <w:t xml:space="preserve">Q-OUT021-02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77"/>
        <w:gridCol w:w="6382"/>
      </w:tblGrid>
      <w:tr>
        <w:trPr>
          <w:tblHeader/>
        </w:trPr>
        <w:tc>
          <w:tcPr>
            <w:tcW w:w="2977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6382" w:type="dxa"/>
            <w:shd w:val="clear" w:color="auto" w:fill="F2F2F2"/>
          </w:tcPr>
          <w:p>
            <w:pPr/>
            <w:r>
              <w:t xml:space="preserve">Content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Block</w:t>
            </w:r>
          </w:p>
        </w:tc>
        <w:tc>
          <w:tcPr>
            <w:tcW w:w="6382" w:type="dxa"/>
          </w:tcPr>
          <w:p>
            <w:pPr/>
            <w:r>
              <w:t xml:space="preserve">8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Type</w:t>
            </w:r>
          </w:p>
        </w:tc>
        <w:tc>
          <w:tcPr>
            <w:tcW w:w="6382" w:type="dxa"/>
          </w:tcPr>
          <w:p>
            <w:pPr/>
            <w:r>
              <w:t xml:space="preserve">Scenario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Cited section</w:t>
            </w:r>
          </w:p>
        </w:tc>
        <w:tc>
          <w:tcPr>
            <w:tcW w:w="6382" w:type="dxa"/>
          </w:tcPr>
          <w:p>
            <w:pPr/>
            <w:r>
              <w:t xml:space="preserve">KA-OUT-021 §4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Value-dependent</w:t>
            </w:r>
          </w:p>
        </w:tc>
        <w:tc>
          <w:tcPr>
            <w:tcW w:w="6382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Stem</w:t>
            </w:r>
          </w:p>
        </w:tc>
        <w:tc>
          <w:tcPr>
            <w:tcW w:w="6382" w:type="dxa"/>
          </w:tcPr>
          <w:p>
            <w:pPr/>
            <w:r>
              <w:t xml:space="preserve">Users report that a well-known retailer's opt-in newsletter has started landing in Junk. What should you do?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Option A</w:t>
            </w:r>
          </w:p>
        </w:tc>
        <w:tc>
          <w:tcPr>
            <w:tcW w:w="6382" w:type="dxa"/>
          </w:tcPr>
          <w:p>
            <w:pPr/>
            <w:r>
              <w:t xml:space="preserve">Write an allowlist rule for the retailer's domain right away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Option B</w:t>
            </w:r>
          </w:p>
        </w:tc>
        <w:tc>
          <w:tcPr>
            <w:tcW w:w="6382" w:type="dxa"/>
          </w:tcPr>
          <w:p>
            <w:pPr/>
            <w:r>
              <w:t xml:space="preserve">Write a blocklist rule, since users are reporting it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Option C</w:t>
            </w:r>
          </w:p>
        </w:tc>
        <w:tc>
          <w:tcPr>
            <w:tcW w:w="6382" w:type="dxa"/>
          </w:tcPr>
          <w:p>
            <w:pPr/>
            <w:r>
              <w:t xml:space="preserve">Escalate, because allowing a known bulk sender is not decided alone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Option D</w:t>
            </w:r>
          </w:p>
        </w:tc>
        <w:tc>
          <w:tcPr>
            <w:tcW w:w="6382" w:type="dxa"/>
          </w:tcPr>
          <w:p>
            <w:pPr/>
            <w:r>
              <w:t xml:space="preserve">Close the reports as not abuse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Correct</w:t>
            </w:r>
          </w:p>
        </w:tc>
        <w:tc>
          <w:tcPr>
            <w:tcW w:w="6382" w:type="dxa"/>
          </w:tcPr>
          <w:p>
            <w:pPr/>
            <w:r>
              <w:t xml:space="preserve">C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Feedback, correct</w:t>
            </w:r>
          </w:p>
        </w:tc>
        <w:tc>
          <w:tcPr>
            <w:tcW w:w="6382" w:type="dxa"/>
          </w:tcPr>
          <w:p>
            <w:pPr/>
            <w:r>
              <w:t xml:space="preserve">Correct. Known bulk senders are an edge case that goes to escalation. See KA-OUT-021 §4.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Feedback, incorrect</w:t>
            </w:r>
          </w:p>
        </w:tc>
        <w:tc>
          <w:tcPr>
            <w:tcW w:w="6382" w:type="dxa"/>
          </w:tcPr>
          <w:p>
            <w:pPr/>
            <w:r>
              <w:t xml:space="preserve">An allowlist for a large sender affects many users. Check the edge cases. See KA-OUT-021 §4.</w:t>
            </w:r>
          </w:p>
        </w:tc>
      </w:tr>
    </w:tbl>
    <w:p>
      <w:pPr>
        <w:pStyle w:val="Heading2"/>
      </w:pPr>
      <w:r>
        <w:t xml:space="preserve">Article headers to update after approval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56"/>
        <w:gridCol w:w="3757"/>
        <w:gridCol w:w="3645"/>
      </w:tblGrid>
      <w:tr>
        <w:trPr>
          <w:tblHeader/>
        </w:trPr>
        <w:tc>
          <w:tcPr>
            <w:tcW w:w="1956" w:type="dxa"/>
            <w:shd w:val="clear" w:color="auto" w:fill="F2F2F2"/>
          </w:tcPr>
          <w:p>
            <w:pPr/>
            <w:r>
              <w:t xml:space="preserve">Article</w:t>
            </w:r>
          </w:p>
        </w:tc>
        <w:tc>
          <w:tcPr>
            <w:tcW w:w="3757" w:type="dxa"/>
            <w:shd w:val="clear" w:color="auto" w:fill="F2F2F2"/>
          </w:tcPr>
          <w:p>
            <w:pPr/>
            <w:r>
              <w:t xml:space="preserve">Add to Linked LMS modules</w:t>
            </w:r>
          </w:p>
        </w:tc>
        <w:tc>
          <w:tcPr>
            <w:tcW w:w="3645" w:type="dxa"/>
            <w:shd w:val="clear" w:color="auto" w:fill="F2F2F2"/>
          </w:tcPr>
          <w:p>
            <w:pPr/>
            <w:r>
              <w:t xml:space="preserve">Add to Linked questions</w:t>
            </w:r>
          </w:p>
        </w:tc>
      </w:tr>
      <w:tr>
        <w:tc>
          <w:tcPr>
            <w:tcW w:w="1956" w:type="dxa"/>
          </w:tcPr>
          <w:p>
            <w:pPr/>
            <w:r>
              <w:t xml:space="preserve">KA-FND-006</w:t>
            </w:r>
          </w:p>
        </w:tc>
        <w:tc>
          <w:tcPr>
            <w:tcW w:w="3757" w:type="dxa"/>
          </w:tcPr>
          <w:p>
            <w:pPr/>
            <w:r>
              <w:t xml:space="preserve">M-W1-07</w:t>
            </w:r>
          </w:p>
        </w:tc>
        <w:tc>
          <w:tcPr>
            <w:tcW w:w="3645" w:type="dxa"/>
          </w:tcPr>
          <w:p>
            <w:pPr/>
            <w:r>
              <w:t xml:space="preserve">Q-FND006-01</w:t>
            </w:r>
          </w:p>
        </w:tc>
      </w:tr>
      <w:tr>
        <w:tc>
          <w:tcPr>
            <w:tcW w:w="1956" w:type="dxa"/>
          </w:tcPr>
          <w:p>
            <w:pPr/>
            <w:r>
              <w:t xml:space="preserve">KA-TOOL-002</w:t>
            </w:r>
          </w:p>
        </w:tc>
        <w:tc>
          <w:tcPr>
            <w:tcW w:w="3757" w:type="dxa"/>
          </w:tcPr>
          <w:p>
            <w:pPr/>
            <w:r>
              <w:t xml:space="preserve">M-W1-07</w:t>
            </w:r>
          </w:p>
        </w:tc>
        <w:tc>
          <w:tcPr>
            <w:tcW w:w="3645" w:type="dxa"/>
          </w:tcPr>
          <w:p>
            <w:pPr/>
            <w:r>
              <w:t xml:space="preserve">Q-TOOL002-01</w:t>
            </w:r>
          </w:p>
        </w:tc>
      </w:tr>
      <w:tr>
        <w:tc>
          <w:tcPr>
            <w:tcW w:w="1956" w:type="dxa"/>
          </w:tcPr>
          <w:p>
            <w:pPr/>
            <w:r>
              <w:t xml:space="preserve">KA-OUT-020</w:t>
            </w:r>
          </w:p>
        </w:tc>
        <w:tc>
          <w:tcPr>
            <w:tcW w:w="3757" w:type="dxa"/>
          </w:tcPr>
          <w:p>
            <w:pPr/>
            <w:r>
              <w:t xml:space="preserve">M-W1-07</w:t>
            </w:r>
          </w:p>
        </w:tc>
        <w:tc>
          <w:tcPr>
            <w:tcW w:w="3645" w:type="dxa"/>
          </w:tcPr>
          <w:p>
            <w:pPr/>
            <w:r>
              <w:t xml:space="preserve">Q-OUT020-01</w:t>
            </w:r>
          </w:p>
        </w:tc>
      </w:tr>
      <w:tr>
        <w:tc>
          <w:tcPr>
            <w:tcW w:w="1956" w:type="dxa"/>
          </w:tcPr>
          <w:p>
            <w:pPr/>
            <w:r>
              <w:t xml:space="preserve">KA-OUT-021</w:t>
            </w:r>
          </w:p>
        </w:tc>
        <w:tc>
          <w:tcPr>
            <w:tcW w:w="3757" w:type="dxa"/>
          </w:tcPr>
          <w:p>
            <w:pPr/>
            <w:r>
              <w:t xml:space="preserve">M-W1-07</w:t>
            </w:r>
          </w:p>
        </w:tc>
        <w:tc>
          <w:tcPr>
            <w:tcW w:w="3645" w:type="dxa"/>
          </w:tcPr>
          <w:p>
            <w:pPr/>
            <w:r>
              <w:t xml:space="preserve">Q-OUT021-01, Q-OUT021-02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LMS Example M-W1-07 Heimdall Module Storyboard</dc:title>
  <dc:description>Claude Docs node/07a221a2-4723@4 docx-w7</dc:description>
  <cp:revision>4</cp:revision>
</cp:coreProperties>
</file>