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Mail OPS: LMS + Quip Templates and Writing Guidelines</w:t>
      </w:r>
    </w:p>
    <w:p>
      <w:pPr/>
      <w:r>
        <w:t xml:space="preserve">Oct 26, 2026</w:t>
      </w:r>
      <w:r>
        <w:t xml:space="preserve"> · </w:t>
      </w:r>
      <w:r>
        <w:t xml:space="preserve">@Anoop Krishnan</w:t>
      </w:r>
    </w:p>
    <w:p>
      <w:pPr/>
      <w:r>
        <w:t xml:space="preserve">Every piece of process content lives in exactly one place: Quip. The LMS teaches around it and tests it, but never restates it. A process change is then made once, in Quip, and at most a few tagged LMS questions are reviewed.</w:t>
      </w:r>
    </w:p>
    <w:p>
      <w:pPr>
        <w:pStyle w:val="Heading2"/>
      </w:pPr>
      <w:r>
        <w:t xml:space="preserve">How to use this pack</w:t>
      </w:r>
    </w:p>
    <w:p>
      <w:pPr/>
      <w:r>
        <w:t xml:space="preserve">This pack is for anyone who writes or approves Mail OPS training content. Writers (the makers) use it to build each Quip article and LMS module. SMEs and the Ops lead (the checkers and approvers) use it to review against a fixed standard.</w:t>
      </w:r>
    </w:p>
    <w:p>
      <w:pPr>
        <w:pStyle w:val="ListParagraph"/>
        <w:numPr>
          <w:ilvl w:val="0"/>
          <w:numId w:val="2"/>
        </w:numPr>
      </w:pPr>
      <w:r>
        <w:rPr>
          <w:b/>
        </w:rPr>
        <w:t xml:space="preserve">Writing a Quip article:</w:t>
      </w:r>
      <w:r>
        <w:t xml:space="preserve"> read sections 2 to 6, then 9 and 10.</w:t>
      </w:r>
    </w:p>
    <w:p>
      <w:pPr>
        <w:pStyle w:val="ListParagraph"/>
        <w:numPr>
          <w:ilvl w:val="0"/>
          <w:numId w:val="2"/>
        </w:numPr>
      </w:pPr>
      <w:r>
        <w:rPr>
          <w:b/>
        </w:rPr>
        <w:t xml:space="preserve">Building an LMS module:</w:t>
      </w:r>
      <w:r>
        <w:t xml:space="preserve"> read sections 2, 7 and 8.</w:t>
      </w:r>
    </w:p>
    <w:p>
      <w:pPr>
        <w:pStyle w:val="ListParagraph"/>
        <w:numPr>
          <w:ilvl w:val="0"/>
          <w:numId w:val="2"/>
        </w:numPr>
      </w:pPr>
      <w:r>
        <w:rPr>
          <w:b/>
        </w:rPr>
        <w:t xml:space="preserve">Changing a process:</w:t>
      </w:r>
      <w:r>
        <w:t xml:space="preserve"> read section 11.</w:t>
      </w:r>
    </w:p>
    <w:p>
      <w:pPr>
        <w:pStyle w:val="ListParagraph"/>
        <w:numPr>
          <w:ilvl w:val="0"/>
          <w:numId w:val="2"/>
        </w:numPr>
      </w:pPr>
      <w:r>
        <w:rPr>
          <w:b/>
        </w:rPr>
        <w:t xml:space="preserve">Starting out:</w:t>
      </w:r>
      <w:r>
        <w:t xml:space="preserve"> read the worked example in section 13 first. It shows one topic built through every layer.</w:t>
      </w:r>
    </w:p>
    <w:p>
      <w:pPr/>
      <w:r>
        <w:t xml:space="preserve">The 15-day curriculum stays the master list of what training must cover. Each curriculum row becomes one LMS module and links to one or more Quip articles.</w:t>
      </w:r>
    </w:p>
    <w:p>
      <w:pPr>
        <w:pStyle w:val="Heading2"/>
      </w:pPr>
      <w:r>
        <w:t xml:space="preserve">1. Decisions</w:t>
      </w:r>
    </w:p>
    <w:p>
      <w:pPr/>
      <w:r>
        <w:t xml:space="preserve">These were agreed between the training team and Anoop on 23 and 26 October 2026. Rows marked "default" were recommended and not objected to; confirm them at the next review.</w:t>
      </w:r>
    </w:p>
    <w:tbl>
      <w:tblPr>
        <w:tblStyle w:val="TableGrid"/>
        <w:tblW w:w="0" w:type="auto"/>
        <w:tblLayout w:type="fixed"/>
        <w:tblLook w:val="04A0" w:firstRow="1" w:lastRow="0" w:firstColumn="0" w:lastColumn="0" w:noHBand="0" w:noVBand="1"/>
      </w:tblPr>
      <w:tblGrid>
        <w:gridCol w:w="3238"/>
        <w:gridCol w:w="5097"/>
        <w:gridCol w:w="1023"/>
      </w:tblGrid>
      <w:tr>
        <w:trPr>
          <w:tblHeader/>
        </w:trPr>
        <w:tc>
          <w:tcPr>
            <w:tcW w:w="3238" w:type="dxa"/>
            <w:shd w:val="clear" w:color="auto" w:fill="F2F2F2"/>
          </w:tcPr>
          <w:p>
            <w:pPr/>
            <w:r>
              <w:t xml:space="preserve">Area</w:t>
            </w:r>
          </w:p>
        </w:tc>
        <w:tc>
          <w:tcPr>
            <w:tcW w:w="5097" w:type="dxa"/>
            <w:shd w:val="clear" w:color="auto" w:fill="F2F2F2"/>
          </w:tcPr>
          <w:p>
            <w:pPr/>
            <w:r>
              <w:t xml:space="preserve">Decision</w:t>
            </w:r>
          </w:p>
        </w:tc>
        <w:tc>
          <w:tcPr>
            <w:tcW w:w="1023" w:type="dxa"/>
            <w:shd w:val="clear" w:color="auto" w:fill="F2F2F2"/>
          </w:tcPr>
          <w:p>
            <w:pPr/>
            <w:r>
              <w:t xml:space="preserve">Status</w:t>
            </w:r>
          </w:p>
        </w:tc>
      </w:tr>
      <w:tr>
        <w:tc>
          <w:tcPr>
            <w:tcW w:w="3238" w:type="dxa"/>
          </w:tcPr>
          <w:p>
            <w:pPr/>
            <w:r>
              <w:t xml:space="preserve">Source of truth</w:t>
            </w:r>
          </w:p>
        </w:tc>
        <w:tc>
          <w:tcPr>
            <w:tcW w:w="5097" w:type="dxa"/>
          </w:tcPr>
          <w:p>
            <w:pPr/>
            <w:r>
              <w:t xml:space="preserve">Quip holds all process content. The LMS holds only content that rarely changes.</w:t>
            </w:r>
          </w:p>
        </w:tc>
        <w:tc>
          <w:tcPr>
            <w:tcW w:w="1023" w:type="dxa"/>
          </w:tcPr>
          <w:p>
            <w:pPr/>
            <w:r>
              <w:t xml:space="preserve">Agreed</w:t>
            </w:r>
          </w:p>
        </w:tc>
      </w:tr>
      <w:tr>
        <w:tc>
          <w:tcPr>
            <w:tcW w:w="3238" w:type="dxa"/>
          </w:tcPr>
          <w:p>
            <w:pPr/>
            <w:r>
              <w:t xml:space="preserve">Quip audience</w:t>
            </w:r>
          </w:p>
        </w:tc>
        <w:tc>
          <w:tcPr>
            <w:tcW w:w="5097" w:type="dxa"/>
          </w:tcPr>
          <w:p>
            <w:pPr/>
            <w:r>
              <w:t xml:space="preserve">Articles serve training and production. They double as SOPs and job aids after go-live.</w:t>
            </w:r>
          </w:p>
        </w:tc>
        <w:tc>
          <w:tcPr>
            <w:tcW w:w="1023" w:type="dxa"/>
          </w:tcPr>
          <w:p>
            <w:pPr/>
            <w:r>
              <w:t xml:space="preserve">Agreed</w:t>
            </w:r>
          </w:p>
        </w:tc>
      </w:tr>
      <w:tr>
        <w:tc>
          <w:tcPr>
            <w:tcW w:w="3238" w:type="dxa"/>
          </w:tcPr>
          <w:p>
            <w:pPr/>
            <w:r>
              <w:t xml:space="preserve">Quip organization</w:t>
            </w:r>
          </w:p>
        </w:tc>
        <w:tc>
          <w:tcPr>
            <w:tcW w:w="5097" w:type="dxa"/>
          </w:tcPr>
          <w:p>
            <w:pPr/>
            <w:r>
              <w:t xml:space="preserve">Folders by work area, plus a separate, restricted Training Kit folder</w:t>
            </w:r>
          </w:p>
        </w:tc>
        <w:tc>
          <w:tcPr>
            <w:tcW w:w="1023" w:type="dxa"/>
          </w:tcPr>
          <w:p>
            <w:pPr/>
            <w:r>
              <w:t xml:space="preserve">Agreed</w:t>
            </w:r>
          </w:p>
        </w:tc>
      </w:tr>
      <w:tr>
        <w:tc>
          <w:tcPr>
            <w:tcW w:w="3238" w:type="dxa"/>
          </w:tcPr>
          <w:p>
            <w:pPr/>
            <w:r>
              <w:t xml:space="preserve">Article types</w:t>
            </w:r>
          </w:p>
        </w:tc>
        <w:tc>
          <w:tcPr>
            <w:tcW w:w="5097" w:type="dxa"/>
          </w:tcPr>
          <w:p>
            <w:pPr/>
            <w:r>
              <w:t xml:space="preserve">Nine typed templates sharing one common header</w:t>
            </w:r>
          </w:p>
        </w:tc>
        <w:tc>
          <w:tcPr>
            <w:tcW w:w="1023" w:type="dxa"/>
          </w:tcPr>
          <w:p>
            <w:pPr/>
            <w:r>
              <w:t xml:space="preserve">Agreed</w:t>
            </w:r>
          </w:p>
        </w:tc>
      </w:tr>
      <w:tr>
        <w:tc>
          <w:tcPr>
            <w:tcW w:w="3238" w:type="dxa"/>
          </w:tcPr>
          <w:p>
            <w:pPr/>
            <w:r>
              <w:t xml:space="preserve">Article size</w:t>
            </w:r>
          </w:p>
        </w:tc>
        <w:tc>
          <w:tcPr>
            <w:tcW w:w="5097" w:type="dxa"/>
          </w:tcPr>
          <w:p>
            <w:pPr/>
            <w:r>
              <w:t xml:space="preserve">One task or concept per article, 5 to 10 minute read, linked by hub pages</w:t>
            </w:r>
          </w:p>
        </w:tc>
        <w:tc>
          <w:tcPr>
            <w:tcW w:w="1023" w:type="dxa"/>
          </w:tcPr>
          <w:p>
            <w:pPr/>
            <w:r>
              <w:t xml:space="preserve">Agreed</w:t>
            </w:r>
          </w:p>
        </w:tc>
      </w:tr>
      <w:tr>
        <w:tc>
          <w:tcPr>
            <w:tcW w:w="3238" w:type="dxa"/>
          </w:tcPr>
          <w:p>
            <w:pPr/>
            <w:r>
              <w:t xml:space="preserve">Templates in Quip</w:t>
            </w:r>
          </w:p>
        </w:tc>
        <w:tc>
          <w:tcPr>
            <w:tcW w:w="5097" w:type="dxa"/>
          </w:tcPr>
          <w:p>
            <w:pPr/>
            <w:r>
              <w:t xml:space="preserve">A master doc per type; writers duplicate it</w:t>
            </w:r>
          </w:p>
        </w:tc>
        <w:tc>
          <w:tcPr>
            <w:tcW w:w="1023" w:type="dxa"/>
          </w:tcPr>
          <w:p>
            <w:pPr/>
            <w:r>
              <w:t xml:space="preserve">Agreed</w:t>
            </w:r>
          </w:p>
        </w:tc>
      </w:tr>
      <w:tr>
        <w:tc>
          <w:tcPr>
            <w:tcW w:w="3238" w:type="dxa"/>
          </w:tcPr>
          <w:p>
            <w:pPr/>
            <w:r>
              <w:t xml:space="preserve">LMS module design</w:t>
            </w:r>
          </w:p>
        </w:tc>
        <w:tc>
          <w:tcPr>
            <w:tcW w:w="5097" w:type="dxa"/>
          </w:tcPr>
          <w:p>
            <w:pPr/>
            <w:r>
              <w:t xml:space="preserve">Scenario first, then guided reading into specific Quip sections</w:t>
            </w:r>
          </w:p>
        </w:tc>
        <w:tc>
          <w:tcPr>
            <w:tcW w:w="1023" w:type="dxa"/>
          </w:tcPr>
          <w:p>
            <w:pPr/>
            <w:r>
              <w:t xml:space="preserve">Agreed</w:t>
            </w:r>
          </w:p>
        </w:tc>
      </w:tr>
      <w:tr>
        <w:tc>
          <w:tcPr>
            <w:tcW w:w="3238" w:type="dxa"/>
          </w:tcPr>
          <w:p>
            <w:pPr/>
            <w:r>
              <w:t xml:space="preserve">LMS structure</w:t>
            </w:r>
          </w:p>
        </w:tc>
        <w:tc>
          <w:tcPr>
            <w:tcW w:w="5097" w:type="dxa"/>
          </w:tcPr>
          <w:p>
            <w:pPr/>
            <w:r>
              <w:t xml:space="preserve">One module per curriculum topic, grouped into a learning path per week</w:t>
            </w:r>
          </w:p>
        </w:tc>
        <w:tc>
          <w:tcPr>
            <w:tcW w:w="1023" w:type="dxa"/>
          </w:tcPr>
          <w:p>
            <w:pPr/>
            <w:r>
              <w:t xml:space="preserve">Agreed</w:t>
            </w:r>
          </w:p>
        </w:tc>
      </w:tr>
      <w:tr>
        <w:tc>
          <w:tcPr>
            <w:tcW w:w="3238" w:type="dxa"/>
          </w:tcPr>
          <w:p>
            <w:pPr/>
            <w:r>
              <w:t xml:space="preserve">Read tracking</w:t>
            </w:r>
          </w:p>
        </w:tc>
        <w:tc>
          <w:tcPr>
            <w:tcW w:w="5097" w:type="dxa"/>
          </w:tcPr>
          <w:p>
            <w:pPr/>
            <w:r>
              <w:t xml:space="preserve">A comprehension check per module. No acknowledgment checkbox.</w:t>
            </w:r>
          </w:p>
        </w:tc>
        <w:tc>
          <w:tcPr>
            <w:tcW w:w="1023" w:type="dxa"/>
          </w:tcPr>
          <w:p>
            <w:pPr/>
            <w:r>
              <w:t xml:space="preserve">Agreed</w:t>
            </w:r>
          </w:p>
        </w:tc>
      </w:tr>
      <w:tr>
        <w:tc>
          <w:tcPr>
            <w:tcW w:w="3238" w:type="dxa"/>
          </w:tcPr>
          <w:p>
            <w:pPr/>
            <w:r>
              <w:t xml:space="preserve">Question types</w:t>
            </w:r>
          </w:p>
        </w:tc>
        <w:tc>
          <w:tcPr>
            <w:tcW w:w="5097" w:type="dxa"/>
          </w:tcPr>
          <w:p>
            <w:pPr/>
            <w:r>
              <w:t xml:space="preserve">MCQ and scenario-based</w:t>
            </w:r>
          </w:p>
        </w:tc>
        <w:tc>
          <w:tcPr>
            <w:tcW w:w="1023" w:type="dxa"/>
          </w:tcPr>
          <w:p>
            <w:pPr/>
            <w:r>
              <w:t xml:space="preserve">Agreed</w:t>
            </w:r>
          </w:p>
        </w:tc>
      </w:tr>
      <w:tr>
        <w:tc>
          <w:tcPr>
            <w:tcW w:w="3238" w:type="dxa"/>
          </w:tcPr>
          <w:p>
            <w:pPr/>
            <w:r>
              <w:t xml:space="preserve">Question bank</w:t>
            </w:r>
          </w:p>
        </w:tc>
        <w:tc>
          <w:tcPr>
            <w:tcW w:w="5097" w:type="dxa"/>
          </w:tcPr>
          <w:p>
            <w:pPr/>
            <w:r>
              <w:t xml:space="preserve">Lives in the LMS. Every question tagged to the Quip section it tests.</w:t>
            </w:r>
          </w:p>
        </w:tc>
        <w:tc>
          <w:tcPr>
            <w:tcW w:w="1023" w:type="dxa"/>
          </w:tcPr>
          <w:p>
            <w:pPr/>
            <w:r>
              <w:t xml:space="preserve">Agreed</w:t>
            </w:r>
          </w:p>
        </w:tc>
      </w:tr>
      <w:tr>
        <w:tc>
          <w:tcPr>
            <w:tcW w:w="3238" w:type="dxa"/>
          </w:tcPr>
          <w:p>
            <w:pPr/>
            <w:r>
              <w:t xml:space="preserve">Assessments</w:t>
            </w:r>
          </w:p>
        </w:tc>
        <w:tc>
          <w:tcPr>
            <w:tcW w:w="5097" w:type="dxa"/>
          </w:tcPr>
          <w:p>
            <w:pPr/>
            <w:r>
              <w:t xml:space="preserve">Module checks plus the Day 10 and Day 15 assessments, all in the LMS</w:t>
            </w:r>
          </w:p>
        </w:tc>
        <w:tc>
          <w:tcPr>
            <w:tcW w:w="1023" w:type="dxa"/>
          </w:tcPr>
          <w:p>
            <w:pPr/>
            <w:r>
              <w:t xml:space="preserve">Agreed</w:t>
            </w:r>
          </w:p>
        </w:tc>
      </w:tr>
      <w:tr>
        <w:tc>
          <w:tcPr>
            <w:tcW w:w="3238" w:type="dxa"/>
          </w:tcPr>
          <w:p>
            <w:pPr/>
            <w:r>
              <w:t xml:space="preserve">Trainer notes and activities</w:t>
            </w:r>
          </w:p>
        </w:tc>
        <w:tc>
          <w:tcPr>
            <w:tcW w:w="5097" w:type="dxa"/>
          </w:tcPr>
          <w:p>
            <w:pPr/>
            <w:r>
              <w:t xml:space="preserve">In Quip, inside the restricted Training Kit folder</w:t>
            </w:r>
          </w:p>
        </w:tc>
        <w:tc>
          <w:tcPr>
            <w:tcW w:w="1023" w:type="dxa"/>
          </w:tcPr>
          <w:p>
            <w:pPr/>
            <w:r>
              <w:t xml:space="preserve">Agreed</w:t>
            </w:r>
          </w:p>
        </w:tc>
      </w:tr>
      <w:tr>
        <w:tc>
          <w:tcPr>
            <w:tcW w:w="3238" w:type="dxa"/>
          </w:tcPr>
          <w:p>
            <w:pPr/>
            <w:r>
              <w:t xml:space="preserve">Video</w:t>
            </w:r>
          </w:p>
        </w:tc>
        <w:tc>
          <w:tcPr>
            <w:tcW w:w="5097" w:type="dxa"/>
          </w:tcPr>
          <w:p>
            <w:pPr/>
            <w:r>
              <w:t xml:space="preserve">Hosted in Grove, linked or embedded from Quip</w:t>
            </w:r>
          </w:p>
        </w:tc>
        <w:tc>
          <w:tcPr>
            <w:tcW w:w="1023" w:type="dxa"/>
          </w:tcPr>
          <w:p>
            <w:pPr/>
            <w:r>
              <w:t xml:space="preserve">Agreed</w:t>
            </w:r>
          </w:p>
        </w:tc>
      </w:tr>
      <w:tr>
        <w:tc>
          <w:tcPr>
            <w:tcW w:w="3238" w:type="dxa"/>
          </w:tcPr>
          <w:p>
            <w:pPr/>
            <w:r>
              <w:t xml:space="preserve">Change log</w:t>
            </w:r>
          </w:p>
        </w:tc>
        <w:tc>
          <w:tcPr>
            <w:tcW w:w="5097" w:type="dxa"/>
          </w:tcPr>
          <w:p>
            <w:pPr/>
            <w:r>
              <w:t xml:space="preserve">Per-article log plus one central "What's new" doc, with a banner on changed articles</w:t>
            </w:r>
          </w:p>
        </w:tc>
        <w:tc>
          <w:tcPr>
            <w:tcW w:w="1023" w:type="dxa"/>
          </w:tcPr>
          <w:p>
            <w:pPr/>
            <w:r>
              <w:t xml:space="preserve">Agreed</w:t>
            </w:r>
          </w:p>
        </w:tc>
      </w:tr>
      <w:tr>
        <w:tc>
          <w:tcPr>
            <w:tcW w:w="3238" w:type="dxa"/>
          </w:tcPr>
          <w:p>
            <w:pPr/>
            <w:r>
              <w:t xml:space="preserve">Approval</w:t>
            </w:r>
          </w:p>
        </w:tc>
        <w:tc>
          <w:tcPr>
            <w:tcW w:w="5097" w:type="dxa"/>
          </w:tcPr>
          <w:p>
            <w:pPr/>
            <w:r>
              <w:t xml:space="preserve">Training team writes; SME or Ops lead checks and approves</w:t>
            </w:r>
          </w:p>
        </w:tc>
        <w:tc>
          <w:tcPr>
            <w:tcW w:w="1023" w:type="dxa"/>
          </w:tcPr>
          <w:p>
            <w:pPr/>
            <w:r>
              <w:t xml:space="preserve">Agreed</w:t>
            </w:r>
          </w:p>
        </w:tc>
      </w:tr>
      <w:tr>
        <w:tc>
          <w:tcPr>
            <w:tcW w:w="3238" w:type="dxa"/>
          </w:tcPr>
          <w:p>
            <w:pPr/>
            <w:r>
              <w:t xml:space="preserve">Ownership after handover</w:t>
            </w:r>
          </w:p>
        </w:tc>
        <w:tc>
          <w:tcPr>
            <w:tcW w:w="5097" w:type="dxa"/>
          </w:tcPr>
          <w:p>
            <w:pPr/>
            <w:r>
              <w:t xml:space="preserve">SME or Ops lead</w:t>
            </w:r>
          </w:p>
        </w:tc>
        <w:tc>
          <w:tcPr>
            <w:tcW w:w="1023" w:type="dxa"/>
          </w:tcPr>
          <w:p>
            <w:pPr/>
            <w:r>
              <w:t xml:space="preserve">Agreed</w:t>
            </w:r>
          </w:p>
        </w:tc>
      </w:tr>
      <w:tr>
        <w:tc>
          <w:tcPr>
            <w:tcW w:w="3238" w:type="dxa"/>
          </w:tcPr>
          <w:p>
            <w:pPr/>
            <w:r>
              <w:t xml:space="preserve">Legacy articles</w:t>
            </w:r>
          </w:p>
        </w:tc>
        <w:tc>
          <w:tcPr>
            <w:tcW w:w="5097" w:type="dxa"/>
          </w:tcPr>
          <w:p>
            <w:pPr/>
            <w:r>
              <w:t xml:space="preserve">Triage each as keep, merge or retire</w:t>
            </w:r>
          </w:p>
        </w:tc>
        <w:tc>
          <w:tcPr>
            <w:tcW w:w="1023" w:type="dxa"/>
          </w:tcPr>
          <w:p>
            <w:pPr/>
            <w:r>
              <w:t xml:space="preserve">Agreed</w:t>
            </w:r>
          </w:p>
        </w:tc>
      </w:tr>
      <w:tr>
        <w:tc>
          <w:tcPr>
            <w:tcW w:w="3238" w:type="dxa"/>
          </w:tcPr>
          <w:p>
            <w:pPr/>
            <w:r>
              <w:t xml:space="preserve">ID conventions</w:t>
            </w:r>
          </w:p>
        </w:tc>
        <w:tc>
          <w:tcPr>
            <w:tcW w:w="5097" w:type="dxa"/>
          </w:tcPr>
          <w:p>
            <w:pPr/>
            <w:r>
              <w:t xml:space="preserve">KA, module and question IDs as in section 4</w:t>
            </w:r>
          </w:p>
        </w:tc>
        <w:tc>
          <w:tcPr>
            <w:tcW w:w="1023" w:type="dxa"/>
          </w:tcPr>
          <w:p>
            <w:pPr/>
            <w:r>
              <w:t xml:space="preserve">Default</w:t>
            </w:r>
          </w:p>
        </w:tc>
      </w:tr>
      <w:tr>
        <w:tc>
          <w:tcPr>
            <w:tcW w:w="3238" w:type="dxa"/>
          </w:tcPr>
          <w:p>
            <w:pPr/>
            <w:r>
              <w:t xml:space="preserve">Media rules</w:t>
            </w:r>
          </w:p>
        </w:tc>
        <w:tc>
          <w:tcPr>
            <w:tcW w:w="5097" w:type="dxa"/>
          </w:tcPr>
          <w:p>
            <w:pPr/>
            <w:r>
              <w:t xml:space="preserve">As in section 9</w:t>
            </w:r>
          </w:p>
        </w:tc>
        <w:tc>
          <w:tcPr>
            <w:tcW w:w="1023" w:type="dxa"/>
          </w:tcPr>
          <w:p>
            <w:pPr/>
            <w:r>
              <w:t xml:space="preserve">Default</w:t>
            </w:r>
          </w:p>
        </w:tc>
      </w:tr>
      <w:tr>
        <w:tc>
          <w:tcPr>
            <w:tcW w:w="3238" w:type="dxa"/>
          </w:tcPr>
          <w:p>
            <w:pPr/>
            <w:r>
              <w:t xml:space="preserve">Question durability rules</w:t>
            </w:r>
          </w:p>
        </w:tc>
        <w:tc>
          <w:tcPr>
            <w:tcW w:w="5097" w:type="dxa"/>
          </w:tcPr>
          <w:p>
            <w:pPr/>
            <w:r>
              <w:t xml:space="preserve">As in section 8</w:t>
            </w:r>
          </w:p>
        </w:tc>
        <w:tc>
          <w:tcPr>
            <w:tcW w:w="1023" w:type="dxa"/>
          </w:tcPr>
          <w:p>
            <w:pPr/>
            <w:r>
              <w:t xml:space="preserve">Default</w:t>
            </w:r>
          </w:p>
        </w:tc>
      </w:tr>
    </w:tbl>
    <w:p>
      <w:pPr>
        <w:pStyle w:val="Heading2"/>
      </w:pPr>
      <w:r>
        <w:t xml:space="preserve">2. The content split rule</w:t>
      </w:r>
    </w:p>
    <w:p>
      <w:pPr/>
      <w:r>
        <w:t xml:space="preserve">Apply one test to every sentence before it goes into the LMS: </w:t>
      </w:r>
      <w:r>
        <w:rPr>
          <w:b/>
        </w:rPr>
        <w:t xml:space="preserve">if the process changed tomorrow, would this sentence become wrong?</w:t>
      </w:r>
      <w:r>
        <w:t xml:space="preserve"> If yes, it belongs in Quip, and the LMS links to it.</w:t>
      </w:r>
    </w:p>
    <w:tbl>
      <w:tblPr>
        <w:tblStyle w:val="TableGrid"/>
        <w:tblW w:w="0" w:type="auto"/>
        <w:tblLayout w:type="fixed"/>
        <w:tblLook w:val="04A0" w:firstRow="1" w:lastRow="0" w:firstColumn="0" w:lastColumn="0" w:noHBand="0" w:noVBand="1"/>
      </w:tblPr>
      <w:tblGrid>
        <w:gridCol w:w="4705"/>
        <w:gridCol w:w="4655"/>
      </w:tblGrid>
      <w:tr>
        <w:trPr>
          <w:tblHeader/>
        </w:trPr>
        <w:tc>
          <w:tcPr>
            <w:tcW w:w="4705" w:type="dxa"/>
            <w:shd w:val="clear" w:color="auto" w:fill="F2F2F2"/>
          </w:tcPr>
          <w:p>
            <w:pPr/>
            <w:r>
              <w:t xml:space="preserve">Goes in the LMS</w:t>
            </w:r>
          </w:p>
        </w:tc>
        <w:tc>
          <w:tcPr>
            <w:tcW w:w="4655" w:type="dxa"/>
            <w:shd w:val="clear" w:color="auto" w:fill="F2F2F2"/>
          </w:tcPr>
          <w:p>
            <w:pPr/>
            <w:r>
              <w:t xml:space="preserve">Goes in Quip only</w:t>
            </w:r>
          </w:p>
        </w:tc>
      </w:tr>
      <w:tr>
        <w:tc>
          <w:tcPr>
            <w:tcW w:w="4705" w:type="dxa"/>
          </w:tcPr>
          <w:p>
            <w:pPr/>
            <w:r>
              <w:t xml:space="preserve">Why the topic matters, told through a real case</w:t>
            </w:r>
          </w:p>
        </w:tc>
        <w:tc>
          <w:tcPr>
            <w:tcW w:w="4655" w:type="dxa"/>
          </w:tcPr>
          <w:p>
            <w:pPr/>
            <w:r>
              <w:t xml:space="preserve">Process steps and SOP sequences</w:t>
            </w:r>
          </w:p>
        </w:tc>
      </w:tr>
      <w:tr>
        <w:tc>
          <w:tcPr>
            <w:tcW w:w="4705" w:type="dxa"/>
          </w:tcPr>
          <w:p>
            <w:pPr/>
            <w:r>
              <w:t xml:space="preserve">Learning objectives</w:t>
            </w:r>
          </w:p>
        </w:tc>
        <w:tc>
          <w:tcPr>
            <w:tcW w:w="4655" w:type="dxa"/>
          </w:tcPr>
          <w:p>
            <w:pPr/>
            <w:r>
              <w:t xml:space="preserve">Thresholds, SLAs, counts, rule values</w:t>
            </w:r>
          </w:p>
        </w:tc>
      </w:tr>
      <w:tr>
        <w:tc>
          <w:tcPr>
            <w:tcW w:w="4705" w:type="dxa"/>
          </w:tcPr>
          <w:p>
            <w:pPr/>
            <w:r>
              <w:t xml:space="preserve">Stable concepts (what spoofing or a phishing campaign is)</w:t>
            </w:r>
          </w:p>
        </w:tc>
        <w:tc>
          <w:tcPr>
            <w:tcW w:w="4655" w:type="dxa"/>
          </w:tcPr>
          <w:p>
            <w:pPr/>
            <w:r>
              <w:t xml:space="preserve">Decision criteria and escalation paths</w:t>
            </w:r>
          </w:p>
        </w:tc>
      </w:tr>
      <w:tr>
        <w:tc>
          <w:tcPr>
            <w:tcW w:w="4705" w:type="dxa"/>
          </w:tcPr>
          <w:p>
            <w:pPr/>
            <w:r>
              <w:t xml:space="preserve">Where the topic sits in the analyst's day</w:t>
            </w:r>
          </w:p>
        </w:tc>
        <w:tc>
          <w:tcPr>
            <w:tcW w:w="4655" w:type="dxa"/>
          </w:tcPr>
          <w:p>
            <w:pPr/>
            <w:r>
              <w:t xml:space="preserve">Tool screenshots, field names, UI labels</w:t>
            </w:r>
          </w:p>
        </w:tc>
      </w:tr>
      <w:tr>
        <w:tc>
          <w:tcPr>
            <w:tcW w:w="4705" w:type="dxa"/>
          </w:tcPr>
          <w:p>
            <w:pPr/>
            <w:r>
              <w:t xml:space="preserve">Links to specific Quip sections</w:t>
            </w:r>
          </w:p>
        </w:tc>
        <w:tc>
          <w:tcPr>
            <w:tcW w:w="4655" w:type="dxa"/>
          </w:tcPr>
          <w:p>
            <w:pPr/>
            <w:r>
              <w:t xml:space="preserve">Templates, macros, canned responses</w:t>
            </w:r>
          </w:p>
        </w:tc>
      </w:tr>
      <w:tr>
        <w:tc>
          <w:tcPr>
            <w:tcW w:w="4705" w:type="dxa"/>
          </w:tcPr>
          <w:p>
            <w:pPr/>
            <w:r>
              <w:t xml:space="preserve">Scenarios, knowledge checks, assessments</w:t>
            </w:r>
          </w:p>
        </w:tc>
        <w:tc>
          <w:tcPr>
            <w:tcW w:w="4655" w:type="dxa"/>
          </w:tcPr>
          <w:p>
            <w:pPr/>
            <w:r>
              <w:t xml:space="preserve">Examples of real cases and their outcomes</w:t>
            </w:r>
          </w:p>
        </w:tc>
      </w:tr>
      <w:tr>
        <w:tc>
          <w:tcPr>
            <w:tcW w:w="4705" w:type="dxa"/>
          </w:tcPr>
          <w:p>
            <w:pPr/>
            <w:r>
              <w:t xml:space="preserve">Generic illustrations that never show a tool</w:t>
            </w:r>
          </w:p>
        </w:tc>
        <w:tc>
          <w:tcPr>
            <w:tcW w:w="4655" w:type="dxa"/>
          </w:tcPr>
          <w:p>
            <w:pPr/>
            <w:r>
              <w:t xml:space="preserve">Trainer notes and hands-on activity instructions</w:t>
            </w:r>
          </w:p>
        </w:tc>
      </w:tr>
    </w:tbl>
    <w:p>
      <w:pPr>
        <w:pStyle w:val="Heading3"/>
      </w:pPr>
      <w:r>
        <w:t xml:space="preserve">Worked examples of the test</w:t>
      </w:r>
    </w:p>
    <w:tbl>
      <w:tblPr>
        <w:tblStyle w:val="TableGrid"/>
        <w:tblW w:w="0" w:type="auto"/>
        <w:tblLayout w:type="fixed"/>
        <w:tblLook w:val="04A0" w:firstRow="1" w:lastRow="0" w:firstColumn="0" w:lastColumn="0" w:noHBand="0" w:noVBand="1"/>
      </w:tblPr>
      <w:tblGrid>
        <w:gridCol w:w="4849"/>
        <w:gridCol w:w="1669"/>
        <w:gridCol w:w="2841"/>
      </w:tblGrid>
      <w:tr>
        <w:trPr>
          <w:tblHeader/>
        </w:trPr>
        <w:tc>
          <w:tcPr>
            <w:tcW w:w="4849" w:type="dxa"/>
            <w:shd w:val="clear" w:color="auto" w:fill="F2F2F2"/>
          </w:tcPr>
          <w:p>
            <w:pPr/>
            <w:r>
              <w:t xml:space="preserve">Sentence a writer might draft</w:t>
            </w:r>
          </w:p>
        </w:tc>
        <w:tc>
          <w:tcPr>
            <w:tcW w:w="1669" w:type="dxa"/>
            <w:shd w:val="clear" w:color="auto" w:fill="F2F2F2"/>
          </w:tcPr>
          <w:p>
            <w:pPr/>
            <w:r>
              <w:t xml:space="preserve">Where it goes</w:t>
            </w:r>
          </w:p>
        </w:tc>
        <w:tc>
          <w:tcPr>
            <w:tcW w:w="2841" w:type="dxa"/>
            <w:shd w:val="clear" w:color="auto" w:fill="F2F2F2"/>
          </w:tcPr>
          <w:p>
            <w:pPr/>
            <w:r>
              <w:t xml:space="preserve">Why</w:t>
            </w:r>
          </w:p>
        </w:tc>
      </w:tr>
      <w:tr>
        <w:tc>
          <w:tcPr>
            <w:tcW w:w="4849" w:type="dxa"/>
          </w:tcPr>
          <w:p>
            <w:pPr/>
            <w:r>
              <w:t xml:space="preserve">"Hide My Email lets a user receive mail without sharing their real address."</w:t>
            </w:r>
          </w:p>
        </w:tc>
        <w:tc>
          <w:tcPr>
            <w:tcW w:w="1669" w:type="dxa"/>
          </w:tcPr>
          <w:p>
            <w:pPr/>
            <w:r>
              <w:t xml:space="preserve">LMS or Quip</w:t>
            </w:r>
          </w:p>
        </w:tc>
        <w:tc>
          <w:tcPr>
            <w:tcW w:w="2841" w:type="dxa"/>
          </w:tcPr>
          <w:p>
            <w:pPr/>
            <w:r>
              <w:t xml:space="preserve">A stable concept. It can go in the LMS hook.</w:t>
            </w:r>
          </w:p>
        </w:tc>
      </w:tr>
      <w:tr>
        <w:tc>
          <w:tcPr>
            <w:tcW w:w="4849" w:type="dxa"/>
          </w:tcPr>
          <w:p>
            <w:pPr/>
            <w:r>
              <w:t xml:space="preserve">"Block a Hide My Email alias after 3 confirmed abuse reports."</w:t>
            </w:r>
          </w:p>
        </w:tc>
        <w:tc>
          <w:tcPr>
            <w:tcW w:w="1669" w:type="dxa"/>
          </w:tcPr>
          <w:p>
            <w:pPr/>
            <w:r>
              <w:t xml:space="preserve">Quip only</w:t>
            </w:r>
          </w:p>
        </w:tc>
        <w:tc>
          <w:tcPr>
            <w:tcW w:w="2841" w:type="dxa"/>
          </w:tcPr>
          <w:p>
            <w:pPr/>
            <w:r>
              <w:t xml:space="preserve">The number and the action can change.</w:t>
            </w:r>
          </w:p>
        </w:tc>
      </w:tr>
      <w:tr>
        <w:tc>
          <w:tcPr>
            <w:tcW w:w="4849" w:type="dxa"/>
          </w:tcPr>
          <w:p>
            <w:pPr/>
            <w:r>
              <w:t xml:space="preserve">"Heimdall is where you read and write mail classification rules."</w:t>
            </w:r>
          </w:p>
        </w:tc>
        <w:tc>
          <w:tcPr>
            <w:tcW w:w="1669" w:type="dxa"/>
          </w:tcPr>
          <w:p>
            <w:pPr/>
            <w:r>
              <w:t xml:space="preserve">LMS or Quip</w:t>
            </w:r>
          </w:p>
        </w:tc>
        <w:tc>
          <w:tcPr>
            <w:tcW w:w="2841" w:type="dxa"/>
          </w:tcPr>
          <w:p>
            <w:pPr/>
            <w:r>
              <w:t xml:space="preserve">Describes the tool's purpose, which rarely changes.</w:t>
            </w:r>
          </w:p>
        </w:tc>
      </w:tr>
      <w:tr>
        <w:tc>
          <w:tcPr>
            <w:tcW w:w="4849" w:type="dxa"/>
          </w:tcPr>
          <w:p>
            <w:pPr/>
            <w:r>
              <w:t xml:space="preserve">"Click Rules, then New Rule, then set Scope to Campaign."</w:t>
            </w:r>
          </w:p>
        </w:tc>
        <w:tc>
          <w:tcPr>
            <w:tcW w:w="1669" w:type="dxa"/>
          </w:tcPr>
          <w:p>
            <w:pPr/>
            <w:r>
              <w:t xml:space="preserve">Quip only</w:t>
            </w:r>
          </w:p>
        </w:tc>
        <w:tc>
          <w:tcPr>
            <w:tcW w:w="2841" w:type="dxa"/>
          </w:tcPr>
          <w:p>
            <w:pPr/>
            <w:r>
              <w:t xml:space="preserve">UI steps change with every tool release.</w:t>
            </w:r>
          </w:p>
        </w:tc>
      </w:tr>
      <w:tr>
        <w:tc>
          <w:tcPr>
            <w:tcW w:w="4849" w:type="dxa"/>
          </w:tcPr>
          <w:p>
            <w:pPr/>
            <w:r>
              <w:t xml:space="preserve">"Escalate to the Postmaster queue if the sender is a known bulk provider."</w:t>
            </w:r>
          </w:p>
        </w:tc>
        <w:tc>
          <w:tcPr>
            <w:tcW w:w="1669" w:type="dxa"/>
          </w:tcPr>
          <w:p>
            <w:pPr/>
            <w:r>
              <w:t xml:space="preserve">Quip only</w:t>
            </w:r>
          </w:p>
        </w:tc>
        <w:tc>
          <w:tcPr>
            <w:tcW w:w="2841" w:type="dxa"/>
          </w:tcPr>
          <w:p>
            <w:pPr/>
            <w:r>
              <w:t xml:space="preserve">An escalation path is process.</w:t>
            </w:r>
          </w:p>
        </w:tc>
      </w:tr>
    </w:tbl>
    <w:p>
      <w:pPr>
        <w:pStyle w:val="Heading3"/>
      </w:pPr>
      <w:r>
        <w:t xml:space="preserve">What the LMS may say about process</w:t>
      </w:r>
    </w:p>
    <w:p>
      <w:pPr/>
      <w:r>
        <w:t xml:space="preserve">The LMS may name a process and say why it exists. It must not say how to do it. When a module needs the learner to know how, it sends them to the Quip section with a reading task, then checks understanding with a question.</w:t>
      </w:r>
    </w:p>
    <w:p>
      <w:pPr/>
      <w:r>
        <w:t xml:space="preserve">When in doubt, link instead of writing.</w:t>
      </w:r>
    </w:p>
    <w:p>
      <w:pPr>
        <w:pStyle w:val="Heading2"/>
      </w:pPr>
      <w:r>
        <w:t xml:space="preserve">3. Quip folder structure</w:t>
      </w:r>
    </w:p>
    <w:p>
      <w:pPr/>
      <w:r>
        <w:t xml:space="preserve">Content is filed by the work an analyst does, not by training day. An analyst in production looks for "how do I handle this outbound case," not "what was on Day 12." The Training Kit folder maps the curriculum onto those same articles.</w:t>
      </w:r>
    </w:p>
    <w:p>
      <w:pPr/>
      <w:r>
        <w:t xml:space="preserve">The table below is the folder tree, in the order it appears in Quip.</w:t>
      </w:r>
    </w:p>
    <w:p>
      <w:pPr>
        <w:pStyle w:val="Heading3"/>
      </w:pPr>
      <w:r>
        <w:t xml:space="preserve">Folders and access</w:t>
      </w:r>
    </w:p>
    <w:tbl>
      <w:tblPr>
        <w:tblStyle w:val="TableGrid"/>
        <w:tblW w:w="0" w:type="auto"/>
        <w:tblLayout w:type="fixed"/>
        <w:tblLook w:val="04A0" w:firstRow="1" w:lastRow="0" w:firstColumn="0" w:lastColumn="0" w:noHBand="0" w:noVBand="1"/>
      </w:tblPr>
      <w:tblGrid>
        <w:gridCol w:w="1819"/>
        <w:gridCol w:w="4061"/>
        <w:gridCol w:w="1365"/>
        <w:gridCol w:w="2115"/>
      </w:tblGrid>
      <w:tr>
        <w:trPr>
          <w:tblHeader/>
        </w:trPr>
        <w:tc>
          <w:tcPr>
            <w:tcW w:w="1819" w:type="dxa"/>
            <w:shd w:val="clear" w:color="auto" w:fill="F2F2F2"/>
          </w:tcPr>
          <w:p>
            <w:pPr/>
            <w:r>
              <w:t xml:space="preserve">Folder</w:t>
            </w:r>
          </w:p>
        </w:tc>
        <w:tc>
          <w:tcPr>
            <w:tcW w:w="4061" w:type="dxa"/>
            <w:shd w:val="clear" w:color="auto" w:fill="F2F2F2"/>
          </w:tcPr>
          <w:p>
            <w:pPr/>
            <w:r>
              <w:t xml:space="preserve">Holds</w:t>
            </w:r>
          </w:p>
        </w:tc>
        <w:tc>
          <w:tcPr>
            <w:tcW w:w="1365" w:type="dxa"/>
            <w:shd w:val="clear" w:color="auto" w:fill="F2F2F2"/>
          </w:tcPr>
          <w:p>
            <w:pPr/>
            <w:r>
              <w:t xml:space="preserve">Who can view</w:t>
            </w:r>
          </w:p>
        </w:tc>
        <w:tc>
          <w:tcPr>
            <w:tcW w:w="2115" w:type="dxa"/>
            <w:shd w:val="clear" w:color="auto" w:fill="F2F2F2"/>
          </w:tcPr>
          <w:p>
            <w:pPr/>
            <w:r>
              <w:t xml:space="preserve">Who can edit</w:t>
            </w:r>
          </w:p>
        </w:tc>
      </w:tr>
      <w:tr>
        <w:tc>
          <w:tcPr>
            <w:tcW w:w="1819" w:type="dxa"/>
          </w:tcPr>
          <w:p>
            <w:pPr/>
            <w:r>
              <w:t xml:space="preserve">00 Start Here</w:t>
            </w:r>
          </w:p>
        </w:tc>
        <w:tc>
          <w:tcPr>
            <w:tcW w:w="4061" w:type="dxa"/>
          </w:tcPr>
          <w:p>
            <w:pPr/>
            <w:r>
              <w:t xml:space="preserve">Mail OPS home hub, What's new change log, Glossary</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01 Foundations</w:t>
            </w:r>
          </w:p>
        </w:tc>
        <w:tc>
          <w:tcPr>
            <w:tcW w:w="4061" w:type="dxa"/>
          </w:tcPr>
          <w:p>
            <w:pPr/>
            <w:r>
              <w:t xml:space="preserve">Concept articles: mission, privacy, iCloud and iCloud+, mail architecture, milter chain</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02 Tools</w:t>
            </w:r>
          </w:p>
        </w:tc>
        <w:tc>
          <w:tcPr>
            <w:tcW w:w="4061" w:type="dxa"/>
          </w:tcPr>
          <w:p>
            <w:pPr/>
            <w:r>
              <w:t xml:space="preserve">One Tool Guide per tool (Heimdall, Splunk and the others in the curriculum)</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03 Inbound</w:t>
            </w:r>
          </w:p>
        </w:tc>
        <w:tc>
          <w:tcPr>
            <w:tcW w:w="4061" w:type="dxa"/>
          </w:tcPr>
          <w:p>
            <w:pPr/>
            <w:r>
              <w:t xml:space="preserve">Workflows and Decision Guides for inbound abuse</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04 Outbound</w:t>
            </w:r>
          </w:p>
        </w:tc>
        <w:tc>
          <w:tcPr>
            <w:tcW w:w="4061" w:type="dxa"/>
          </w:tcPr>
          <w:p>
            <w:pPr/>
            <w:r>
              <w:t xml:space="preserve">Workflows and Decision Guides for outbound abuse, account actions, campaigns</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05 Postmaster</w:t>
            </w:r>
          </w:p>
        </w:tc>
        <w:tc>
          <w:tcPr>
            <w:tcW w:w="4061" w:type="dxa"/>
          </w:tcPr>
          <w:p>
            <w:pPr/>
            <w:r>
              <w:t xml:space="preserve">Postmaster workflows and playbooks</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06 Playbooks</w:t>
            </w:r>
          </w:p>
        </w:tc>
        <w:tc>
          <w:tcPr>
            <w:tcW w:w="4061" w:type="dxa"/>
          </w:tcPr>
          <w:p>
            <w:pPr/>
            <w:r>
              <w:t xml:space="preserve">Incident playbooks such as spam spikes</w:t>
            </w:r>
          </w:p>
        </w:tc>
        <w:tc>
          <w:tcPr>
            <w:tcW w:w="1365" w:type="dxa"/>
          </w:tcPr>
          <w:p>
            <w:pPr/>
            <w:r>
              <w:t xml:space="preserve">All Mail OPS</w:t>
            </w:r>
          </w:p>
        </w:tc>
        <w:tc>
          <w:tcPr>
            <w:tcW w:w="2115" w:type="dxa"/>
          </w:tcPr>
          <w:p>
            <w:pPr/>
            <w:r>
              <w:t xml:space="preserve">Training team, SME, Ops lead</w:t>
            </w:r>
          </w:p>
        </w:tc>
      </w:tr>
      <w:tr>
        <w:tc>
          <w:tcPr>
            <w:tcW w:w="1819" w:type="dxa"/>
          </w:tcPr>
          <w:p>
            <w:pPr/>
            <w:r>
              <w:t xml:space="preserve">90 Training Kit</w:t>
            </w:r>
          </w:p>
        </w:tc>
        <w:tc>
          <w:tcPr>
            <w:tcW w:w="4061" w:type="dxa"/>
          </w:tcPr>
          <w:p>
            <w:pPr/>
            <w:r>
              <w:t xml:space="preserve">Learning path map, Trainer Guides, Hands-on Activities</w:t>
            </w:r>
          </w:p>
        </w:tc>
        <w:tc>
          <w:tcPr>
            <w:tcW w:w="1365" w:type="dxa"/>
          </w:tcPr>
          <w:p>
            <w:pPr/>
            <w:r>
              <w:t xml:space="preserve">Training team, SME, Ops lead</w:t>
            </w:r>
          </w:p>
        </w:tc>
        <w:tc>
          <w:tcPr>
            <w:tcW w:w="2115" w:type="dxa"/>
          </w:tcPr>
          <w:p>
            <w:pPr/>
            <w:r>
              <w:t xml:space="preserve">Training team</w:t>
            </w:r>
          </w:p>
        </w:tc>
      </w:tr>
      <w:tr>
        <w:tc>
          <w:tcPr>
            <w:tcW w:w="1819" w:type="dxa"/>
          </w:tcPr>
          <w:p>
            <w:pPr/>
            <w:r>
              <w:t xml:space="preserve">99 Archive</w:t>
            </w:r>
          </w:p>
        </w:tc>
        <w:tc>
          <w:tcPr>
            <w:tcW w:w="4061" w:type="dxa"/>
          </w:tcPr>
          <w:p>
            <w:pPr/>
            <w:r>
              <w:t xml:space="preserve">Retired articles kept for old links</w:t>
            </w:r>
          </w:p>
        </w:tc>
        <w:tc>
          <w:tcPr>
            <w:tcW w:w="1365" w:type="dxa"/>
          </w:tcPr>
          <w:p>
            <w:pPr/>
            <w:r>
              <w:t xml:space="preserve">All Mail OPS</w:t>
            </w:r>
          </w:p>
        </w:tc>
        <w:tc>
          <w:tcPr>
            <w:tcW w:w="2115" w:type="dxa"/>
          </w:tcPr>
          <w:p>
            <w:pPr/>
            <w:r>
              <w:t xml:space="preserve">Training team</w:t>
            </w:r>
          </w:p>
        </w:tc>
      </w:tr>
    </w:tbl>
    <w:p>
      <w:pPr>
        <w:pStyle w:val="Heading3"/>
      </w:pPr>
      <w:r>
        <w:t xml:space="preserve">Rules</w:t>
      </w:r>
    </w:p>
    <w:p>
      <w:pPr>
        <w:pStyle w:val="ListParagraph"/>
        <w:numPr>
          <w:ilvl w:val="0"/>
          <w:numId w:val="3"/>
        </w:numPr>
      </w:pPr>
      <w:r>
        <w:t xml:space="preserve">Every folder opens with a Hub page that lists its articles in a sensible reading order.</w:t>
      </w:r>
    </w:p>
    <w:p>
      <w:pPr>
        <w:pStyle w:val="ListParagraph"/>
        <w:numPr>
          <w:ilvl w:val="0"/>
          <w:numId w:val="3"/>
        </w:numPr>
      </w:pPr>
      <w:r>
        <w:t xml:space="preserve">Numbered folder prefixes keep the order the same for everyone.</w:t>
      </w:r>
    </w:p>
    <w:p>
      <w:pPr>
        <w:pStyle w:val="ListParagraph"/>
        <w:numPr>
          <w:ilvl w:val="0"/>
          <w:numId w:val="3"/>
        </w:numPr>
      </w:pPr>
      <w:r>
        <w:t xml:space="preserve">Trainees never get access to 90 Training Kit. It holds answer keys and expected outcomes.</w:t>
      </w:r>
    </w:p>
    <w:p>
      <w:pPr>
        <w:pStyle w:val="ListParagraph"/>
        <w:numPr>
          <w:ilvl w:val="0"/>
          <w:numId w:val="3"/>
        </w:numPr>
      </w:pPr>
      <w:r>
        <w:t xml:space="preserve">An article lives in one folder only. If it fits two, put it in one and link it from the other folder's hub.</w:t>
      </w:r>
    </w:p>
    <w:p>
      <w:pPr>
        <w:pStyle w:val="Heading2"/>
      </w:pPr>
      <w:r>
        <w:t xml:space="preserve">4. IDs and traceability</w:t>
      </w:r>
    </w:p>
    <w:p>
      <w:pPr/>
      <w:r>
        <w:t xml:space="preserve">Every article, module and question gets a permanent ID. IDs are what let the checker answer "this section changed; what else must I review?" in one search. Titles change; IDs never do.</w:t>
      </w:r>
    </w:p>
    <w:tbl>
      <w:tblPr>
        <w:tblStyle w:val="TableGrid"/>
        <w:tblW w:w="0" w:type="auto"/>
        <w:tblLayout w:type="fixed"/>
        <w:tblLook w:val="04A0" w:firstRow="1" w:lastRow="0" w:firstColumn="0" w:lastColumn="0" w:noHBand="0" w:noVBand="1"/>
      </w:tblPr>
      <w:tblGrid>
        <w:gridCol w:w="2095"/>
        <w:gridCol w:w="1058"/>
        <w:gridCol w:w="1956"/>
        <w:gridCol w:w="4251"/>
      </w:tblGrid>
      <w:tr>
        <w:trPr>
          <w:tblHeader/>
        </w:trPr>
        <w:tc>
          <w:tcPr>
            <w:tcW w:w="2095" w:type="dxa"/>
            <w:shd w:val="clear" w:color="auto" w:fill="F2F2F2"/>
          </w:tcPr>
          <w:p>
            <w:pPr/>
            <w:r>
              <w:t xml:space="preserve">Item</w:t>
            </w:r>
          </w:p>
        </w:tc>
        <w:tc>
          <w:tcPr>
            <w:tcW w:w="1058" w:type="dxa"/>
            <w:shd w:val="clear" w:color="auto" w:fill="F2F2F2"/>
          </w:tcPr>
          <w:p>
            <w:pPr/>
            <w:r>
              <w:t xml:space="preserve">Format</w:t>
            </w:r>
          </w:p>
        </w:tc>
        <w:tc>
          <w:tcPr>
            <w:tcW w:w="1956" w:type="dxa"/>
            <w:shd w:val="clear" w:color="auto" w:fill="F2F2F2"/>
          </w:tcPr>
          <w:p>
            <w:pPr/>
            <w:r>
              <w:t xml:space="preserve">Example</w:t>
            </w:r>
          </w:p>
        </w:tc>
        <w:tc>
          <w:tcPr>
            <w:tcW w:w="4251" w:type="dxa"/>
            <w:shd w:val="clear" w:color="auto" w:fill="F2F2F2"/>
          </w:tcPr>
          <w:p>
            <w:pPr/>
            <w:r>
              <w:t xml:space="preserve">Rule</w:t>
            </w:r>
          </w:p>
        </w:tc>
      </w:tr>
      <w:tr>
        <w:tc>
          <w:tcPr>
            <w:tcW w:w="2095" w:type="dxa"/>
          </w:tcPr>
          <w:p>
            <w:pPr/>
            <w:r>
              <w:t xml:space="preserve">Quip article</w:t>
            </w:r>
          </w:p>
        </w:tc>
        <w:tc>
          <w:tcPr>
            <w:tcW w:w="1058" w:type="dxa"/>
          </w:tcPr>
          <w:p>
            <w:pPr/>
            <w:r>
              <w:t xml:space="preserve">KA-AREA-nnn</w:t>
            </w:r>
          </w:p>
        </w:tc>
        <w:tc>
          <w:tcPr>
            <w:tcW w:w="1956" w:type="dxa"/>
          </w:tcPr>
          <w:p>
            <w:pPr/>
            <w:r>
              <w:t xml:space="preserve">KA-OUT-012</w:t>
            </w:r>
          </w:p>
        </w:tc>
        <w:tc>
          <w:tcPr>
            <w:tcW w:w="4251" w:type="dxa"/>
          </w:tcPr>
          <w:p>
            <w:pPr/>
            <w:r>
              <w:t xml:space="preserve">Area code from the table below, number in sequence, never reused. Each folder's Hub is 000 (KA-OUT-000)</w:t>
            </w:r>
          </w:p>
        </w:tc>
      </w:tr>
      <w:tr>
        <w:tc>
          <w:tcPr>
            <w:tcW w:w="2095" w:type="dxa"/>
          </w:tcPr>
          <w:p>
            <w:pPr/>
            <w:r>
              <w:t xml:space="preserve">Article section</w:t>
            </w:r>
          </w:p>
        </w:tc>
        <w:tc>
          <w:tcPr>
            <w:tcW w:w="1058" w:type="dxa"/>
          </w:tcPr>
          <w:p>
            <w:pPr/>
            <w:r>
              <w:t xml:space="preserve">KA ID + § + heading number</w:t>
            </w:r>
          </w:p>
        </w:tc>
        <w:tc>
          <w:tcPr>
            <w:tcW w:w="1956" w:type="dxa"/>
          </w:tcPr>
          <w:p>
            <w:pPr/>
            <w:r>
              <w:t xml:space="preserve">KA-OUT-012 §3</w:t>
            </w:r>
          </w:p>
        </w:tc>
        <w:tc>
          <w:tcPr>
            <w:tcW w:w="4251" w:type="dxa"/>
          </w:tcPr>
          <w:p>
            <w:pPr/>
            <w:r>
              <w:t xml:space="preserve">Numbered headings in every article so sections can be cited</w:t>
            </w:r>
          </w:p>
        </w:tc>
      </w:tr>
      <w:tr>
        <w:tc>
          <w:tcPr>
            <w:tcW w:w="2095" w:type="dxa"/>
          </w:tcPr>
          <w:p>
            <w:pPr/>
            <w:r>
              <w:t xml:space="preserve">LMS module</w:t>
            </w:r>
          </w:p>
        </w:tc>
        <w:tc>
          <w:tcPr>
            <w:tcW w:w="1058" w:type="dxa"/>
          </w:tcPr>
          <w:p>
            <w:pPr/>
            <w:r>
              <w:t xml:space="preserve">M-Wn-nn</w:t>
            </w:r>
          </w:p>
        </w:tc>
        <w:tc>
          <w:tcPr>
            <w:tcW w:w="1956" w:type="dxa"/>
          </w:tcPr>
          <w:p>
            <w:pPr/>
            <w:r>
              <w:t xml:space="preserve">M-W2-07</w:t>
            </w:r>
          </w:p>
        </w:tc>
        <w:tc>
          <w:tcPr>
            <w:tcW w:w="4251" w:type="dxa"/>
          </w:tcPr>
          <w:p>
            <w:pPr/>
            <w:r>
              <w:t xml:space="preserve">Week number, then module number within the week</w:t>
            </w:r>
          </w:p>
        </w:tc>
      </w:tr>
      <w:tr>
        <w:tc>
          <w:tcPr>
            <w:tcW w:w="2095" w:type="dxa"/>
          </w:tcPr>
          <w:p>
            <w:pPr/>
            <w:r>
              <w:t xml:space="preserve">Assessment</w:t>
            </w:r>
          </w:p>
        </w:tc>
        <w:tc>
          <w:tcPr>
            <w:tcW w:w="1058" w:type="dxa"/>
          </w:tcPr>
          <w:p>
            <w:pPr/>
            <w:r>
              <w:t xml:space="preserve">A-Dnn</w:t>
            </w:r>
          </w:p>
        </w:tc>
        <w:tc>
          <w:tcPr>
            <w:tcW w:w="1956" w:type="dxa"/>
          </w:tcPr>
          <w:p>
            <w:pPr/>
            <w:r>
              <w:t xml:space="preserve">A-D10</w:t>
            </w:r>
          </w:p>
        </w:tc>
        <w:tc>
          <w:tcPr>
            <w:tcW w:w="4251" w:type="dxa"/>
          </w:tcPr>
          <w:p>
            <w:pPr/>
            <w:r>
              <w:t xml:space="preserve">The curriculum day it runs on</w:t>
            </w:r>
          </w:p>
        </w:tc>
      </w:tr>
      <w:tr>
        <w:tc>
          <w:tcPr>
            <w:tcW w:w="2095" w:type="dxa"/>
          </w:tcPr>
          <w:p>
            <w:pPr/>
            <w:r>
              <w:t xml:space="preserve">Question</w:t>
            </w:r>
          </w:p>
        </w:tc>
        <w:tc>
          <w:tcPr>
            <w:tcW w:w="1058" w:type="dxa"/>
          </w:tcPr>
          <w:p>
            <w:pPr/>
            <w:r>
              <w:t xml:space="preserve">Q-KAID-nn</w:t>
            </w:r>
          </w:p>
        </w:tc>
        <w:tc>
          <w:tcPr>
            <w:tcW w:w="1956" w:type="dxa"/>
          </w:tcPr>
          <w:p>
            <w:pPr/>
            <w:r>
              <w:t xml:space="preserve">Q-OUT012-03</w:t>
            </w:r>
          </w:p>
        </w:tc>
        <w:tc>
          <w:tcPr>
            <w:tcW w:w="4251" w:type="dxa"/>
          </w:tcPr>
          <w:p>
            <w:pPr/>
            <w:r>
              <w:t xml:space="preserve">Built from the article it tests, so a search for OUT012 finds every linked question</w:t>
            </w:r>
          </w:p>
        </w:tc>
      </w:tr>
      <w:tr>
        <w:tc>
          <w:tcPr>
            <w:tcW w:w="2095" w:type="dxa"/>
          </w:tcPr>
          <w:p>
            <w:pPr/>
            <w:r>
              <w:t xml:space="preserve">Trainer Guide</w:t>
            </w:r>
          </w:p>
        </w:tc>
        <w:tc>
          <w:tcPr>
            <w:tcW w:w="1058" w:type="dxa"/>
          </w:tcPr>
          <w:p>
            <w:pPr/>
            <w:r>
              <w:t xml:space="preserve">TG-Mid</w:t>
            </w:r>
          </w:p>
        </w:tc>
        <w:tc>
          <w:tcPr>
            <w:tcW w:w="1956" w:type="dxa"/>
          </w:tcPr>
          <w:p>
            <w:pPr/>
            <w:r>
              <w:t xml:space="preserve">TG-M-W2-07</w:t>
            </w:r>
          </w:p>
        </w:tc>
        <w:tc>
          <w:tcPr>
            <w:tcW w:w="4251" w:type="dxa"/>
          </w:tcPr>
          <w:p>
            <w:pPr/>
            <w:r>
              <w:t xml:space="preserve">One per LMS module that has live delivery. ILT-only curriculum rows use TG-Dnn-topic (TG-D13-shadowing)</w:t>
            </w:r>
          </w:p>
        </w:tc>
      </w:tr>
      <w:tr>
        <w:tc>
          <w:tcPr>
            <w:tcW w:w="2095" w:type="dxa"/>
          </w:tcPr>
          <w:p>
            <w:pPr/>
            <w:r>
              <w:t xml:space="preserve">Hands-on Activity</w:t>
            </w:r>
          </w:p>
        </w:tc>
        <w:tc>
          <w:tcPr>
            <w:tcW w:w="1058" w:type="dxa"/>
          </w:tcPr>
          <w:p>
            <w:pPr/>
            <w:r>
              <w:t xml:space="preserve">HA-AREA-nnn</w:t>
            </w:r>
          </w:p>
        </w:tc>
        <w:tc>
          <w:tcPr>
            <w:tcW w:w="1956" w:type="dxa"/>
          </w:tcPr>
          <w:p>
            <w:pPr/>
            <w:r>
              <w:t xml:space="preserve">HA-TOOL-004</w:t>
            </w:r>
          </w:p>
        </w:tc>
        <w:tc>
          <w:tcPr>
            <w:tcW w:w="4251" w:type="dxa"/>
          </w:tcPr>
          <w:p>
            <w:pPr/>
            <w:r>
              <w:t xml:space="preserve">Same area codes as articles</w:t>
            </w:r>
          </w:p>
        </w:tc>
      </w:tr>
    </w:tbl>
    <w:p/>
    <w:tbl>
      <w:tblPr>
        <w:tblStyle w:val="TableGrid"/>
        <w:tblW w:w="0" w:type="auto"/>
        <w:tblLayout w:type="fixed"/>
        <w:tblLook w:val="04A0" w:firstRow="1" w:lastRow="0" w:firstColumn="0" w:lastColumn="0" w:noHBand="0" w:noVBand="1"/>
      </w:tblPr>
      <w:tblGrid>
        <w:gridCol w:w="3839"/>
        <w:gridCol w:w="5520"/>
      </w:tblGrid>
      <w:tr>
        <w:trPr>
          <w:tblHeader/>
        </w:trPr>
        <w:tc>
          <w:tcPr>
            <w:tcW w:w="3839" w:type="dxa"/>
            <w:shd w:val="clear" w:color="auto" w:fill="F2F2F2"/>
          </w:tcPr>
          <w:p>
            <w:pPr/>
            <w:r>
              <w:t xml:space="preserve">Area code</w:t>
            </w:r>
          </w:p>
        </w:tc>
        <w:tc>
          <w:tcPr>
            <w:tcW w:w="5520" w:type="dxa"/>
            <w:shd w:val="clear" w:color="auto" w:fill="F2F2F2"/>
          </w:tcPr>
          <w:p>
            <w:pPr/>
            <w:r>
              <w:t xml:space="preserve">Folder</w:t>
            </w:r>
          </w:p>
        </w:tc>
      </w:tr>
      <w:tr>
        <w:tc>
          <w:tcPr>
            <w:tcW w:w="3839" w:type="dxa"/>
          </w:tcPr>
          <w:p>
            <w:pPr/>
            <w:r>
              <w:t xml:space="preserve">GEN</w:t>
            </w:r>
          </w:p>
        </w:tc>
        <w:tc>
          <w:tcPr>
            <w:tcW w:w="5520" w:type="dxa"/>
          </w:tcPr>
          <w:p>
            <w:pPr/>
            <w:r>
              <w:t xml:space="preserve">00 Start Here</w:t>
            </w:r>
          </w:p>
        </w:tc>
      </w:tr>
      <w:tr>
        <w:tc>
          <w:tcPr>
            <w:tcW w:w="3839" w:type="dxa"/>
          </w:tcPr>
          <w:p>
            <w:pPr/>
            <w:r>
              <w:t xml:space="preserve">FND</w:t>
            </w:r>
          </w:p>
        </w:tc>
        <w:tc>
          <w:tcPr>
            <w:tcW w:w="5520" w:type="dxa"/>
          </w:tcPr>
          <w:p>
            <w:pPr/>
            <w:r>
              <w:t xml:space="preserve">01 Foundations</w:t>
            </w:r>
          </w:p>
        </w:tc>
      </w:tr>
      <w:tr>
        <w:tc>
          <w:tcPr>
            <w:tcW w:w="3839" w:type="dxa"/>
          </w:tcPr>
          <w:p>
            <w:pPr/>
            <w:r>
              <w:t xml:space="preserve">TOOL</w:t>
            </w:r>
          </w:p>
        </w:tc>
        <w:tc>
          <w:tcPr>
            <w:tcW w:w="5520" w:type="dxa"/>
          </w:tcPr>
          <w:p>
            <w:pPr/>
            <w:r>
              <w:t xml:space="preserve">02 Tools</w:t>
            </w:r>
          </w:p>
        </w:tc>
      </w:tr>
      <w:tr>
        <w:tc>
          <w:tcPr>
            <w:tcW w:w="3839" w:type="dxa"/>
          </w:tcPr>
          <w:p>
            <w:pPr/>
            <w:r>
              <w:t xml:space="preserve">IN</w:t>
            </w:r>
          </w:p>
        </w:tc>
        <w:tc>
          <w:tcPr>
            <w:tcW w:w="5520" w:type="dxa"/>
          </w:tcPr>
          <w:p>
            <w:pPr/>
            <w:r>
              <w:t xml:space="preserve">03 Inbound</w:t>
            </w:r>
          </w:p>
        </w:tc>
      </w:tr>
      <w:tr>
        <w:tc>
          <w:tcPr>
            <w:tcW w:w="3839" w:type="dxa"/>
          </w:tcPr>
          <w:p>
            <w:pPr/>
            <w:r>
              <w:t xml:space="preserve">OUT</w:t>
            </w:r>
          </w:p>
        </w:tc>
        <w:tc>
          <w:tcPr>
            <w:tcW w:w="5520" w:type="dxa"/>
          </w:tcPr>
          <w:p>
            <w:pPr/>
            <w:r>
              <w:t xml:space="preserve">04 Outbound</w:t>
            </w:r>
          </w:p>
        </w:tc>
      </w:tr>
      <w:tr>
        <w:tc>
          <w:tcPr>
            <w:tcW w:w="3839" w:type="dxa"/>
          </w:tcPr>
          <w:p>
            <w:pPr/>
            <w:r>
              <w:t xml:space="preserve">PM</w:t>
            </w:r>
          </w:p>
        </w:tc>
        <w:tc>
          <w:tcPr>
            <w:tcW w:w="5520" w:type="dxa"/>
          </w:tcPr>
          <w:p>
            <w:pPr/>
            <w:r>
              <w:t xml:space="preserve">05 Postmaster</w:t>
            </w:r>
          </w:p>
        </w:tc>
      </w:tr>
      <w:tr>
        <w:tc>
          <w:tcPr>
            <w:tcW w:w="3839" w:type="dxa"/>
          </w:tcPr>
          <w:p>
            <w:pPr/>
            <w:r>
              <w:t xml:space="preserve">PB</w:t>
            </w:r>
          </w:p>
        </w:tc>
        <w:tc>
          <w:tcPr>
            <w:tcW w:w="5520" w:type="dxa"/>
          </w:tcPr>
          <w:p>
            <w:pPr/>
            <w:r>
              <w:t xml:space="preserve">06 Playbooks</w:t>
            </w:r>
          </w:p>
        </w:tc>
      </w:tr>
    </w:tbl>
    <w:p>
      <w:pPr/>
      <w:r>
        <w:drawing>
          <wp:inline distT="0" distB="0" distL="0" distR="0">
            <wp:extent cx="5486400" cy="2294164"/>
            <wp:docPr id="1" name="image1" descr="traceability chain · curriculum to Quip section"/>
            <a:graphic xmlns:a="http://schemas.openxmlformats.org/drawingml/2006/main">
              <a:graphicData uri="http://schemas.openxmlformats.org/drawingml/2006/picture">
                <pic:pic xmlns:pic="http://schemas.openxmlformats.org/drawingml/2006/picture">
                  <pic:nvPicPr>
                    <pic:cNvPr id="1" name="image1" descr="traceability chain · curriculum to Quip section"/>
                    <pic:cNvPicPr/>
                  </pic:nvPicPr>
                  <pic:blipFill>
                    <a:blip r:embed="rId3"/>
                    <a:stretch>
                      <a:fillRect/>
                    </a:stretch>
                  </pic:blipFill>
                  <pic:spPr>
                    <a:xfrm>
                      <a:off x="0" y="0"/>
                      <a:ext cx="5486400" cy="2294164"/>
                    </a:xfrm>
                    <a:prstGeom prst="rect">
                      <a:avLst/>
                    </a:prstGeom>
                  </pic:spPr>
                </pic:pic>
              </a:graphicData>
            </a:graphic>
          </wp:inline>
        </w:drawing>
      </w:r>
    </w:p>
    <w:p>
      <w:pPr/>
      <w:r>
        <w:t xml:space="preserve">traceability chain · curriculum to Quip section</w:t>
      </w:r>
    </w:p>
    <w:p>
      <w:pPr/>
      <w:r>
        <w:t xml:space="preserve">The Quip article header lists the module and question IDs in return, so a change to §3 shows exactly which LMS items to review.</w:t>
      </w:r>
    </w:p>
    <w:p>
      <w:pPr>
        <w:pStyle w:val="Heading3"/>
      </w:pPr>
      <w:r>
        <w:t xml:space="preserve">Reserved IDs</w:t>
      </w:r>
    </w:p>
    <w:tbl>
      <w:tblPr>
        <w:tblStyle w:val="TableGrid"/>
        <w:tblW w:w="0" w:type="auto"/>
        <w:tblLayout w:type="fixed"/>
        <w:tblLook w:val="04A0" w:firstRow="1" w:lastRow="0" w:firstColumn="0" w:lastColumn="0" w:noHBand="0" w:noVBand="1"/>
      </w:tblPr>
      <w:tblGrid>
        <w:gridCol w:w="1782"/>
        <w:gridCol w:w="5700"/>
        <w:gridCol w:w="1877"/>
      </w:tblGrid>
      <w:tr>
        <w:trPr>
          <w:tblHeader/>
        </w:trPr>
        <w:tc>
          <w:tcPr>
            <w:tcW w:w="1782" w:type="dxa"/>
            <w:shd w:val="clear" w:color="auto" w:fill="F2F2F2"/>
          </w:tcPr>
          <w:p>
            <w:pPr/>
            <w:r>
              <w:t xml:space="preserve">ID</w:t>
            </w:r>
          </w:p>
        </w:tc>
        <w:tc>
          <w:tcPr>
            <w:tcW w:w="5700" w:type="dxa"/>
            <w:shd w:val="clear" w:color="auto" w:fill="F2F2F2"/>
          </w:tcPr>
          <w:p>
            <w:pPr/>
            <w:r>
              <w:t xml:space="preserve">Page</w:t>
            </w:r>
          </w:p>
        </w:tc>
        <w:tc>
          <w:tcPr>
            <w:tcW w:w="1877" w:type="dxa"/>
            <w:shd w:val="clear" w:color="auto" w:fill="F2F2F2"/>
          </w:tcPr>
          <w:p>
            <w:pPr/>
            <w:r>
              <w:t xml:space="preserve">Folder</w:t>
            </w:r>
          </w:p>
        </w:tc>
      </w:tr>
      <w:tr>
        <w:tc>
          <w:tcPr>
            <w:tcW w:w="1782" w:type="dxa"/>
          </w:tcPr>
          <w:p>
            <w:pPr/>
            <w:r>
              <w:t xml:space="preserve">KA-GEN-001</w:t>
            </w:r>
          </w:p>
        </w:tc>
        <w:tc>
          <w:tcPr>
            <w:tcW w:w="5700" w:type="dxa"/>
          </w:tcPr>
          <w:p>
            <w:pPr/>
            <w:r>
              <w:t xml:space="preserve">Mail OPS home hub</w:t>
            </w:r>
          </w:p>
        </w:tc>
        <w:tc>
          <w:tcPr>
            <w:tcW w:w="1877" w:type="dxa"/>
          </w:tcPr>
          <w:p>
            <w:pPr/>
            <w:r>
              <w:t xml:space="preserve">00 Start Here</w:t>
            </w:r>
          </w:p>
        </w:tc>
      </w:tr>
      <w:tr>
        <w:tc>
          <w:tcPr>
            <w:tcW w:w="1782" w:type="dxa"/>
          </w:tcPr>
          <w:p>
            <w:pPr/>
            <w:r>
              <w:t xml:space="preserve">KA-GEN-002</w:t>
            </w:r>
          </w:p>
        </w:tc>
        <w:tc>
          <w:tcPr>
            <w:tcW w:w="5700" w:type="dxa"/>
          </w:tcPr>
          <w:p>
            <w:pPr/>
            <w:r>
              <w:t xml:space="preserve">Mail OPS Glossary</w:t>
            </w:r>
          </w:p>
        </w:tc>
        <w:tc>
          <w:tcPr>
            <w:tcW w:w="1877" w:type="dxa"/>
          </w:tcPr>
          <w:p>
            <w:pPr/>
            <w:r>
              <w:t xml:space="preserve">00 Start Here</w:t>
            </w:r>
          </w:p>
        </w:tc>
      </w:tr>
      <w:tr>
        <w:tc>
          <w:tcPr>
            <w:tcW w:w="1782" w:type="dxa"/>
          </w:tcPr>
          <w:p>
            <w:pPr/>
            <w:r>
              <w:t xml:space="preserve">KA-GEN-003</w:t>
            </w:r>
          </w:p>
        </w:tc>
        <w:tc>
          <w:tcPr>
            <w:tcW w:w="5700" w:type="dxa"/>
          </w:tcPr>
          <w:p>
            <w:pPr/>
            <w:r>
              <w:t xml:space="preserve">What's New (central change log, last 6 months)</w:t>
            </w:r>
          </w:p>
        </w:tc>
        <w:tc>
          <w:tcPr>
            <w:tcW w:w="1877" w:type="dxa"/>
          </w:tcPr>
          <w:p>
            <w:pPr/>
            <w:r>
              <w:t xml:space="preserve">00 Start Here</w:t>
            </w:r>
          </w:p>
        </w:tc>
      </w:tr>
      <w:tr>
        <w:tc>
          <w:tcPr>
            <w:tcW w:w="1782" w:type="dxa"/>
          </w:tcPr>
          <w:p>
            <w:pPr/>
            <w:r>
              <w:t xml:space="preserve">KA-GEN-004</w:t>
            </w:r>
          </w:p>
        </w:tc>
        <w:tc>
          <w:tcPr>
            <w:tcW w:w="5700" w:type="dxa"/>
          </w:tcPr>
          <w:p>
            <w:pPr/>
            <w:r>
              <w:t xml:space="preserve">What's New Archive (older rows, moved quarterly)</w:t>
            </w:r>
          </w:p>
        </w:tc>
        <w:tc>
          <w:tcPr>
            <w:tcW w:w="1877" w:type="dxa"/>
          </w:tcPr>
          <w:p>
            <w:pPr/>
            <w:r>
              <w:t xml:space="preserve">99 Archive</w:t>
            </w:r>
          </w:p>
        </w:tc>
      </w:tr>
    </w:tbl>
    <w:p>
      <w:pPr>
        <w:pStyle w:val="Heading3"/>
      </w:pPr>
      <w:r>
        <w:t xml:space="preserve">Where each ID is recorded</w:t>
      </w:r>
    </w:p>
    <w:p>
      <w:pPr>
        <w:pStyle w:val="ListParagraph"/>
        <w:numPr>
          <w:ilvl w:val="0"/>
          <w:numId w:val="4"/>
        </w:numPr>
      </w:pPr>
      <w:r>
        <w:rPr>
          <w:b/>
        </w:rPr>
        <w:t xml:space="preserve">In the Quip article header:</w:t>
      </w:r>
      <w:r>
        <w:t xml:space="preserve"> its own KA ID, the LMS modules that link to it, and the question IDs that test it.</w:t>
      </w:r>
    </w:p>
    <w:p>
      <w:pPr>
        <w:pStyle w:val="ListParagraph"/>
        <w:numPr>
          <w:ilvl w:val="0"/>
          <w:numId w:val="4"/>
        </w:numPr>
      </w:pPr>
      <w:r>
        <w:rPr>
          <w:b/>
        </w:rPr>
        <w:t xml:space="preserve">In the LMS module:</w:t>
      </w:r>
      <w:r>
        <w:t xml:space="preserve"> its module ID and the KA IDs it links to, in the module description field.</w:t>
      </w:r>
    </w:p>
    <w:p>
      <w:pPr>
        <w:pStyle w:val="ListParagraph"/>
        <w:numPr>
          <w:ilvl w:val="0"/>
          <w:numId w:val="4"/>
        </w:numPr>
      </w:pPr>
      <w:r>
        <w:rPr>
          <w:b/>
        </w:rPr>
        <w:t xml:space="preserve">In each LMS question:</w:t>
      </w:r>
      <w:r>
        <w:t xml:space="preserve"> its question ID and the cited section, in the question's internal notes or tag field.</w:t>
      </w:r>
    </w:p>
    <w:p>
      <w:pPr>
        <w:pStyle w:val="ListParagraph"/>
        <w:numPr>
          <w:ilvl w:val="0"/>
          <w:numId w:val="4"/>
        </w:numPr>
      </w:pPr>
      <w:r>
        <w:rPr>
          <w:b/>
        </w:rPr>
        <w:t xml:space="preserve">Links between articles:</w:t>
      </w:r>
      <w:r>
        <w:t xml:space="preserve"> write the ID beside every link, for example "see KA-OUT-012 §3 (Escalation)." If Quip URLs ever break, for example after a platform move, the ID still finds the content.</w:t>
      </w:r>
    </w:p>
    <w:p>
      <w:pPr>
        <w:pStyle w:val="Heading2"/>
      </w:pPr>
      <w:r>
        <w:t xml:space="preserve">5. Common article header</w:t>
      </w:r>
    </w:p>
    <w:p>
      <w:pPr/>
      <w:r>
        <w:t xml:space="preserve">Every Quip article, of every type, starts with the same two blocks: a change banner (only when something recently changed) and a header table. Keeping the header as a plain visible table, not a Quip-only feature, means it survives export to Word or a move to another platform.</w:t>
      </w:r>
    </w:p>
    <w:p>
      <w:pPr>
        <w:pStyle w:val="Heading3"/>
      </w:pPr>
      <w:r>
        <w:t xml:space="preserve">Template</w:t>
      </w:r>
    </w:p>
    <w:p>
      <w:pPr>
        <w:pStyle w:val="Code"/>
      </w:pPr>
      <w:bookmarkStart w:id="1" w:name="bongo_lang_markdown_1"/>
      <w:bookmarkEnd w:id="1"/>
      <w:r>
        <w:t xml:space="preserve">&gt; UPDATED 26 Oct 2026 (v2.0): Escalation threshold changed in §3. Remove this banner after 25 Nov 2026.</w:t>
        <w:br/>
        <w:br/>
        <w:t xml:space="preserve">| Field | Value |</w:t>
        <w:br/>
        <w:t xml:space="preserve">| --- | --- |</w:t>
        <w:br/>
        <w:t xml:space="preserve">| Article ID | KA-OUT-012 |</w:t>
        <w:br/>
        <w:t xml:space="preserve">| Type | Workflow / SOP |</w:t>
        <w:br/>
        <w:t xml:space="preserve">| Title | Actioning a Hide My Email abuse case |</w:t>
        <w:br/>
        <w:t xml:space="preserve">| Purpose | One sentence: what this article lets the reader do |</w:t>
        <w:br/>
        <w:t xml:space="preserve">| Audience | Mail OPS analysts, outbound queue |</w:t>
        <w:br/>
        <w:t xml:space="preserve">| Status | Draft / In review / Approved / Published / Retired |</w:t>
        <w:br/>
        <w:t xml:space="preserve">| Version | 2.0 |</w:t>
        <w:br/>
        <w:t xml:space="preserve">| Owner | Name (SME or Ops lead) |</w:t>
        <w:br/>
        <w:t xml:space="preserve">| Approver | Name |</w:t>
        <w:br/>
        <w:t xml:space="preserve">| Last approved | DD Mon YYYY |</w:t>
        <w:br/>
        <w:t xml:space="preserve">| Next review | DD Mon YYYY |</w:t>
        <w:br/>
        <w:t xml:space="preserve">| Linked LMS modules | M-W2-07 |</w:t>
        <w:br/>
        <w:t xml:space="preserve">| Linked questions | Q-OUT012-01 to Q-OUT012-05 |</w:t>
        <w:br/>
        <w:t xml:space="preserve">| Related articles | KA-TOOL-002 (Heimdall), KA-OUT-010 (Account actions) |</w:t>
        <w:br/>
        <w:t xml:space="preserve">| Videos | Grove link and title |</w:t>
      </w:r>
    </w:p>
    <w:p>
      <w:pPr>
        <w:pStyle w:val="Heading3"/>
      </w:pPr>
      <w:r>
        <w:t xml:space="preserve">What each field is for</w:t>
      </w:r>
    </w:p>
    <w:tbl>
      <w:tblPr>
        <w:tblStyle w:val="TableGrid"/>
        <w:tblW w:w="0" w:type="auto"/>
        <w:tblLayout w:type="fixed"/>
        <w:tblLook w:val="04A0" w:firstRow="1" w:lastRow="0" w:firstColumn="0" w:lastColumn="0" w:noHBand="0" w:noVBand="1"/>
      </w:tblPr>
      <w:tblGrid>
        <w:gridCol w:w="1421"/>
        <w:gridCol w:w="4176"/>
        <w:gridCol w:w="3763"/>
      </w:tblGrid>
      <w:tr>
        <w:trPr>
          <w:tblHeader/>
        </w:trPr>
        <w:tc>
          <w:tcPr>
            <w:tcW w:w="1421" w:type="dxa"/>
            <w:shd w:val="clear" w:color="auto" w:fill="F2F2F2"/>
          </w:tcPr>
          <w:p>
            <w:pPr/>
            <w:r>
              <w:t xml:space="preserve">Field</w:t>
            </w:r>
          </w:p>
        </w:tc>
        <w:tc>
          <w:tcPr>
            <w:tcW w:w="4176" w:type="dxa"/>
            <w:shd w:val="clear" w:color="auto" w:fill="F2F2F2"/>
          </w:tcPr>
          <w:p>
            <w:pPr/>
            <w:r>
              <w:t xml:space="preserve">Why it is there</w:t>
            </w:r>
          </w:p>
        </w:tc>
        <w:tc>
          <w:tcPr>
            <w:tcW w:w="3763" w:type="dxa"/>
            <w:shd w:val="clear" w:color="auto" w:fill="F2F2F2"/>
          </w:tcPr>
          <w:p>
            <w:pPr/>
            <w:r>
              <w:t xml:space="preserve">Writer guidance</w:t>
            </w:r>
          </w:p>
        </w:tc>
      </w:tr>
      <w:tr>
        <w:tc>
          <w:tcPr>
            <w:tcW w:w="1421" w:type="dxa"/>
          </w:tcPr>
          <w:p>
            <w:pPr/>
            <w:r>
              <w:t xml:space="preserve">Change banner</w:t>
            </w:r>
          </w:p>
        </w:tc>
        <w:tc>
          <w:tcPr>
            <w:tcW w:w="4176" w:type="dxa"/>
          </w:tcPr>
          <w:p>
            <w:pPr/>
            <w:r>
              <w:t xml:space="preserve">Tells a returning analyst something changed, before they act on old memory</w:t>
            </w:r>
          </w:p>
        </w:tc>
        <w:tc>
          <w:tcPr>
            <w:tcW w:w="3763" w:type="dxa"/>
          </w:tcPr>
          <w:p>
            <w:pPr/>
            <w:r>
              <w:t xml:space="preserve">Callout at the very top. Say what changed, which section, and the version. Remove after 30 days.</w:t>
            </w:r>
          </w:p>
        </w:tc>
      </w:tr>
      <w:tr>
        <w:tc>
          <w:tcPr>
            <w:tcW w:w="1421" w:type="dxa"/>
          </w:tcPr>
          <w:p>
            <w:pPr/>
            <w:r>
              <w:t xml:space="preserve">Article ID</w:t>
            </w:r>
          </w:p>
        </w:tc>
        <w:tc>
          <w:tcPr>
            <w:tcW w:w="4176" w:type="dxa"/>
          </w:tcPr>
          <w:p>
            <w:pPr/>
            <w:r>
              <w:t xml:space="preserve">The permanent handle for linking and tagging</w:t>
            </w:r>
          </w:p>
        </w:tc>
        <w:tc>
          <w:tcPr>
            <w:tcW w:w="3763" w:type="dxa"/>
          </w:tcPr>
          <w:p>
            <w:pPr/>
            <w:r>
              <w:t xml:space="preserve">Never change it, even if the title changes</w:t>
            </w:r>
          </w:p>
        </w:tc>
      </w:tr>
      <w:tr>
        <w:tc>
          <w:tcPr>
            <w:tcW w:w="1421" w:type="dxa"/>
          </w:tcPr>
          <w:p>
            <w:pPr/>
            <w:r>
              <w:t xml:space="preserve">Type</w:t>
            </w:r>
          </w:p>
        </w:tc>
        <w:tc>
          <w:tcPr>
            <w:tcW w:w="4176" w:type="dxa"/>
          </w:tcPr>
          <w:p>
            <w:pPr/>
            <w:r>
              <w:t xml:space="preserve">Tells the reader what shape to expect</w:t>
            </w:r>
          </w:p>
        </w:tc>
        <w:tc>
          <w:tcPr>
            <w:tcW w:w="3763" w:type="dxa"/>
          </w:tcPr>
          <w:p>
            <w:pPr/>
            <w:r>
              <w:t xml:space="preserve">One of the nine types in section 6</w:t>
            </w:r>
          </w:p>
        </w:tc>
      </w:tr>
      <w:tr>
        <w:tc>
          <w:tcPr>
            <w:tcW w:w="1421" w:type="dxa"/>
          </w:tcPr>
          <w:p>
            <w:pPr/>
            <w:r>
              <w:t xml:space="preserve">Purpose</w:t>
            </w:r>
          </w:p>
        </w:tc>
        <w:tc>
          <w:tcPr>
            <w:tcW w:w="4176" w:type="dxa"/>
          </w:tcPr>
          <w:p>
            <w:pPr/>
            <w:r>
              <w:t xml:space="preserve">Lets a reader decide in five seconds if this is the right page</w:t>
            </w:r>
          </w:p>
        </w:tc>
        <w:tc>
          <w:tcPr>
            <w:tcW w:w="3763" w:type="dxa"/>
          </w:tcPr>
          <w:p>
            <w:pPr/>
            <w:r>
              <w:t xml:space="preserve">Start with a verb: "Action…", "Decide…", "Understand…"</w:t>
            </w:r>
          </w:p>
        </w:tc>
      </w:tr>
      <w:tr>
        <w:tc>
          <w:tcPr>
            <w:tcW w:w="1421" w:type="dxa"/>
          </w:tcPr>
          <w:p>
            <w:pPr/>
            <w:r>
              <w:t xml:space="preserve">Audience</w:t>
            </w:r>
          </w:p>
        </w:tc>
        <w:tc>
          <w:tcPr>
            <w:tcW w:w="4176" w:type="dxa"/>
          </w:tcPr>
          <w:p>
            <w:pPr/>
            <w:r>
              <w:t xml:space="preserve">Prevents articles drifting into everything for everyone</w:t>
            </w:r>
          </w:p>
        </w:tc>
        <w:tc>
          <w:tcPr>
            <w:tcW w:w="3763" w:type="dxa"/>
          </w:tcPr>
          <w:p>
            <w:pPr/>
            <w:r>
              <w:t xml:space="preserve">Name the queue or role</w:t>
            </w:r>
          </w:p>
        </w:tc>
      </w:tr>
      <w:tr>
        <w:tc>
          <w:tcPr>
            <w:tcW w:w="1421" w:type="dxa"/>
          </w:tcPr>
          <w:p>
            <w:pPr/>
            <w:r>
              <w:t xml:space="preserve">Status</w:t>
            </w:r>
          </w:p>
        </w:tc>
        <w:tc>
          <w:tcPr>
            <w:tcW w:w="4176" w:type="dxa"/>
          </w:tcPr>
          <w:p>
            <w:pPr/>
            <w:r>
              <w:t xml:space="preserve">Shows whether the content can be trusted</w:t>
            </w:r>
          </w:p>
        </w:tc>
        <w:tc>
          <w:tcPr>
            <w:tcW w:w="3763" w:type="dxa"/>
          </w:tcPr>
          <w:p>
            <w:pPr/>
            <w:r>
              <w:t xml:space="preserve">Only Published articles are linked from the LMS</w:t>
            </w:r>
          </w:p>
        </w:tc>
      </w:tr>
      <w:tr>
        <w:tc>
          <w:tcPr>
            <w:tcW w:w="1421" w:type="dxa"/>
          </w:tcPr>
          <w:p>
            <w:pPr/>
            <w:r>
              <w:t xml:space="preserve">Version</w:t>
            </w:r>
          </w:p>
        </w:tc>
        <w:tc>
          <w:tcPr>
            <w:tcW w:w="4176" w:type="dxa"/>
          </w:tcPr>
          <w:p>
            <w:pPr/>
            <w:r>
              <w:t xml:space="preserve">Drives the change process in section 11</w:t>
            </w:r>
          </w:p>
        </w:tc>
        <w:tc>
          <w:tcPr>
            <w:tcW w:w="3763" w:type="dxa"/>
          </w:tcPr>
          <w:p>
            <w:pPr/>
            <w:r>
              <w:t xml:space="preserve">Major.minor</w:t>
            </w:r>
          </w:p>
        </w:tc>
      </w:tr>
      <w:tr>
        <w:tc>
          <w:tcPr>
            <w:tcW w:w="1421" w:type="dxa"/>
          </w:tcPr>
          <w:p>
            <w:pPr/>
            <w:r>
              <w:t xml:space="preserve">Owner, Approver</w:t>
            </w:r>
          </w:p>
        </w:tc>
        <w:tc>
          <w:tcPr>
            <w:tcW w:w="4176" w:type="dxa"/>
          </w:tcPr>
          <w:p>
            <w:pPr/>
            <w:r>
              <w:t xml:space="preserve">Someone is accountable for accuracy</w:t>
            </w:r>
          </w:p>
        </w:tc>
        <w:tc>
          <w:tcPr>
            <w:tcW w:w="3763" w:type="dxa"/>
          </w:tcPr>
          <w:p>
            <w:pPr/>
            <w:r>
              <w:t xml:space="preserve">Real names, not team names</w:t>
            </w:r>
          </w:p>
        </w:tc>
      </w:tr>
      <w:tr>
        <w:tc>
          <w:tcPr>
            <w:tcW w:w="1421" w:type="dxa"/>
          </w:tcPr>
          <w:p>
            <w:pPr/>
            <w:r>
              <w:t xml:space="preserve">Last approved, Next review</w:t>
            </w:r>
          </w:p>
        </w:tc>
        <w:tc>
          <w:tcPr>
            <w:tcW w:w="4176" w:type="dxa"/>
          </w:tcPr>
          <w:p>
            <w:pPr/>
            <w:r>
              <w:t xml:space="preserve">Makes stale content visible</w:t>
            </w:r>
          </w:p>
        </w:tc>
        <w:tc>
          <w:tcPr>
            <w:tcW w:w="3763" w:type="dxa"/>
          </w:tcPr>
          <w:p>
            <w:pPr/>
            <w:r>
              <w:t xml:space="preserve">Next review is set at approval, default 90 days</w:t>
            </w:r>
          </w:p>
        </w:tc>
      </w:tr>
      <w:tr>
        <w:tc>
          <w:tcPr>
            <w:tcW w:w="1421" w:type="dxa"/>
          </w:tcPr>
          <w:p>
            <w:pPr/>
            <w:r>
              <w:t xml:space="preserve">Linked LMS modules, Linked questions</w:t>
            </w:r>
          </w:p>
        </w:tc>
        <w:tc>
          <w:tcPr>
            <w:tcW w:w="4176" w:type="dxa"/>
          </w:tcPr>
          <w:p>
            <w:pPr/>
            <w:r>
              <w:t xml:space="preserve">The traceability chain from section 4</w:t>
            </w:r>
          </w:p>
        </w:tc>
        <w:tc>
          <w:tcPr>
            <w:tcW w:w="3763" w:type="dxa"/>
          </w:tcPr>
          <w:p>
            <w:pPr/>
            <w:r>
              <w:t xml:space="preserve">Updated by the training team whenever a module or question is added</w:t>
            </w:r>
          </w:p>
        </w:tc>
      </w:tr>
      <w:tr>
        <w:tc>
          <w:tcPr>
            <w:tcW w:w="1421" w:type="dxa"/>
          </w:tcPr>
          <w:p>
            <w:pPr/>
            <w:r>
              <w:t xml:space="preserve">Related articles</w:t>
            </w:r>
          </w:p>
        </w:tc>
        <w:tc>
          <w:tcPr>
            <w:tcW w:w="4176" w:type="dxa"/>
          </w:tcPr>
          <w:p>
            <w:pPr/>
            <w:r>
              <w:t xml:space="preserve">Keeps navigation between small articles easy</w:t>
            </w:r>
          </w:p>
        </w:tc>
        <w:tc>
          <w:tcPr>
            <w:tcW w:w="3763" w:type="dxa"/>
          </w:tcPr>
          <w:p>
            <w:pPr/>
            <w:r>
              <w:t xml:space="preserve">ID plus short title</w:t>
            </w:r>
          </w:p>
        </w:tc>
      </w:tr>
      <w:tr>
        <w:tc>
          <w:tcPr>
            <w:tcW w:w="1421" w:type="dxa"/>
          </w:tcPr>
          <w:p>
            <w:pPr/>
            <w:r>
              <w:t xml:space="preserve">Videos</w:t>
            </w:r>
          </w:p>
        </w:tc>
        <w:tc>
          <w:tcPr>
            <w:tcW w:w="4176" w:type="dxa"/>
          </w:tcPr>
          <w:p>
            <w:pPr/>
            <w:r>
              <w:t xml:space="preserve">Points to Grove so video is never re-uploaded elsewhere</w:t>
            </w:r>
          </w:p>
        </w:tc>
        <w:tc>
          <w:tcPr>
            <w:tcW w:w="3763" w:type="dxa"/>
          </w:tcPr>
          <w:p>
            <w:pPr/>
            <w:r>
              <w:t xml:space="preserve">Grove link plus title</w:t>
            </w:r>
          </w:p>
        </w:tc>
      </w:tr>
    </w:tbl>
    <w:p>
      <w:pPr>
        <w:pStyle w:val="Heading2"/>
      </w:pPr>
      <w:r>
        <w:t xml:space="preserve">6. Quip article templates</w:t>
      </w:r>
    </w:p>
    <w:p>
      <w:pPr/>
      <w:r>
        <w:t xml:space="preserve">Nine article types cover everything Mail OPS needs. Each type has a master doc in Quip; writers duplicate it and fill it in. Every type starts with the common header from section 5, and every heading inside an article is numbered (§1, §2…) so sections can be cited.</w:t>
      </w:r>
    </w:p>
    <w:tbl>
      <w:tblPr>
        <w:tblStyle w:val="TableGrid"/>
        <w:tblW w:w="0" w:type="auto"/>
        <w:tblLayout w:type="fixed"/>
        <w:tblLook w:val="04A0" w:firstRow="1" w:lastRow="0" w:firstColumn="0" w:lastColumn="0" w:noHBand="0" w:noVBand="1"/>
      </w:tblPr>
      <w:tblGrid>
        <w:gridCol w:w="2095"/>
        <w:gridCol w:w="4456"/>
        <w:gridCol w:w="2809"/>
      </w:tblGrid>
      <w:tr>
        <w:trPr>
          <w:tblHeader/>
        </w:trPr>
        <w:tc>
          <w:tcPr>
            <w:tcW w:w="2095" w:type="dxa"/>
            <w:shd w:val="clear" w:color="auto" w:fill="F2F2F2"/>
          </w:tcPr>
          <w:p>
            <w:pPr/>
            <w:r>
              <w:t xml:space="preserve">Type</w:t>
            </w:r>
          </w:p>
        </w:tc>
        <w:tc>
          <w:tcPr>
            <w:tcW w:w="4456" w:type="dxa"/>
            <w:shd w:val="clear" w:color="auto" w:fill="F2F2F2"/>
          </w:tcPr>
          <w:p>
            <w:pPr/>
            <w:r>
              <w:t xml:space="preserve">Use it for</w:t>
            </w:r>
          </w:p>
        </w:tc>
        <w:tc>
          <w:tcPr>
            <w:tcW w:w="2809" w:type="dxa"/>
            <w:shd w:val="clear" w:color="auto" w:fill="F2F2F2"/>
          </w:tcPr>
          <w:p>
            <w:pPr/>
            <w:r>
              <w:t xml:space="preserve">Typical length</w:t>
            </w:r>
          </w:p>
        </w:tc>
      </w:tr>
      <w:tr>
        <w:tc>
          <w:tcPr>
            <w:tcW w:w="2095" w:type="dxa"/>
          </w:tcPr>
          <w:p>
            <w:pPr/>
            <w:r>
              <w:t xml:space="preserve">Hub</w:t>
            </w:r>
          </w:p>
        </w:tc>
        <w:tc>
          <w:tcPr>
            <w:tcW w:w="4456" w:type="dxa"/>
          </w:tcPr>
          <w:p>
            <w:pPr/>
            <w:r>
              <w:t xml:space="preserve">The landing page of a folder or topic</w:t>
            </w:r>
          </w:p>
        </w:tc>
        <w:tc>
          <w:tcPr>
            <w:tcW w:w="2809" w:type="dxa"/>
          </w:tcPr>
          <w:p>
            <w:pPr/>
            <w:r>
              <w:t xml:space="preserve">1 to 2 min</w:t>
            </w:r>
          </w:p>
        </w:tc>
      </w:tr>
      <w:tr>
        <w:tc>
          <w:tcPr>
            <w:tcW w:w="2095" w:type="dxa"/>
          </w:tcPr>
          <w:p>
            <w:pPr/>
            <w:r>
              <w:t xml:space="preserve">Concept</w:t>
            </w:r>
          </w:p>
        </w:tc>
        <w:tc>
          <w:tcPr>
            <w:tcW w:w="4456" w:type="dxa"/>
          </w:tcPr>
          <w:p>
            <w:pPr/>
            <w:r>
              <w:t xml:space="preserve">Explaining what something is and why it matters</w:t>
            </w:r>
          </w:p>
        </w:tc>
        <w:tc>
          <w:tcPr>
            <w:tcW w:w="2809" w:type="dxa"/>
          </w:tcPr>
          <w:p>
            <w:pPr/>
            <w:r>
              <w:t xml:space="preserve">5 to 8 min</w:t>
            </w:r>
          </w:p>
        </w:tc>
      </w:tr>
      <w:tr>
        <w:tc>
          <w:tcPr>
            <w:tcW w:w="2095" w:type="dxa"/>
          </w:tcPr>
          <w:p>
            <w:pPr/>
            <w:r>
              <w:t xml:space="preserve">Workflow / SOP</w:t>
            </w:r>
          </w:p>
        </w:tc>
        <w:tc>
          <w:tcPr>
            <w:tcW w:w="4456" w:type="dxa"/>
          </w:tcPr>
          <w:p>
            <w:pPr/>
            <w:r>
              <w:t xml:space="preserve">Step-by-step handling of one task or case type</w:t>
            </w:r>
          </w:p>
        </w:tc>
        <w:tc>
          <w:tcPr>
            <w:tcW w:w="2809" w:type="dxa"/>
          </w:tcPr>
          <w:p>
            <w:pPr/>
            <w:r>
              <w:t xml:space="preserve">5 to 10 min</w:t>
            </w:r>
          </w:p>
        </w:tc>
      </w:tr>
      <w:tr>
        <w:tc>
          <w:tcPr>
            <w:tcW w:w="2095" w:type="dxa"/>
          </w:tcPr>
          <w:p>
            <w:pPr/>
            <w:r>
              <w:t xml:space="preserve">Tool Guide</w:t>
            </w:r>
          </w:p>
        </w:tc>
        <w:tc>
          <w:tcPr>
            <w:tcW w:w="4456" w:type="dxa"/>
          </w:tcPr>
          <w:p>
            <w:pPr/>
            <w:r>
              <w:t xml:space="preserve">How to use one tool for the jobs Mail OPS does in it</w:t>
            </w:r>
          </w:p>
        </w:tc>
        <w:tc>
          <w:tcPr>
            <w:tcW w:w="2809" w:type="dxa"/>
          </w:tcPr>
          <w:p>
            <w:pPr/>
            <w:r>
              <w:t xml:space="preserve">5 to 10 min</w:t>
            </w:r>
          </w:p>
        </w:tc>
      </w:tr>
      <w:tr>
        <w:tc>
          <w:tcPr>
            <w:tcW w:w="2095" w:type="dxa"/>
          </w:tcPr>
          <w:p>
            <w:pPr/>
            <w:r>
              <w:t xml:space="preserve">Decision Guide</w:t>
            </w:r>
          </w:p>
        </w:tc>
        <w:tc>
          <w:tcPr>
            <w:tcW w:w="4456" w:type="dxa"/>
          </w:tcPr>
          <w:p>
            <w:pPr/>
            <w:r>
              <w:t xml:space="preserve">The rules for choosing an action, escalation or outcome</w:t>
            </w:r>
          </w:p>
        </w:tc>
        <w:tc>
          <w:tcPr>
            <w:tcW w:w="2809" w:type="dxa"/>
          </w:tcPr>
          <w:p>
            <w:pPr/>
            <w:r>
              <w:t xml:space="preserve">5 to 8 min</w:t>
            </w:r>
          </w:p>
        </w:tc>
      </w:tr>
      <w:tr>
        <w:tc>
          <w:tcPr>
            <w:tcW w:w="2095" w:type="dxa"/>
          </w:tcPr>
          <w:p>
            <w:pPr/>
            <w:r>
              <w:t xml:space="preserve">Reference</w:t>
            </w:r>
          </w:p>
        </w:tc>
        <w:tc>
          <w:tcPr>
            <w:tcW w:w="4456" w:type="dxa"/>
          </w:tcPr>
          <w:p>
            <w:pPr/>
            <w:r>
              <w:t xml:space="preserve">Glossary, codes, contacts, lookup tables</w:t>
            </w:r>
          </w:p>
        </w:tc>
        <w:tc>
          <w:tcPr>
            <w:tcW w:w="2809" w:type="dxa"/>
          </w:tcPr>
          <w:p>
            <w:pPr/>
            <w:r>
              <w:t xml:space="preserve">Scanned, not read</w:t>
            </w:r>
          </w:p>
        </w:tc>
      </w:tr>
      <w:tr>
        <w:tc>
          <w:tcPr>
            <w:tcW w:w="2095" w:type="dxa"/>
          </w:tcPr>
          <w:p>
            <w:pPr/>
            <w:r>
              <w:t xml:space="preserve">Trainer Guide</w:t>
            </w:r>
          </w:p>
        </w:tc>
        <w:tc>
          <w:tcPr>
            <w:tcW w:w="4456" w:type="dxa"/>
          </w:tcPr>
          <w:p>
            <w:pPr/>
            <w:r>
              <w:t xml:space="preserve">How to run one LMS module's live session</w:t>
            </w:r>
          </w:p>
        </w:tc>
        <w:tc>
          <w:tcPr>
            <w:tcW w:w="2809" w:type="dxa"/>
          </w:tcPr>
          <w:p>
            <w:pPr/>
            <w:r>
              <w:t xml:space="preserve">For trainers only</w:t>
            </w:r>
          </w:p>
        </w:tc>
      </w:tr>
      <w:tr>
        <w:tc>
          <w:tcPr>
            <w:tcW w:w="2095" w:type="dxa"/>
          </w:tcPr>
          <w:p>
            <w:pPr/>
            <w:r>
              <w:t xml:space="preserve">Hands-on Activity</w:t>
            </w:r>
          </w:p>
        </w:tc>
        <w:tc>
          <w:tcPr>
            <w:tcW w:w="4456" w:type="dxa"/>
          </w:tcPr>
          <w:p>
            <w:pPr/>
            <w:r>
              <w:t xml:space="preserve">A lab exercise with sample data and expected outcome</w:t>
            </w:r>
          </w:p>
        </w:tc>
        <w:tc>
          <w:tcPr>
            <w:tcW w:w="2809" w:type="dxa"/>
          </w:tcPr>
          <w:p>
            <w:pPr/>
            <w:r>
              <w:t xml:space="preserve">For trainers and trainees</w:t>
            </w:r>
          </w:p>
        </w:tc>
      </w:tr>
      <w:tr>
        <w:tc>
          <w:tcPr>
            <w:tcW w:w="2095" w:type="dxa"/>
          </w:tcPr>
          <w:p>
            <w:pPr/>
            <w:r>
              <w:t xml:space="preserve">Change Log</w:t>
            </w:r>
          </w:p>
        </w:tc>
        <w:tc>
          <w:tcPr>
            <w:tcW w:w="4456" w:type="dxa"/>
          </w:tcPr>
          <w:p>
            <w:pPr/>
            <w:r>
              <w:t xml:space="preserve">The central What's new list</w:t>
            </w:r>
          </w:p>
        </w:tc>
        <w:tc>
          <w:tcPr>
            <w:tcW w:w="2809" w:type="dxa"/>
          </w:tcPr>
          <w:p>
            <w:pPr/>
            <w:r>
              <w:t xml:space="preserve">Scanned</w:t>
            </w:r>
          </w:p>
        </w:tc>
      </w:tr>
    </w:tbl>
    <w:p>
      <w:pPr/>
      <w:r>
        <w:t xml:space="preserve">Split an article when it passes about 10 minutes of reading, or when it starts covering two tasks.</w:t>
      </w:r>
    </w:p>
    <w:p>
      <w:pPr>
        <w:pStyle w:val="Heading3"/>
      </w:pPr>
      <w:r>
        <w:t xml:space="preserve">6.1 Hub</w:t>
      </w:r>
    </w:p>
    <w:p>
      <w:pPr/>
      <w:r>
        <w:rPr>
          <w:b/>
        </w:rPr>
        <w:t xml:space="preserve">Purpose:</w:t>
      </w:r>
      <w:r>
        <w:t xml:space="preserve"> a single page that tells a reader what exists in an area and where to start.</w:t>
      </w:r>
    </w:p>
    <w:tbl>
      <w:tblPr>
        <w:tblStyle w:val="TableGrid"/>
        <w:tblW w:w="0" w:type="auto"/>
        <w:tblLayout w:type="fixed"/>
        <w:tblLook w:val="04A0" w:firstRow="1" w:lastRow="0" w:firstColumn="0" w:lastColumn="0" w:noHBand="0" w:noVBand="1"/>
      </w:tblPr>
      <w:tblGrid>
        <w:gridCol w:w="2237"/>
        <w:gridCol w:w="3340"/>
        <w:gridCol w:w="2756"/>
        <w:gridCol w:w="1027"/>
      </w:tblGrid>
      <w:tr>
        <w:trPr>
          <w:tblHeader/>
        </w:trPr>
        <w:tc>
          <w:tcPr>
            <w:tcW w:w="2237" w:type="dxa"/>
            <w:shd w:val="clear" w:color="auto" w:fill="F2F2F2"/>
          </w:tcPr>
          <w:p>
            <w:pPr/>
            <w:r>
              <w:t xml:space="preserve">Section</w:t>
            </w:r>
          </w:p>
        </w:tc>
        <w:tc>
          <w:tcPr>
            <w:tcW w:w="3340" w:type="dxa"/>
            <w:shd w:val="clear" w:color="auto" w:fill="F2F2F2"/>
          </w:tcPr>
          <w:p>
            <w:pPr/>
            <w:r>
              <w:t xml:space="preserve">What to write</w:t>
            </w:r>
          </w:p>
        </w:tc>
        <w:tc>
          <w:tcPr>
            <w:tcW w:w="2756" w:type="dxa"/>
            <w:shd w:val="clear" w:color="auto" w:fill="F2F2F2"/>
          </w:tcPr>
          <w:p>
            <w:pPr/>
            <w:r>
              <w:t xml:space="preserve">Why</w:t>
            </w:r>
          </w:p>
        </w:tc>
        <w:tc>
          <w:tcPr>
            <w:tcW w:w="1027" w:type="dxa"/>
            <w:shd w:val="clear" w:color="auto" w:fill="F2F2F2"/>
          </w:tcPr>
          <w:p>
            <w:pPr/>
            <w:r>
              <w:t xml:space="preserve">Visuals</w:t>
            </w:r>
          </w:p>
        </w:tc>
      </w:tr>
      <w:tr>
        <w:tc>
          <w:tcPr>
            <w:tcW w:w="2237" w:type="dxa"/>
          </w:tcPr>
          <w:p>
            <w:pPr/>
            <w:r>
              <w:t xml:space="preserve">§1 About this area</w:t>
            </w:r>
          </w:p>
        </w:tc>
        <w:tc>
          <w:tcPr>
            <w:tcW w:w="3340" w:type="dxa"/>
          </w:tcPr>
          <w:p>
            <w:pPr/>
            <w:r>
              <w:t xml:space="preserve">Two or three sentences on what this area of work covers</w:t>
            </w:r>
          </w:p>
        </w:tc>
        <w:tc>
          <w:tcPr>
            <w:tcW w:w="2756" w:type="dxa"/>
          </w:tcPr>
          <w:p>
            <w:pPr/>
            <w:r>
              <w:t xml:space="preserve">Orients someone arriving from search or a link</w:t>
            </w:r>
          </w:p>
        </w:tc>
        <w:tc>
          <w:tcPr>
            <w:tcW w:w="1027" w:type="dxa"/>
          </w:tcPr>
          <w:p>
            <w:pPr/>
            <w:r>
              <w:t xml:space="preserve">None</w:t>
            </w:r>
          </w:p>
        </w:tc>
      </w:tr>
      <w:tr>
        <w:tc>
          <w:tcPr>
            <w:tcW w:w="2237" w:type="dxa"/>
          </w:tcPr>
          <w:p>
            <w:pPr/>
            <w:r>
              <w:t xml:space="preserve">§2 Start here</w:t>
            </w:r>
          </w:p>
        </w:tc>
        <w:tc>
          <w:tcPr>
            <w:tcW w:w="3340" w:type="dxa"/>
          </w:tcPr>
          <w:p>
            <w:pPr/>
            <w:r>
              <w:t xml:space="preserve">The two or three articles a new analyst should read first</w:t>
            </w:r>
          </w:p>
        </w:tc>
        <w:tc>
          <w:tcPr>
            <w:tcW w:w="2756" w:type="dxa"/>
          </w:tcPr>
          <w:p>
            <w:pPr/>
            <w:r>
              <w:t xml:space="preserve">Gives a path, not just a list</w:t>
            </w:r>
          </w:p>
        </w:tc>
        <w:tc>
          <w:tcPr>
            <w:tcW w:w="1027" w:type="dxa"/>
          </w:tcPr>
          <w:p>
            <w:pPr/>
            <w:r>
              <w:t xml:space="preserve">None</w:t>
            </w:r>
          </w:p>
        </w:tc>
      </w:tr>
      <w:tr>
        <w:tc>
          <w:tcPr>
            <w:tcW w:w="2237" w:type="dxa"/>
          </w:tcPr>
          <w:p>
            <w:pPr/>
            <w:r>
              <w:t xml:space="preserve">§3 All articles</w:t>
            </w:r>
          </w:p>
        </w:tc>
        <w:tc>
          <w:tcPr>
            <w:tcW w:w="3340" w:type="dxa"/>
          </w:tcPr>
          <w:p>
            <w:pPr/>
            <w:r>
              <w:t xml:space="preserve">Table: ID, title, type, one-line purpose</w:t>
            </w:r>
          </w:p>
        </w:tc>
        <w:tc>
          <w:tcPr>
            <w:tcW w:w="2756" w:type="dxa"/>
          </w:tcPr>
          <w:p>
            <w:pPr/>
            <w:r>
              <w:t xml:space="preserve">Lets readers scan the whole area</w:t>
            </w:r>
          </w:p>
        </w:tc>
        <w:tc>
          <w:tcPr>
            <w:tcW w:w="1027" w:type="dxa"/>
          </w:tcPr>
          <w:p>
            <w:pPr/>
            <w:r>
              <w:t xml:space="preserve">Table</w:t>
            </w:r>
          </w:p>
        </w:tc>
      </w:tr>
      <w:tr>
        <w:tc>
          <w:tcPr>
            <w:tcW w:w="2237" w:type="dxa"/>
          </w:tcPr>
          <w:p>
            <w:pPr/>
            <w:r>
              <w:t xml:space="preserve">§4 Related areas</w:t>
            </w:r>
          </w:p>
        </w:tc>
        <w:tc>
          <w:tcPr>
            <w:tcW w:w="3340" w:type="dxa"/>
          </w:tcPr>
          <w:p>
            <w:pPr/>
            <w:r>
              <w:t xml:space="preserve">Links to other hubs</w:t>
            </w:r>
          </w:p>
        </w:tc>
        <w:tc>
          <w:tcPr>
            <w:tcW w:w="2756" w:type="dxa"/>
          </w:tcPr>
          <w:p>
            <w:pPr/>
            <w:r>
              <w:t xml:space="preserve">Keeps navigation between folders easy</w:t>
            </w:r>
          </w:p>
        </w:tc>
        <w:tc>
          <w:tcPr>
            <w:tcW w:w="1027" w:type="dxa"/>
          </w:tcPr>
          <w:p>
            <w:pPr/>
            <w:r>
              <w:t xml:space="preserve">None</w:t>
            </w:r>
          </w:p>
        </w:tc>
      </w:tr>
    </w:tbl>
    <w:p>
      <w:pPr>
        <w:pStyle w:val="Heading3"/>
      </w:pPr>
      <w:r>
        <w:t xml:space="preserve">6.2 Concept</w:t>
      </w:r>
    </w:p>
    <w:p>
      <w:pPr/>
      <w:r>
        <w:rPr>
          <w:b/>
        </w:rPr>
        <w:t xml:space="preserve">Purpose:</w:t>
      </w:r>
      <w:r>
        <w:t xml:space="preserve"> explain what something is, how it works and why it matters to Mail OPS. No procedures.</w:t>
      </w:r>
    </w:p>
    <w:tbl>
      <w:tblPr>
        <w:tblStyle w:val="TableGrid"/>
        <w:tblW w:w="0" w:type="auto"/>
        <w:tblLayout w:type="fixed"/>
        <w:tblLook w:val="04A0" w:firstRow="1" w:lastRow="0" w:firstColumn="0" w:lastColumn="0" w:noHBand="0" w:noVBand="1"/>
      </w:tblPr>
      <w:tblGrid>
        <w:gridCol w:w="2183"/>
        <w:gridCol w:w="3644"/>
        <w:gridCol w:w="2069"/>
        <w:gridCol w:w="1464"/>
      </w:tblGrid>
      <w:tr>
        <w:trPr>
          <w:tblHeader/>
        </w:trPr>
        <w:tc>
          <w:tcPr>
            <w:tcW w:w="2183" w:type="dxa"/>
            <w:shd w:val="clear" w:color="auto" w:fill="F2F2F2"/>
          </w:tcPr>
          <w:p>
            <w:pPr/>
            <w:r>
              <w:t xml:space="preserve">Section</w:t>
            </w:r>
          </w:p>
        </w:tc>
        <w:tc>
          <w:tcPr>
            <w:tcW w:w="3644" w:type="dxa"/>
            <w:shd w:val="clear" w:color="auto" w:fill="F2F2F2"/>
          </w:tcPr>
          <w:p>
            <w:pPr/>
            <w:r>
              <w:t xml:space="preserve">What to write</w:t>
            </w:r>
          </w:p>
        </w:tc>
        <w:tc>
          <w:tcPr>
            <w:tcW w:w="2069" w:type="dxa"/>
            <w:shd w:val="clear" w:color="auto" w:fill="F2F2F2"/>
          </w:tcPr>
          <w:p>
            <w:pPr/>
            <w:r>
              <w:t xml:space="preserve">Why</w:t>
            </w:r>
          </w:p>
        </w:tc>
        <w:tc>
          <w:tcPr>
            <w:tcW w:w="1464" w:type="dxa"/>
            <w:shd w:val="clear" w:color="auto" w:fill="F2F2F2"/>
          </w:tcPr>
          <w:p>
            <w:pPr/>
            <w:r>
              <w:t xml:space="preserve">Visuals</w:t>
            </w:r>
          </w:p>
        </w:tc>
      </w:tr>
      <w:tr>
        <w:tc>
          <w:tcPr>
            <w:tcW w:w="2183" w:type="dxa"/>
          </w:tcPr>
          <w:p>
            <w:pPr/>
            <w:r>
              <w:t xml:space="preserve">§1 In one minute</w:t>
            </w:r>
          </w:p>
        </w:tc>
        <w:tc>
          <w:tcPr>
            <w:tcW w:w="3644" w:type="dxa"/>
          </w:tcPr>
          <w:p>
            <w:pPr/>
            <w:r>
              <w:t xml:space="preserve">Three to five sentences a new analyst could repeat back</w:t>
            </w:r>
          </w:p>
        </w:tc>
        <w:tc>
          <w:tcPr>
            <w:tcW w:w="2069" w:type="dxa"/>
          </w:tcPr>
          <w:p>
            <w:pPr/>
            <w:r>
              <w:t xml:space="preserve">Gives the takeaway before detail</w:t>
            </w:r>
          </w:p>
        </w:tc>
        <w:tc>
          <w:tcPr>
            <w:tcW w:w="1464" w:type="dxa"/>
          </w:tcPr>
          <w:p>
            <w:pPr/>
            <w:r>
              <w:t xml:space="preserve">None</w:t>
            </w:r>
          </w:p>
        </w:tc>
      </w:tr>
      <w:tr>
        <w:tc>
          <w:tcPr>
            <w:tcW w:w="2183" w:type="dxa"/>
          </w:tcPr>
          <w:p>
            <w:pPr/>
            <w:r>
              <w:t xml:space="preserve">§2 Why it matters to Mail OPS</w:t>
            </w:r>
          </w:p>
        </w:tc>
        <w:tc>
          <w:tcPr>
            <w:tcW w:w="3644" w:type="dxa"/>
          </w:tcPr>
          <w:p>
            <w:pPr/>
            <w:r>
              <w:t xml:space="preserve">Where this shows up in casework, with one real example</w:t>
            </w:r>
          </w:p>
        </w:tc>
        <w:tc>
          <w:tcPr>
            <w:tcW w:w="2069" w:type="dxa"/>
          </w:tcPr>
          <w:p>
            <w:pPr/>
            <w:r>
              <w:t xml:space="preserve">Connects theory to the job</w:t>
            </w:r>
          </w:p>
        </w:tc>
        <w:tc>
          <w:tcPr>
            <w:tcW w:w="1464" w:type="dxa"/>
          </w:tcPr>
          <w:p>
            <w:pPr/>
            <w:r>
              <w:t xml:space="preserve">Optional: example screenshot or header</w:t>
            </w:r>
          </w:p>
        </w:tc>
      </w:tr>
      <w:tr>
        <w:tc>
          <w:tcPr>
            <w:tcW w:w="2183" w:type="dxa"/>
          </w:tcPr>
          <w:p>
            <w:pPr/>
            <w:r>
              <w:t xml:space="preserve">§3 How it works</w:t>
            </w:r>
          </w:p>
        </w:tc>
        <w:tc>
          <w:tcPr>
            <w:tcW w:w="3644" w:type="dxa"/>
          </w:tcPr>
          <w:p>
            <w:pPr/>
            <w:r>
              <w:t xml:space="preserve">The explanation, in short subsections</w:t>
            </w:r>
          </w:p>
        </w:tc>
        <w:tc>
          <w:tcPr>
            <w:tcW w:w="2069" w:type="dxa"/>
          </w:tcPr>
          <w:p>
            <w:pPr/>
            <w:r>
              <w:t xml:space="preserve">The core content</w:t>
            </w:r>
          </w:p>
        </w:tc>
        <w:tc>
          <w:tcPr>
            <w:tcW w:w="1464" w:type="dxa"/>
          </w:tcPr>
          <w:p>
            <w:pPr/>
            <w:r>
              <w:t xml:space="preserve">Diagram for any flow, architecture or sequence</w:t>
            </w:r>
          </w:p>
        </w:tc>
      </w:tr>
      <w:tr>
        <w:tc>
          <w:tcPr>
            <w:tcW w:w="2183" w:type="dxa"/>
          </w:tcPr>
          <w:p>
            <w:pPr/>
            <w:r>
              <w:t xml:space="preserve">§4 Key terms</w:t>
            </w:r>
          </w:p>
        </w:tc>
        <w:tc>
          <w:tcPr>
            <w:tcW w:w="3644" w:type="dxa"/>
          </w:tcPr>
          <w:p>
            <w:pPr/>
            <w:r>
              <w:t xml:space="preserve">Terms introduced here, linked to the Glossary</w:t>
            </w:r>
          </w:p>
        </w:tc>
        <w:tc>
          <w:tcPr>
            <w:tcW w:w="2069" w:type="dxa"/>
          </w:tcPr>
          <w:p>
            <w:pPr/>
            <w:r>
              <w:t xml:space="preserve">Keeps vocabulary consistent</w:t>
            </w:r>
          </w:p>
        </w:tc>
        <w:tc>
          <w:tcPr>
            <w:tcW w:w="1464" w:type="dxa"/>
          </w:tcPr>
          <w:p>
            <w:pPr/>
            <w:r>
              <w:t xml:space="preserve">None</w:t>
            </w:r>
          </w:p>
        </w:tc>
      </w:tr>
      <w:tr>
        <w:tc>
          <w:tcPr>
            <w:tcW w:w="2183" w:type="dxa"/>
          </w:tcPr>
          <w:p>
            <w:pPr/>
            <w:r>
              <w:t xml:space="preserve">§5 Common misunderstandings</w:t>
            </w:r>
          </w:p>
        </w:tc>
        <w:tc>
          <w:tcPr>
            <w:tcW w:w="3644" w:type="dxa"/>
          </w:tcPr>
          <w:p>
            <w:pPr/>
            <w:r>
              <w:t xml:space="preserve">Two to four things new analysts typically get wrong</w:t>
            </w:r>
          </w:p>
        </w:tc>
        <w:tc>
          <w:tcPr>
            <w:tcW w:w="2069" w:type="dxa"/>
          </w:tcPr>
          <w:p>
            <w:pPr/>
            <w:r>
              <w:t xml:space="preserve">Prevents predictable errors</w:t>
            </w:r>
          </w:p>
        </w:tc>
        <w:tc>
          <w:tcPr>
            <w:tcW w:w="1464" w:type="dxa"/>
          </w:tcPr>
          <w:p>
            <w:pPr/>
            <w:r>
              <w:t xml:space="preserve">None</w:t>
            </w:r>
          </w:p>
        </w:tc>
      </w:tr>
      <w:tr>
        <w:tc>
          <w:tcPr>
            <w:tcW w:w="2183" w:type="dxa"/>
          </w:tcPr>
          <w:p>
            <w:pPr/>
            <w:r>
              <w:t xml:space="preserve">§6 Where to go next</w:t>
            </w:r>
          </w:p>
        </w:tc>
        <w:tc>
          <w:tcPr>
            <w:tcW w:w="3644" w:type="dxa"/>
          </w:tcPr>
          <w:p>
            <w:pPr/>
            <w:r>
              <w:t xml:space="preserve">Links to the Workflows and Tool Guides that use this concept</w:t>
            </w:r>
          </w:p>
        </w:tc>
        <w:tc>
          <w:tcPr>
            <w:tcW w:w="2069" w:type="dxa"/>
          </w:tcPr>
          <w:p>
            <w:pPr/>
            <w:r>
              <w:t xml:space="preserve">Moves the reader from knowing to doing</w:t>
            </w:r>
          </w:p>
        </w:tc>
        <w:tc>
          <w:tcPr>
            <w:tcW w:w="1464" w:type="dxa"/>
          </w:tcPr>
          <w:p>
            <w:pPr/>
            <w:r>
              <w:t xml:space="preserve">None</w:t>
            </w:r>
          </w:p>
        </w:tc>
      </w:tr>
    </w:tbl>
    <w:p>
      <w:pPr>
        <w:pStyle w:val="Heading3"/>
      </w:pPr>
      <w:r>
        <w:t xml:space="preserve">6.3 Workflow / SOP</w:t>
      </w:r>
    </w:p>
    <w:p>
      <w:pPr/>
      <w:r>
        <w:rPr>
          <w:b/>
        </w:rPr>
        <w:t xml:space="preserve">Purpose:</w:t>
      </w:r>
      <w:r>
        <w:t xml:space="preserve"> the authoritative steps for handling one task or case type. This is the type analysts will use most in production.</w:t>
      </w:r>
    </w:p>
    <w:tbl>
      <w:tblPr>
        <w:tblStyle w:val="TableGrid"/>
        <w:tblW w:w="0" w:type="auto"/>
        <w:tblLayout w:type="fixed"/>
        <w:tblLook w:val="04A0" w:firstRow="1" w:lastRow="0" w:firstColumn="0" w:lastColumn="0" w:noHBand="0" w:noVBand="1"/>
      </w:tblPr>
      <w:tblGrid>
        <w:gridCol w:w="1467"/>
        <w:gridCol w:w="3968"/>
        <w:gridCol w:w="2137"/>
        <w:gridCol w:w="1788"/>
      </w:tblGrid>
      <w:tr>
        <w:trPr>
          <w:tblHeader/>
        </w:trPr>
        <w:tc>
          <w:tcPr>
            <w:tcW w:w="1467" w:type="dxa"/>
            <w:shd w:val="clear" w:color="auto" w:fill="F2F2F2"/>
          </w:tcPr>
          <w:p>
            <w:pPr/>
            <w:r>
              <w:t xml:space="preserve">Section</w:t>
            </w:r>
          </w:p>
        </w:tc>
        <w:tc>
          <w:tcPr>
            <w:tcW w:w="3968" w:type="dxa"/>
            <w:shd w:val="clear" w:color="auto" w:fill="F2F2F2"/>
          </w:tcPr>
          <w:p>
            <w:pPr/>
            <w:r>
              <w:t xml:space="preserve">What to write</w:t>
            </w:r>
          </w:p>
        </w:tc>
        <w:tc>
          <w:tcPr>
            <w:tcW w:w="2137" w:type="dxa"/>
            <w:shd w:val="clear" w:color="auto" w:fill="F2F2F2"/>
          </w:tcPr>
          <w:p>
            <w:pPr/>
            <w:r>
              <w:t xml:space="preserve">Why</w:t>
            </w:r>
          </w:p>
        </w:tc>
        <w:tc>
          <w:tcPr>
            <w:tcW w:w="1788" w:type="dxa"/>
            <w:shd w:val="clear" w:color="auto" w:fill="F2F2F2"/>
          </w:tcPr>
          <w:p>
            <w:pPr/>
            <w:r>
              <w:t xml:space="preserve">Visuals</w:t>
            </w:r>
          </w:p>
        </w:tc>
      </w:tr>
      <w:tr>
        <w:tc>
          <w:tcPr>
            <w:tcW w:w="1467" w:type="dxa"/>
          </w:tcPr>
          <w:p>
            <w:pPr/>
            <w:r>
              <w:t xml:space="preserve">§1 When to use this</w:t>
            </w:r>
          </w:p>
        </w:tc>
        <w:tc>
          <w:tcPr>
            <w:tcW w:w="3968" w:type="dxa"/>
          </w:tcPr>
          <w:p>
            <w:pPr/>
            <w:r>
              <w:t xml:space="preserve">The trigger: which case, queue or signal starts this workflow</w:t>
            </w:r>
          </w:p>
        </w:tc>
        <w:tc>
          <w:tcPr>
            <w:tcW w:w="2137" w:type="dxa"/>
          </w:tcPr>
          <w:p>
            <w:pPr/>
            <w:r>
              <w:t xml:space="preserve">The reader confirms they are on the right page</w:t>
            </w:r>
          </w:p>
        </w:tc>
        <w:tc>
          <w:tcPr>
            <w:tcW w:w="1788" w:type="dxa"/>
          </w:tcPr>
          <w:p>
            <w:pPr/>
            <w:r>
              <w:t xml:space="preserve">None</w:t>
            </w:r>
          </w:p>
        </w:tc>
      </w:tr>
      <w:tr>
        <w:tc>
          <w:tcPr>
            <w:tcW w:w="1467" w:type="dxa"/>
          </w:tcPr>
          <w:p>
            <w:pPr/>
            <w:r>
              <w:t xml:space="preserve">§2 Before you start</w:t>
            </w:r>
          </w:p>
        </w:tc>
        <w:tc>
          <w:tcPr>
            <w:tcW w:w="3968" w:type="dxa"/>
          </w:tcPr>
          <w:p>
            <w:pPr/>
            <w:r>
              <w:t xml:space="preserve">Access, tools and information needed</w:t>
            </w:r>
          </w:p>
        </w:tc>
        <w:tc>
          <w:tcPr>
            <w:tcW w:w="2137" w:type="dxa"/>
          </w:tcPr>
          <w:p>
            <w:pPr/>
            <w:r>
              <w:t xml:space="preserve">Avoids stopping halfway</w:t>
            </w:r>
          </w:p>
        </w:tc>
        <w:tc>
          <w:tcPr>
            <w:tcW w:w="1788" w:type="dxa"/>
          </w:tcPr>
          <w:p>
            <w:pPr/>
            <w:r>
              <w:t xml:space="preserve">Checklist</w:t>
            </w:r>
          </w:p>
        </w:tc>
      </w:tr>
      <w:tr>
        <w:tc>
          <w:tcPr>
            <w:tcW w:w="1467" w:type="dxa"/>
          </w:tcPr>
          <w:p>
            <w:pPr/>
            <w:r>
              <w:t xml:space="preserve">§3 Steps</w:t>
            </w:r>
          </w:p>
        </w:tc>
        <w:tc>
          <w:tcPr>
            <w:tcW w:w="3968" w:type="dxa"/>
          </w:tcPr>
          <w:p>
            <w:pPr/>
            <w:r>
              <w:t xml:space="preserve">Numbered steps, one action each, with the expected result after key steps</w:t>
            </w:r>
          </w:p>
        </w:tc>
        <w:tc>
          <w:tcPr>
            <w:tcW w:w="2137" w:type="dxa"/>
          </w:tcPr>
          <w:p>
            <w:pPr/>
            <w:r>
              <w:t xml:space="preserve">The core procedure</w:t>
            </w:r>
          </w:p>
        </w:tc>
        <w:tc>
          <w:tcPr>
            <w:tcW w:w="1788" w:type="dxa"/>
          </w:tcPr>
          <w:p>
            <w:pPr/>
            <w:r>
              <w:t xml:space="preserve">Quip checklist for the steps; annotated screenshot for every UI step; flowchart if the steps branch</w:t>
            </w:r>
          </w:p>
        </w:tc>
      </w:tr>
      <w:tr>
        <w:tc>
          <w:tcPr>
            <w:tcW w:w="1467" w:type="dxa"/>
          </w:tcPr>
          <w:p>
            <w:pPr/>
            <w:r>
              <w:t xml:space="preserve">§4 Decisions in this workflow</w:t>
            </w:r>
          </w:p>
        </w:tc>
        <w:tc>
          <w:tcPr>
            <w:tcW w:w="3968" w:type="dxa"/>
          </w:tcPr>
          <w:p>
            <w:pPr/>
            <w:r>
              <w:t xml:space="preserve">Short summary of choice points, linking to the Decision Guide for full rules</w:t>
            </w:r>
          </w:p>
        </w:tc>
        <w:tc>
          <w:tcPr>
            <w:tcW w:w="2137" w:type="dxa"/>
          </w:tcPr>
          <w:p>
            <w:pPr/>
            <w:r>
              <w:t xml:space="preserve">Keeps rules in one place</w:t>
            </w:r>
          </w:p>
        </w:tc>
        <w:tc>
          <w:tcPr>
            <w:tcW w:w="1788" w:type="dxa"/>
          </w:tcPr>
          <w:p>
            <w:pPr/>
            <w:r>
              <w:t xml:space="preserve">Decision table or link</w:t>
            </w:r>
          </w:p>
        </w:tc>
      </w:tr>
      <w:tr>
        <w:tc>
          <w:tcPr>
            <w:tcW w:w="1467" w:type="dxa"/>
          </w:tcPr>
          <w:p>
            <w:pPr/>
            <w:r>
              <w:t xml:space="preserve">§5 Escalation</w:t>
            </w:r>
          </w:p>
        </w:tc>
        <w:tc>
          <w:tcPr>
            <w:tcW w:w="3968" w:type="dxa"/>
          </w:tcPr>
          <w:p>
            <w:pPr/>
            <w:r>
              <w:t xml:space="preserve">When, to whom, through which channel, with what information</w:t>
            </w:r>
          </w:p>
        </w:tc>
        <w:tc>
          <w:tcPr>
            <w:tcW w:w="2137" w:type="dxa"/>
          </w:tcPr>
          <w:p>
            <w:pPr/>
            <w:r>
              <w:t xml:space="preserve">Escalation is where errors cost the most</w:t>
            </w:r>
          </w:p>
        </w:tc>
        <w:tc>
          <w:tcPr>
            <w:tcW w:w="1788" w:type="dxa"/>
          </w:tcPr>
          <w:p>
            <w:pPr/>
            <w:r>
              <w:t xml:space="preserve">Table</w:t>
            </w:r>
          </w:p>
        </w:tc>
      </w:tr>
      <w:tr>
        <w:tc>
          <w:tcPr>
            <w:tcW w:w="1467" w:type="dxa"/>
          </w:tcPr>
          <w:p>
            <w:pPr/>
            <w:r>
              <w:t xml:space="preserve">§6 Notes and wording</w:t>
            </w:r>
          </w:p>
        </w:tc>
        <w:tc>
          <w:tcPr>
            <w:tcW w:w="3968" w:type="dxa"/>
          </w:tcPr>
          <w:p>
            <w:pPr/>
            <w:r>
              <w:t xml:space="preserve">Required case notes, templates, canned responses</w:t>
            </w:r>
          </w:p>
        </w:tc>
        <w:tc>
          <w:tcPr>
            <w:tcW w:w="2137" w:type="dxa"/>
          </w:tcPr>
          <w:p>
            <w:pPr/>
            <w:r>
              <w:t xml:space="preserve">Consistency in records and replies</w:t>
            </w:r>
          </w:p>
        </w:tc>
        <w:tc>
          <w:tcPr>
            <w:tcW w:w="1788" w:type="dxa"/>
          </w:tcPr>
          <w:p>
            <w:pPr/>
            <w:r>
              <w:t xml:space="preserve">Code block for templates</w:t>
            </w:r>
          </w:p>
        </w:tc>
      </w:tr>
      <w:tr>
        <w:tc>
          <w:tcPr>
            <w:tcW w:w="1467" w:type="dxa"/>
          </w:tcPr>
          <w:p>
            <w:pPr/>
            <w:r>
              <w:t xml:space="preserve">§7 Examples</w:t>
            </w:r>
          </w:p>
        </w:tc>
        <w:tc>
          <w:tcPr>
            <w:tcW w:w="3968" w:type="dxa"/>
          </w:tcPr>
          <w:p>
            <w:pPr/>
            <w:r>
              <w:t xml:space="preserve">One or two worked cases: what came in, what was done, why</w:t>
            </w:r>
          </w:p>
        </w:tc>
        <w:tc>
          <w:tcPr>
            <w:tcW w:w="2137" w:type="dxa"/>
          </w:tcPr>
          <w:p>
            <w:pPr/>
            <w:r>
              <w:t xml:space="preserve">Shows judgment in context</w:t>
            </w:r>
          </w:p>
        </w:tc>
        <w:tc>
          <w:tcPr>
            <w:tcW w:w="1788" w:type="dxa"/>
          </w:tcPr>
          <w:p>
            <w:pPr/>
            <w:r>
              <w:t xml:space="preserve">Redacted screenshot or header sample</w:t>
            </w:r>
          </w:p>
        </w:tc>
      </w:tr>
      <w:tr>
        <w:tc>
          <w:tcPr>
            <w:tcW w:w="1467" w:type="dxa"/>
          </w:tcPr>
          <w:p>
            <w:pPr/>
            <w:r>
              <w:t xml:space="preserve">§8 Common mistakes</w:t>
            </w:r>
          </w:p>
        </w:tc>
        <w:tc>
          <w:tcPr>
            <w:tcW w:w="3968" w:type="dxa"/>
          </w:tcPr>
          <w:p>
            <w:pPr/>
            <w:r>
              <w:t xml:space="preserve">Errors seen in QA, and how to avoid them</w:t>
            </w:r>
          </w:p>
        </w:tc>
        <w:tc>
          <w:tcPr>
            <w:tcW w:w="2137" w:type="dxa"/>
          </w:tcPr>
          <w:p>
            <w:pPr/>
            <w:r>
              <w:t xml:space="preserve">Feeds QA findings back into the SOP</w:t>
            </w:r>
          </w:p>
        </w:tc>
        <w:tc>
          <w:tcPr>
            <w:tcW w:w="1788" w:type="dxa"/>
          </w:tcPr>
          <w:p>
            <w:pPr/>
            <w:r>
              <w:t xml:space="preserve">None</w:t>
            </w:r>
          </w:p>
        </w:tc>
      </w:tr>
      <w:tr>
        <w:tc>
          <w:tcPr>
            <w:tcW w:w="1467" w:type="dxa"/>
          </w:tcPr>
          <w:p>
            <w:pPr/>
            <w:r>
              <w:t xml:space="preserve">§9 Related</w:t>
            </w:r>
          </w:p>
        </w:tc>
        <w:tc>
          <w:tcPr>
            <w:tcW w:w="3968" w:type="dxa"/>
          </w:tcPr>
          <w:p>
            <w:pPr/>
            <w:r>
              <w:t xml:space="preserve">Concept, Tool Guide and Decision Guide links</w:t>
            </w:r>
          </w:p>
        </w:tc>
        <w:tc>
          <w:tcPr>
            <w:tcW w:w="2137" w:type="dxa"/>
          </w:tcPr>
          <w:p>
            <w:pPr/>
            <w:r>
              <w:t xml:space="preserve">Navigation</w:t>
            </w:r>
          </w:p>
        </w:tc>
        <w:tc>
          <w:tcPr>
            <w:tcW w:w="1788" w:type="dxa"/>
          </w:tcPr>
          <w:p>
            <w:pPr/>
            <w:r>
              <w:t xml:space="preserve">None</w:t>
            </w:r>
          </w:p>
        </w:tc>
      </w:tr>
    </w:tbl>
    <w:p>
      <w:pPr>
        <w:pStyle w:val="Heading3"/>
      </w:pPr>
      <w:r>
        <w:t xml:space="preserve">6.4 Tool Guide</w:t>
      </w:r>
    </w:p>
    <w:p>
      <w:pPr/>
      <w:r>
        <w:rPr>
          <w:b/>
        </w:rPr>
        <w:t xml:space="preserve">Purpose:</w:t>
      </w:r>
      <w:r>
        <w:t xml:space="preserve"> how Mail OPS uses one tool. Organized by the jobs done in the tool, not by every menu in it.</w:t>
      </w:r>
    </w:p>
    <w:tbl>
      <w:tblPr>
        <w:tblStyle w:val="TableGrid"/>
        <w:tblW w:w="0" w:type="auto"/>
        <w:tblLayout w:type="fixed"/>
        <w:tblLook w:val="04A0" w:firstRow="1" w:lastRow="0" w:firstColumn="0" w:lastColumn="0" w:noHBand="0" w:noVBand="1"/>
      </w:tblPr>
      <w:tblGrid>
        <w:gridCol w:w="1899"/>
        <w:gridCol w:w="3819"/>
        <w:gridCol w:w="2028"/>
        <w:gridCol w:w="1614"/>
      </w:tblGrid>
      <w:tr>
        <w:trPr>
          <w:tblHeader/>
        </w:trPr>
        <w:tc>
          <w:tcPr>
            <w:tcW w:w="1899" w:type="dxa"/>
            <w:shd w:val="clear" w:color="auto" w:fill="F2F2F2"/>
          </w:tcPr>
          <w:p>
            <w:pPr/>
            <w:r>
              <w:t xml:space="preserve">Section</w:t>
            </w:r>
          </w:p>
        </w:tc>
        <w:tc>
          <w:tcPr>
            <w:tcW w:w="3819" w:type="dxa"/>
            <w:shd w:val="clear" w:color="auto" w:fill="F2F2F2"/>
          </w:tcPr>
          <w:p>
            <w:pPr/>
            <w:r>
              <w:t xml:space="preserve">What to write</w:t>
            </w:r>
          </w:p>
        </w:tc>
        <w:tc>
          <w:tcPr>
            <w:tcW w:w="2028" w:type="dxa"/>
            <w:shd w:val="clear" w:color="auto" w:fill="F2F2F2"/>
          </w:tcPr>
          <w:p>
            <w:pPr/>
            <w:r>
              <w:t xml:space="preserve">Why</w:t>
            </w:r>
          </w:p>
        </w:tc>
        <w:tc>
          <w:tcPr>
            <w:tcW w:w="1614" w:type="dxa"/>
            <w:shd w:val="clear" w:color="auto" w:fill="F2F2F2"/>
          </w:tcPr>
          <w:p>
            <w:pPr/>
            <w:r>
              <w:t xml:space="preserve">Visuals</w:t>
            </w:r>
          </w:p>
        </w:tc>
      </w:tr>
      <w:tr>
        <w:tc>
          <w:tcPr>
            <w:tcW w:w="1899" w:type="dxa"/>
          </w:tcPr>
          <w:p>
            <w:pPr/>
            <w:r>
              <w:t xml:space="preserve">§1 What this tool is for</w:t>
            </w:r>
          </w:p>
        </w:tc>
        <w:tc>
          <w:tcPr>
            <w:tcW w:w="3819" w:type="dxa"/>
          </w:tcPr>
          <w:p>
            <w:pPr/>
            <w:r>
              <w:t xml:space="preserve">One paragraph on its role in Mail OPS and what it is not used for</w:t>
            </w:r>
          </w:p>
        </w:tc>
        <w:tc>
          <w:tcPr>
            <w:tcW w:w="2028" w:type="dxa"/>
          </w:tcPr>
          <w:p>
            <w:pPr/>
            <w:r>
              <w:t xml:space="preserve">Sets scope</w:t>
            </w:r>
          </w:p>
        </w:tc>
        <w:tc>
          <w:tcPr>
            <w:tcW w:w="1614" w:type="dxa"/>
          </w:tcPr>
          <w:p>
            <w:pPr/>
            <w:r>
              <w:t xml:space="preserve">None</w:t>
            </w:r>
          </w:p>
        </w:tc>
      </w:tr>
      <w:tr>
        <w:tc>
          <w:tcPr>
            <w:tcW w:w="1899" w:type="dxa"/>
          </w:tcPr>
          <w:p>
            <w:pPr/>
            <w:r>
              <w:t xml:space="preserve">§2 Access</w:t>
            </w:r>
          </w:p>
        </w:tc>
        <w:tc>
          <w:tcPr>
            <w:tcW w:w="3819" w:type="dxa"/>
          </w:tcPr>
          <w:p>
            <w:pPr/>
            <w:r>
              <w:t xml:space="preserve">How to request access, who approves, roles</w:t>
            </w:r>
          </w:p>
        </w:tc>
        <w:tc>
          <w:tcPr>
            <w:tcW w:w="2028" w:type="dxa"/>
          </w:tcPr>
          <w:p>
            <w:pPr/>
            <w:r>
              <w:t xml:space="preserve">Common day-one blocker</w:t>
            </w:r>
          </w:p>
        </w:tc>
        <w:tc>
          <w:tcPr>
            <w:tcW w:w="1614" w:type="dxa"/>
          </w:tcPr>
          <w:p>
            <w:pPr/>
            <w:r>
              <w:t xml:space="preserve">None</w:t>
            </w:r>
          </w:p>
        </w:tc>
      </w:tr>
      <w:tr>
        <w:tc>
          <w:tcPr>
            <w:tcW w:w="1899" w:type="dxa"/>
          </w:tcPr>
          <w:p>
            <w:pPr/>
            <w:r>
              <w:t xml:space="preserve">§3 Screen tour</w:t>
            </w:r>
          </w:p>
        </w:tc>
        <w:tc>
          <w:tcPr>
            <w:tcW w:w="3819" w:type="dxa"/>
          </w:tcPr>
          <w:p>
            <w:pPr/>
            <w:r>
              <w:t xml:space="preserve">The main screen with each area labelled</w:t>
            </w:r>
          </w:p>
        </w:tc>
        <w:tc>
          <w:tcPr>
            <w:tcW w:w="2028" w:type="dxa"/>
          </w:tcPr>
          <w:p>
            <w:pPr/>
            <w:r>
              <w:t xml:space="preserve">Builds a mental map before tasks</w:t>
            </w:r>
          </w:p>
        </w:tc>
        <w:tc>
          <w:tcPr>
            <w:tcW w:w="1614" w:type="dxa"/>
          </w:tcPr>
          <w:p>
            <w:pPr/>
            <w:r>
              <w:t xml:space="preserve">One annotated full-screen screenshot</w:t>
            </w:r>
          </w:p>
        </w:tc>
      </w:tr>
      <w:tr>
        <w:tc>
          <w:tcPr>
            <w:tcW w:w="1899" w:type="dxa"/>
          </w:tcPr>
          <w:p>
            <w:pPr/>
            <w:r>
              <w:t xml:space="preserve">§4 Tasks</w:t>
            </w:r>
          </w:p>
        </w:tc>
        <w:tc>
          <w:tcPr>
            <w:tcW w:w="3819" w:type="dxa"/>
          </w:tcPr>
          <w:p>
            <w:pPr/>
            <w:r>
              <w:t xml:space="preserve">One subsection per job, such as "Read an existing rule" or "Write a blocklist rule", each with numbered steps</w:t>
            </w:r>
          </w:p>
        </w:tc>
        <w:tc>
          <w:tcPr>
            <w:tcW w:w="2028" w:type="dxa"/>
          </w:tcPr>
          <w:p>
            <w:pPr/>
            <w:r>
              <w:t xml:space="preserve">Matches how analysts actually use it</w:t>
            </w:r>
          </w:p>
        </w:tc>
        <w:tc>
          <w:tcPr>
            <w:tcW w:w="1614" w:type="dxa"/>
          </w:tcPr>
          <w:p>
            <w:pPr/>
            <w:r>
              <w:t xml:space="preserve">Annotated screenshot per step; Grove video for flows across several screens</w:t>
            </w:r>
          </w:p>
        </w:tc>
      </w:tr>
      <w:tr>
        <w:tc>
          <w:tcPr>
            <w:tcW w:w="1899" w:type="dxa"/>
          </w:tcPr>
          <w:p>
            <w:pPr/>
            <w:r>
              <w:t xml:space="preserve">§5 Field and value reference</w:t>
            </w:r>
          </w:p>
        </w:tc>
        <w:tc>
          <w:tcPr>
            <w:tcW w:w="3819" w:type="dxa"/>
          </w:tcPr>
          <w:p>
            <w:pPr/>
            <w:r>
              <w:t xml:space="preserve">Table of the fields that matter and what values mean</w:t>
            </w:r>
          </w:p>
        </w:tc>
        <w:tc>
          <w:tcPr>
            <w:tcW w:w="2028" w:type="dxa"/>
          </w:tcPr>
          <w:p>
            <w:pPr/>
            <w:r>
              <w:t xml:space="preserve">Lets analysts check a value quickly</w:t>
            </w:r>
          </w:p>
        </w:tc>
        <w:tc>
          <w:tcPr>
            <w:tcW w:w="1614" w:type="dxa"/>
          </w:tcPr>
          <w:p>
            <w:pPr/>
            <w:r>
              <w:t xml:space="preserve">Table</w:t>
            </w:r>
          </w:p>
        </w:tc>
      </w:tr>
      <w:tr>
        <w:tc>
          <w:tcPr>
            <w:tcW w:w="1899" w:type="dxa"/>
          </w:tcPr>
          <w:p>
            <w:pPr/>
            <w:r>
              <w:t xml:space="preserve">§6 Naming conventions and rules</w:t>
            </w:r>
          </w:p>
        </w:tc>
        <w:tc>
          <w:tcPr>
            <w:tcW w:w="3819" w:type="dxa"/>
          </w:tcPr>
          <w:p>
            <w:pPr/>
            <w:r>
              <w:t xml:space="preserve">Any conventions the team follows in this tool</w:t>
            </w:r>
          </w:p>
        </w:tc>
        <w:tc>
          <w:tcPr>
            <w:tcW w:w="2028" w:type="dxa"/>
          </w:tcPr>
          <w:p>
            <w:pPr/>
            <w:r>
              <w:t xml:space="preserve">Consistency across analysts</w:t>
            </w:r>
          </w:p>
        </w:tc>
        <w:tc>
          <w:tcPr>
            <w:tcW w:w="1614" w:type="dxa"/>
          </w:tcPr>
          <w:p>
            <w:pPr/>
            <w:r>
              <w:t xml:space="preserve">Table or code block</w:t>
            </w:r>
          </w:p>
        </w:tc>
      </w:tr>
      <w:tr>
        <w:tc>
          <w:tcPr>
            <w:tcW w:w="1899" w:type="dxa"/>
          </w:tcPr>
          <w:p>
            <w:pPr/>
            <w:r>
              <w:t xml:space="preserve">§7 Troubleshooting</w:t>
            </w:r>
          </w:p>
        </w:tc>
        <w:tc>
          <w:tcPr>
            <w:tcW w:w="3819" w:type="dxa"/>
          </w:tcPr>
          <w:p>
            <w:pPr/>
            <w:r>
              <w:t xml:space="preserve">Known issues and what to do</w:t>
            </w:r>
          </w:p>
        </w:tc>
        <w:tc>
          <w:tcPr>
            <w:tcW w:w="2028" w:type="dxa"/>
          </w:tcPr>
          <w:p>
            <w:pPr/>
            <w:r>
              <w:t xml:space="preserve">Reduces escalations to SMEs</w:t>
            </w:r>
          </w:p>
        </w:tc>
        <w:tc>
          <w:tcPr>
            <w:tcW w:w="1614" w:type="dxa"/>
          </w:tcPr>
          <w:p>
            <w:pPr/>
            <w:r>
              <w:t xml:space="preserve">Table</w:t>
            </w:r>
          </w:p>
        </w:tc>
      </w:tr>
      <w:tr>
        <w:tc>
          <w:tcPr>
            <w:tcW w:w="1899" w:type="dxa"/>
          </w:tcPr>
          <w:p>
            <w:pPr/>
            <w:r>
              <w:t xml:space="preserve">§8 Related</w:t>
            </w:r>
          </w:p>
        </w:tc>
        <w:tc>
          <w:tcPr>
            <w:tcW w:w="3819" w:type="dxa"/>
          </w:tcPr>
          <w:p>
            <w:pPr/>
            <w:r>
              <w:t xml:space="preserve">Workflows that use this tool</w:t>
            </w:r>
          </w:p>
        </w:tc>
        <w:tc>
          <w:tcPr>
            <w:tcW w:w="2028" w:type="dxa"/>
          </w:tcPr>
          <w:p>
            <w:pPr/>
            <w:r>
              <w:t xml:space="preserve">Navigation</w:t>
            </w:r>
          </w:p>
        </w:tc>
        <w:tc>
          <w:tcPr>
            <w:tcW w:w="1614" w:type="dxa"/>
          </w:tcPr>
          <w:p>
            <w:pPr/>
            <w:r>
              <w:t xml:space="preserve">None</w:t>
            </w:r>
          </w:p>
        </w:tc>
      </w:tr>
    </w:tbl>
    <w:p>
      <w:pPr>
        <w:pStyle w:val="Heading3"/>
      </w:pPr>
      <w:r>
        <w:t xml:space="preserve">6.5 Decision Guide</w:t>
      </w:r>
    </w:p>
    <w:p>
      <w:pPr/>
      <w:r>
        <w:rPr>
          <w:b/>
        </w:rPr>
        <w:t xml:space="preserve">Purpose:</w:t>
      </w:r>
      <w:r>
        <w:t xml:space="preserve"> the single place where the rules for a judgment live. Workflows link here instead of repeating the rules, so a rule change is made once.</w:t>
      </w:r>
    </w:p>
    <w:tbl>
      <w:tblPr>
        <w:tblStyle w:val="TableGrid"/>
        <w:tblW w:w="0" w:type="auto"/>
        <w:tblLayout w:type="fixed"/>
        <w:tblLook w:val="04A0" w:firstRow="1" w:lastRow="0" w:firstColumn="0" w:lastColumn="0" w:noHBand="0" w:noVBand="1"/>
      </w:tblPr>
      <w:tblGrid>
        <w:gridCol w:w="1320"/>
        <w:gridCol w:w="3782"/>
        <w:gridCol w:w="2330"/>
        <w:gridCol w:w="1928"/>
      </w:tblGrid>
      <w:tr>
        <w:trPr>
          <w:tblHeader/>
        </w:trPr>
        <w:tc>
          <w:tcPr>
            <w:tcW w:w="1320" w:type="dxa"/>
            <w:shd w:val="clear" w:color="auto" w:fill="F2F2F2"/>
          </w:tcPr>
          <w:p>
            <w:pPr/>
            <w:r>
              <w:t xml:space="preserve">Section</w:t>
            </w:r>
          </w:p>
        </w:tc>
        <w:tc>
          <w:tcPr>
            <w:tcW w:w="3782" w:type="dxa"/>
            <w:shd w:val="clear" w:color="auto" w:fill="F2F2F2"/>
          </w:tcPr>
          <w:p>
            <w:pPr/>
            <w:r>
              <w:t xml:space="preserve">What to write</w:t>
            </w:r>
          </w:p>
        </w:tc>
        <w:tc>
          <w:tcPr>
            <w:tcW w:w="2330" w:type="dxa"/>
            <w:shd w:val="clear" w:color="auto" w:fill="F2F2F2"/>
          </w:tcPr>
          <w:p>
            <w:pPr/>
            <w:r>
              <w:t xml:space="preserve">Why</w:t>
            </w:r>
          </w:p>
        </w:tc>
        <w:tc>
          <w:tcPr>
            <w:tcW w:w="1928" w:type="dxa"/>
            <w:shd w:val="clear" w:color="auto" w:fill="F2F2F2"/>
          </w:tcPr>
          <w:p>
            <w:pPr/>
            <w:r>
              <w:t xml:space="preserve">Visuals</w:t>
            </w:r>
          </w:p>
        </w:tc>
      </w:tr>
      <w:tr>
        <w:tc>
          <w:tcPr>
            <w:tcW w:w="1320" w:type="dxa"/>
          </w:tcPr>
          <w:p>
            <w:pPr/>
            <w:r>
              <w:t xml:space="preserve">§1 The decision</w:t>
            </w:r>
          </w:p>
        </w:tc>
        <w:tc>
          <w:tcPr>
            <w:tcW w:w="3782" w:type="dxa"/>
          </w:tcPr>
          <w:p>
            <w:pPr/>
            <w:r>
              <w:t xml:space="preserve">The question being answered, such as "Which account action fits this case?"</w:t>
            </w:r>
          </w:p>
        </w:tc>
        <w:tc>
          <w:tcPr>
            <w:tcW w:w="2330" w:type="dxa"/>
          </w:tcPr>
          <w:p>
            <w:pPr/>
            <w:r>
              <w:t xml:space="preserve">Frames the page</w:t>
            </w:r>
          </w:p>
        </w:tc>
        <w:tc>
          <w:tcPr>
            <w:tcW w:w="1928" w:type="dxa"/>
          </w:tcPr>
          <w:p>
            <w:pPr/>
            <w:r>
              <w:t xml:space="preserve">None</w:t>
            </w:r>
          </w:p>
        </w:tc>
      </w:tr>
      <w:tr>
        <w:tc>
          <w:tcPr>
            <w:tcW w:w="1320" w:type="dxa"/>
          </w:tcPr>
          <w:p>
            <w:pPr/>
            <w:r>
              <w:t xml:space="preserve">§2 Inputs</w:t>
            </w:r>
          </w:p>
        </w:tc>
        <w:tc>
          <w:tcPr>
            <w:tcW w:w="3782" w:type="dxa"/>
          </w:tcPr>
          <w:p>
            <w:pPr/>
            <w:r>
              <w:t xml:space="preserve">The signals and evidence the analyst must check</w:t>
            </w:r>
          </w:p>
        </w:tc>
        <w:tc>
          <w:tcPr>
            <w:tcW w:w="2330" w:type="dxa"/>
          </w:tcPr>
          <w:p>
            <w:pPr/>
            <w:r>
              <w:t xml:space="preserve">Decisions are only as good as their inputs</w:t>
            </w:r>
          </w:p>
        </w:tc>
        <w:tc>
          <w:tcPr>
            <w:tcW w:w="1928" w:type="dxa"/>
          </w:tcPr>
          <w:p>
            <w:pPr/>
            <w:r>
              <w:t xml:space="preserve">Checklist</w:t>
            </w:r>
          </w:p>
        </w:tc>
      </w:tr>
      <w:tr>
        <w:tc>
          <w:tcPr>
            <w:tcW w:w="1320" w:type="dxa"/>
          </w:tcPr>
          <w:p>
            <w:pPr/>
            <w:r>
              <w:t xml:space="preserve">§3 Rules</w:t>
            </w:r>
          </w:p>
        </w:tc>
        <w:tc>
          <w:tcPr>
            <w:tcW w:w="3782" w:type="dxa"/>
          </w:tcPr>
          <w:p>
            <w:pPr/>
            <w:r>
              <w:t xml:space="preserve">The decision logic</w:t>
            </w:r>
          </w:p>
        </w:tc>
        <w:tc>
          <w:tcPr>
            <w:tcW w:w="2330" w:type="dxa"/>
          </w:tcPr>
          <w:p>
            <w:pPr/>
            <w:r>
              <w:t xml:space="preserve">The core content</w:t>
            </w:r>
          </w:p>
        </w:tc>
        <w:tc>
          <w:tcPr>
            <w:tcW w:w="1928" w:type="dxa"/>
          </w:tcPr>
          <w:p>
            <w:pPr/>
            <w:r>
              <w:t xml:space="preserve">Decision table when rules combine several conditions; decision tree when they branch in sequence</w:t>
            </w:r>
          </w:p>
        </w:tc>
      </w:tr>
      <w:tr>
        <w:tc>
          <w:tcPr>
            <w:tcW w:w="1320" w:type="dxa"/>
          </w:tcPr>
          <w:p>
            <w:pPr/>
            <w:r>
              <w:t xml:space="preserve">§4 Edge cases</w:t>
            </w:r>
          </w:p>
        </w:tc>
        <w:tc>
          <w:tcPr>
            <w:tcW w:w="3782" w:type="dxa"/>
          </w:tcPr>
          <w:p>
            <w:pPr/>
            <w:r>
              <w:t xml:space="preserve">Cases the rules do not settle cleanly, with the agreed answer</w:t>
            </w:r>
          </w:p>
        </w:tc>
        <w:tc>
          <w:tcPr>
            <w:tcW w:w="2330" w:type="dxa"/>
          </w:tcPr>
          <w:p>
            <w:pPr/>
            <w:r>
              <w:t xml:space="preserve">Where most errors and escalations come from</w:t>
            </w:r>
          </w:p>
        </w:tc>
        <w:tc>
          <w:tcPr>
            <w:tcW w:w="1928" w:type="dxa"/>
          </w:tcPr>
          <w:p>
            <w:pPr/>
            <w:r>
              <w:t xml:space="preserve">Table: case, answer, reason</w:t>
            </w:r>
          </w:p>
        </w:tc>
      </w:tr>
      <w:tr>
        <w:tc>
          <w:tcPr>
            <w:tcW w:w="1320" w:type="dxa"/>
          </w:tcPr>
          <w:p>
            <w:pPr/>
            <w:r>
              <w:t xml:space="preserve">§5 When to escalate instead</w:t>
            </w:r>
          </w:p>
        </w:tc>
        <w:tc>
          <w:tcPr>
            <w:tcW w:w="3782" w:type="dxa"/>
          </w:tcPr>
          <w:p>
            <w:pPr/>
            <w:r>
              <w:t xml:space="preserve">Conditions where the analyst must not decide alone</w:t>
            </w:r>
          </w:p>
        </w:tc>
        <w:tc>
          <w:tcPr>
            <w:tcW w:w="2330" w:type="dxa"/>
          </w:tcPr>
          <w:p>
            <w:pPr/>
            <w:r>
              <w:t xml:space="preserve">Protects against overreach</w:t>
            </w:r>
          </w:p>
        </w:tc>
        <w:tc>
          <w:tcPr>
            <w:tcW w:w="1928" w:type="dxa"/>
          </w:tcPr>
          <w:p>
            <w:pPr/>
            <w:r>
              <w:t xml:space="preserve">None</w:t>
            </w:r>
          </w:p>
        </w:tc>
      </w:tr>
      <w:tr>
        <w:tc>
          <w:tcPr>
            <w:tcW w:w="1320" w:type="dxa"/>
          </w:tcPr>
          <w:p>
            <w:pPr/>
            <w:r>
              <w:t xml:space="preserve">§6 Examples</w:t>
            </w:r>
          </w:p>
        </w:tc>
        <w:tc>
          <w:tcPr>
            <w:tcW w:w="3782" w:type="dxa"/>
          </w:tcPr>
          <w:p>
            <w:pPr/>
            <w:r>
              <w:t xml:space="preserve">Three or more short cases with the correct outcome and reasoning</w:t>
            </w:r>
          </w:p>
        </w:tc>
        <w:tc>
          <w:tcPr>
            <w:tcW w:w="2330" w:type="dxa"/>
          </w:tcPr>
          <w:p>
            <w:pPr/>
            <w:r>
              <w:t xml:space="preserve">Makes rules concrete; also the source for LMS scenarios</w:t>
            </w:r>
          </w:p>
        </w:tc>
        <w:tc>
          <w:tcPr>
            <w:tcW w:w="1928" w:type="dxa"/>
          </w:tcPr>
          <w:p>
            <w:pPr/>
            <w:r>
              <w:t xml:space="preserve">Redacted samples</w:t>
            </w:r>
          </w:p>
        </w:tc>
      </w:tr>
      <w:tr>
        <w:tc>
          <w:tcPr>
            <w:tcW w:w="1320" w:type="dxa"/>
          </w:tcPr>
          <w:p>
            <w:pPr/>
            <w:r>
              <w:t xml:space="preserve">§7 Related</w:t>
            </w:r>
          </w:p>
        </w:tc>
        <w:tc>
          <w:tcPr>
            <w:tcW w:w="3782" w:type="dxa"/>
          </w:tcPr>
          <w:p>
            <w:pPr/>
            <w:r>
              <w:t xml:space="preserve">Workflows that use this decision</w:t>
            </w:r>
          </w:p>
        </w:tc>
        <w:tc>
          <w:tcPr>
            <w:tcW w:w="2330" w:type="dxa"/>
          </w:tcPr>
          <w:p>
            <w:pPr/>
            <w:r>
              <w:t xml:space="preserve">Navigation</w:t>
            </w:r>
          </w:p>
        </w:tc>
        <w:tc>
          <w:tcPr>
            <w:tcW w:w="1928" w:type="dxa"/>
          </w:tcPr>
          <w:p>
            <w:pPr/>
            <w:r>
              <w:t xml:space="preserve">None</w:t>
            </w:r>
          </w:p>
        </w:tc>
      </w:tr>
    </w:tbl>
    <w:p>
      <w:pPr>
        <w:pStyle w:val="Heading3"/>
      </w:pPr>
      <w:r>
        <w:t xml:space="preserve">6.6 Reference</w:t>
      </w:r>
    </w:p>
    <w:p>
      <w:pPr/>
      <w:r>
        <w:rPr>
          <w:b/>
        </w:rPr>
        <w:t xml:space="preserve">Purpose:</w:t>
      </w:r>
      <w:r>
        <w:t xml:space="preserve"> lookup content that is scanned, not read: the Glossary, classification codes, contact lists, SLA tables.</w:t>
      </w:r>
    </w:p>
    <w:tbl>
      <w:tblPr>
        <w:tblStyle w:val="TableGrid"/>
        <w:tblW w:w="0" w:type="auto"/>
        <w:tblLayout w:type="fixed"/>
        <w:tblLook w:val="04A0" w:firstRow="1" w:lastRow="0" w:firstColumn="0" w:lastColumn="0" w:noHBand="0" w:noVBand="1"/>
      </w:tblPr>
      <w:tblGrid>
        <w:gridCol w:w="1435"/>
        <w:gridCol w:w="4367"/>
        <w:gridCol w:w="1854"/>
        <w:gridCol w:w="1702"/>
      </w:tblGrid>
      <w:tr>
        <w:trPr>
          <w:tblHeader/>
        </w:trPr>
        <w:tc>
          <w:tcPr>
            <w:tcW w:w="1435" w:type="dxa"/>
            <w:shd w:val="clear" w:color="auto" w:fill="F2F2F2"/>
          </w:tcPr>
          <w:p>
            <w:pPr/>
            <w:r>
              <w:t xml:space="preserve">Section</w:t>
            </w:r>
          </w:p>
        </w:tc>
        <w:tc>
          <w:tcPr>
            <w:tcW w:w="4367" w:type="dxa"/>
            <w:shd w:val="clear" w:color="auto" w:fill="F2F2F2"/>
          </w:tcPr>
          <w:p>
            <w:pPr/>
            <w:r>
              <w:t xml:space="preserve">What to write</w:t>
            </w:r>
          </w:p>
        </w:tc>
        <w:tc>
          <w:tcPr>
            <w:tcW w:w="1854" w:type="dxa"/>
            <w:shd w:val="clear" w:color="auto" w:fill="F2F2F2"/>
          </w:tcPr>
          <w:p>
            <w:pPr/>
            <w:r>
              <w:t xml:space="preserve">Why</w:t>
            </w:r>
          </w:p>
        </w:tc>
        <w:tc>
          <w:tcPr>
            <w:tcW w:w="1702" w:type="dxa"/>
            <w:shd w:val="clear" w:color="auto" w:fill="F2F2F2"/>
          </w:tcPr>
          <w:p>
            <w:pPr/>
            <w:r>
              <w:t xml:space="preserve">Visuals</w:t>
            </w:r>
          </w:p>
        </w:tc>
      </w:tr>
      <w:tr>
        <w:tc>
          <w:tcPr>
            <w:tcW w:w="1435" w:type="dxa"/>
          </w:tcPr>
          <w:p>
            <w:pPr/>
            <w:r>
              <w:t xml:space="preserve">§1 How to use this page</w:t>
            </w:r>
          </w:p>
        </w:tc>
        <w:tc>
          <w:tcPr>
            <w:tcW w:w="4367" w:type="dxa"/>
          </w:tcPr>
          <w:p>
            <w:pPr/>
            <w:r>
              <w:t xml:space="preserve">One line on what is listed and how it is sorted</w:t>
            </w:r>
          </w:p>
        </w:tc>
        <w:tc>
          <w:tcPr>
            <w:tcW w:w="1854" w:type="dxa"/>
          </w:tcPr>
          <w:p>
            <w:pPr/>
            <w:r>
              <w:t xml:space="preserve">Speeds up lookup</w:t>
            </w:r>
          </w:p>
        </w:tc>
        <w:tc>
          <w:tcPr>
            <w:tcW w:w="1702" w:type="dxa"/>
          </w:tcPr>
          <w:p>
            <w:pPr/>
            <w:r>
              <w:t xml:space="preserve">None</w:t>
            </w:r>
          </w:p>
        </w:tc>
      </w:tr>
      <w:tr>
        <w:tc>
          <w:tcPr>
            <w:tcW w:w="1435" w:type="dxa"/>
          </w:tcPr>
          <w:p>
            <w:pPr/>
            <w:r>
              <w:t xml:space="preserve">§2 The table</w:t>
            </w:r>
          </w:p>
        </w:tc>
        <w:tc>
          <w:tcPr>
            <w:tcW w:w="4367" w:type="dxa"/>
          </w:tcPr>
          <w:p>
            <w:pPr/>
            <w:r>
              <w:t xml:space="preserve">One row per item. Glossary columns: term, plain-English meaning, example, linked article</w:t>
            </w:r>
          </w:p>
        </w:tc>
        <w:tc>
          <w:tcPr>
            <w:tcW w:w="1854" w:type="dxa"/>
          </w:tcPr>
          <w:p>
            <w:pPr/>
            <w:r>
              <w:t xml:space="preserve">The content itself</w:t>
            </w:r>
          </w:p>
        </w:tc>
        <w:tc>
          <w:tcPr>
            <w:tcW w:w="1702" w:type="dxa"/>
          </w:tcPr>
          <w:p>
            <w:pPr/>
            <w:r>
              <w:t xml:space="preserve">Table, sorted alphabetically or by code</w:t>
            </w:r>
          </w:p>
        </w:tc>
      </w:tr>
      <w:tr>
        <w:tc>
          <w:tcPr>
            <w:tcW w:w="1435" w:type="dxa"/>
          </w:tcPr>
          <w:p>
            <w:pPr/>
            <w:r>
              <w:t xml:space="preserve">§3 Notes</w:t>
            </w:r>
          </w:p>
        </w:tc>
        <w:tc>
          <w:tcPr>
            <w:tcW w:w="4367" w:type="dxa"/>
          </w:tcPr>
          <w:p>
            <w:pPr/>
            <w:r>
              <w:t xml:space="preserve">Anything that applies to the whole table</w:t>
            </w:r>
          </w:p>
        </w:tc>
        <w:tc>
          <w:tcPr>
            <w:tcW w:w="1854" w:type="dxa"/>
          </w:tcPr>
          <w:p>
            <w:pPr/>
            <w:r>
              <w:t xml:space="preserve">Avoids repeating notes in every row</w:t>
            </w:r>
          </w:p>
        </w:tc>
        <w:tc>
          <w:tcPr>
            <w:tcW w:w="1702" w:type="dxa"/>
          </w:tcPr>
          <w:p>
            <w:pPr/>
            <w:r>
              <w:t xml:space="preserve">None</w:t>
            </w:r>
          </w:p>
        </w:tc>
      </w:tr>
    </w:tbl>
    <w:p>
      <w:pPr/>
      <w:r>
        <w:t xml:space="preserve">There is one Glossary for all of Mail OPS (KA-GEN-002). Other articles link to it rather than defining terms again.</w:t>
      </w:r>
    </w:p>
    <w:p>
      <w:pPr>
        <w:pStyle w:val="Heading3"/>
      </w:pPr>
      <w:r>
        <w:t xml:space="preserve">6.7 Trainer Guide</w:t>
      </w:r>
    </w:p>
    <w:p>
      <w:pPr/>
      <w:r>
        <w:rPr>
          <w:b/>
        </w:rPr>
        <w:t xml:space="preserve">Purpose:</w:t>
      </w:r>
      <w:r>
        <w:t xml:space="preserve"> everything a trainer needs to run one LMS module's live or blended session. Stored in 90 Training Kit only.</w:t>
      </w:r>
    </w:p>
    <w:tbl>
      <w:tblPr>
        <w:tblStyle w:val="TableGrid"/>
        <w:tblW w:w="0" w:type="auto"/>
        <w:tblLayout w:type="fixed"/>
        <w:tblLook w:val="04A0" w:firstRow="1" w:lastRow="0" w:firstColumn="0" w:lastColumn="0" w:noHBand="0" w:noVBand="1"/>
      </w:tblPr>
      <w:tblGrid>
        <w:gridCol w:w="1679"/>
        <w:gridCol w:w="4375"/>
        <w:gridCol w:w="2081"/>
        <w:gridCol w:w="1225"/>
      </w:tblGrid>
      <w:tr>
        <w:trPr>
          <w:tblHeader/>
        </w:trPr>
        <w:tc>
          <w:tcPr>
            <w:tcW w:w="1679" w:type="dxa"/>
            <w:shd w:val="clear" w:color="auto" w:fill="F2F2F2"/>
          </w:tcPr>
          <w:p>
            <w:pPr/>
            <w:r>
              <w:t xml:space="preserve">Section</w:t>
            </w:r>
          </w:p>
        </w:tc>
        <w:tc>
          <w:tcPr>
            <w:tcW w:w="4375" w:type="dxa"/>
            <w:shd w:val="clear" w:color="auto" w:fill="F2F2F2"/>
          </w:tcPr>
          <w:p>
            <w:pPr/>
            <w:r>
              <w:t xml:space="preserve">What to write</w:t>
            </w:r>
          </w:p>
        </w:tc>
        <w:tc>
          <w:tcPr>
            <w:tcW w:w="2081" w:type="dxa"/>
            <w:shd w:val="clear" w:color="auto" w:fill="F2F2F2"/>
          </w:tcPr>
          <w:p>
            <w:pPr/>
            <w:r>
              <w:t xml:space="preserve">Why</w:t>
            </w:r>
          </w:p>
        </w:tc>
        <w:tc>
          <w:tcPr>
            <w:tcW w:w="1225" w:type="dxa"/>
            <w:shd w:val="clear" w:color="auto" w:fill="F2F2F2"/>
          </w:tcPr>
          <w:p>
            <w:pPr/>
            <w:r>
              <w:t xml:space="preserve">Visuals</w:t>
            </w:r>
          </w:p>
        </w:tc>
      </w:tr>
      <w:tr>
        <w:tc>
          <w:tcPr>
            <w:tcW w:w="1679" w:type="dxa"/>
          </w:tcPr>
          <w:p>
            <w:pPr/>
            <w:r>
              <w:t xml:space="preserve">§1 Session overview</w:t>
            </w:r>
          </w:p>
        </w:tc>
        <w:tc>
          <w:tcPr>
            <w:tcW w:w="4375" w:type="dxa"/>
          </w:tcPr>
          <w:p>
            <w:pPr/>
            <w:r>
              <w:t xml:space="preserve">Module ID, curriculum day, duration, modality, objectives</w:t>
            </w:r>
          </w:p>
        </w:tc>
        <w:tc>
          <w:tcPr>
            <w:tcW w:w="2081" w:type="dxa"/>
          </w:tcPr>
          <w:p>
            <w:pPr/>
            <w:r>
              <w:t xml:space="preserve">Matches the curriculum row</w:t>
            </w:r>
          </w:p>
        </w:tc>
        <w:tc>
          <w:tcPr>
            <w:tcW w:w="1225" w:type="dxa"/>
          </w:tcPr>
          <w:p>
            <w:pPr/>
            <w:r>
              <w:t xml:space="preserve">Table</w:t>
            </w:r>
          </w:p>
        </w:tc>
      </w:tr>
      <w:tr>
        <w:tc>
          <w:tcPr>
            <w:tcW w:w="1679" w:type="dxa"/>
          </w:tcPr>
          <w:p>
            <w:pPr/>
            <w:r>
              <w:t xml:space="preserve">§2 Before the session</w:t>
            </w:r>
          </w:p>
        </w:tc>
        <w:tc>
          <w:tcPr>
            <w:tcW w:w="4375" w:type="dxa"/>
          </w:tcPr>
          <w:p>
            <w:pPr/>
            <w:r>
              <w:t xml:space="preserve">Access, sample data, accounts and rooms to set up</w:t>
            </w:r>
          </w:p>
        </w:tc>
        <w:tc>
          <w:tcPr>
            <w:tcW w:w="2081" w:type="dxa"/>
          </w:tcPr>
          <w:p>
            <w:pPr/>
            <w:r>
              <w:t xml:space="preserve">Avoids failed demos</w:t>
            </w:r>
          </w:p>
        </w:tc>
        <w:tc>
          <w:tcPr>
            <w:tcW w:w="1225" w:type="dxa"/>
          </w:tcPr>
          <w:p>
            <w:pPr/>
            <w:r>
              <w:t xml:space="preserve">Checklist</w:t>
            </w:r>
          </w:p>
        </w:tc>
      </w:tr>
      <w:tr>
        <w:tc>
          <w:tcPr>
            <w:tcW w:w="1679" w:type="dxa"/>
          </w:tcPr>
          <w:p>
            <w:pPr/>
            <w:r>
              <w:t xml:space="preserve">§3 Run sheet</w:t>
            </w:r>
          </w:p>
        </w:tc>
        <w:tc>
          <w:tcPr>
            <w:tcW w:w="4375" w:type="dxa"/>
          </w:tcPr>
          <w:p>
            <w:pPr/>
            <w:r>
              <w:t xml:space="preserve">Timed segments: what the trainer does, what trainees do, which Quip section is on screen</w:t>
            </w:r>
          </w:p>
        </w:tc>
        <w:tc>
          <w:tcPr>
            <w:tcW w:w="2081" w:type="dxa"/>
          </w:tcPr>
          <w:p>
            <w:pPr/>
            <w:r>
              <w:t xml:space="preserve">The core of the session</w:t>
            </w:r>
          </w:p>
        </w:tc>
        <w:tc>
          <w:tcPr>
            <w:tcW w:w="1225" w:type="dxa"/>
          </w:tcPr>
          <w:p>
            <w:pPr/>
            <w:r>
              <w:t xml:space="preserve">Table: time, segment, trainer, trainees, article</w:t>
            </w:r>
          </w:p>
        </w:tc>
      </w:tr>
      <w:tr>
        <w:tc>
          <w:tcPr>
            <w:tcW w:w="1679" w:type="dxa"/>
          </w:tcPr>
          <w:p>
            <w:pPr/>
            <w:r>
              <w:t xml:space="preserve">§4 Discussion prompts</w:t>
            </w:r>
          </w:p>
        </w:tc>
        <w:tc>
          <w:tcPr>
            <w:tcW w:w="4375" w:type="dxa"/>
          </w:tcPr>
          <w:p>
            <w:pPr/>
            <w:r>
              <w:t xml:space="preserve">Questions to ask and the answers to listen for</w:t>
            </w:r>
          </w:p>
        </w:tc>
        <w:tc>
          <w:tcPr>
            <w:tcW w:w="2081" w:type="dxa"/>
          </w:tcPr>
          <w:p>
            <w:pPr/>
            <w:r>
              <w:t xml:space="preserve">Consistency across trainers</w:t>
            </w:r>
          </w:p>
        </w:tc>
        <w:tc>
          <w:tcPr>
            <w:tcW w:w="1225" w:type="dxa"/>
          </w:tcPr>
          <w:p>
            <w:pPr/>
            <w:r>
              <w:t xml:space="preserve">None</w:t>
            </w:r>
          </w:p>
        </w:tc>
      </w:tr>
      <w:tr>
        <w:tc>
          <w:tcPr>
            <w:tcW w:w="1679" w:type="dxa"/>
          </w:tcPr>
          <w:p>
            <w:pPr/>
            <w:r>
              <w:t xml:space="preserve">§5 Common questions</w:t>
            </w:r>
          </w:p>
        </w:tc>
        <w:tc>
          <w:tcPr>
            <w:tcW w:w="4375" w:type="dxa"/>
          </w:tcPr>
          <w:p>
            <w:pPr/>
            <w:r>
              <w:t xml:space="preserve">Questions trainees often ask, with answers pointing to Quip sections</w:t>
            </w:r>
          </w:p>
        </w:tc>
        <w:tc>
          <w:tcPr>
            <w:tcW w:w="2081" w:type="dxa"/>
          </w:tcPr>
          <w:p>
            <w:pPr/>
            <w:r>
              <w:t xml:space="preserve">Keeps answers aligned to Quip</w:t>
            </w:r>
          </w:p>
        </w:tc>
        <w:tc>
          <w:tcPr>
            <w:tcW w:w="1225" w:type="dxa"/>
          </w:tcPr>
          <w:p>
            <w:pPr/>
            <w:r>
              <w:t xml:space="preserve">Table</w:t>
            </w:r>
          </w:p>
        </w:tc>
      </w:tr>
      <w:tr>
        <w:tc>
          <w:tcPr>
            <w:tcW w:w="1679" w:type="dxa"/>
          </w:tcPr>
          <w:p>
            <w:pPr/>
            <w:r>
              <w:t xml:space="preserve">§6 Activity debrief</w:t>
            </w:r>
          </w:p>
        </w:tc>
        <w:tc>
          <w:tcPr>
            <w:tcW w:w="4375" w:type="dxa"/>
          </w:tcPr>
          <w:p>
            <w:pPr/>
            <w:r>
              <w:t xml:space="preserve">How to run the debrief for any Hands-on Activity</w:t>
            </w:r>
          </w:p>
        </w:tc>
        <w:tc>
          <w:tcPr>
            <w:tcW w:w="2081" w:type="dxa"/>
          </w:tcPr>
          <w:p>
            <w:pPr/>
            <w:r>
              <w:t xml:space="preserve">Turns practice into learning</w:t>
            </w:r>
          </w:p>
        </w:tc>
        <w:tc>
          <w:tcPr>
            <w:tcW w:w="1225" w:type="dxa"/>
          </w:tcPr>
          <w:p>
            <w:pPr/>
            <w:r>
              <w:t xml:space="preserve">None</w:t>
            </w:r>
          </w:p>
        </w:tc>
      </w:tr>
      <w:tr>
        <w:tc>
          <w:tcPr>
            <w:tcW w:w="1679" w:type="dxa"/>
          </w:tcPr>
          <w:p>
            <w:pPr/>
            <w:r>
              <w:t xml:space="preserve">§7 Trainer notes</w:t>
            </w:r>
          </w:p>
        </w:tc>
        <w:tc>
          <w:tcPr>
            <w:tcW w:w="4375" w:type="dxa"/>
          </w:tcPr>
          <w:p>
            <w:pPr/>
            <w:r>
              <w:t xml:space="preserve">Pitfalls, timing tips, what went wrong last time</w:t>
            </w:r>
          </w:p>
        </w:tc>
        <w:tc>
          <w:tcPr>
            <w:tcW w:w="2081" w:type="dxa"/>
          </w:tcPr>
          <w:p>
            <w:pPr/>
            <w:r>
              <w:t xml:space="preserve">Improves delivery over time</w:t>
            </w:r>
          </w:p>
        </w:tc>
        <w:tc>
          <w:tcPr>
            <w:tcW w:w="1225" w:type="dxa"/>
          </w:tcPr>
          <w:p>
            <w:pPr/>
            <w:r>
              <w:t xml:space="preserve">None</w:t>
            </w:r>
          </w:p>
        </w:tc>
      </w:tr>
    </w:tbl>
    <w:p>
      <w:pPr/>
      <w:r>
        <w:t xml:space="preserve">The Trainer Guide must not contain process content. When a trainer needs to explain a step, the run sheet points to the Quip section.</w:t>
      </w:r>
    </w:p>
    <w:p>
      <w:pPr>
        <w:pStyle w:val="Heading3"/>
      </w:pPr>
      <w:r>
        <w:t xml:space="preserve">6.8 Hands-on Activity</w:t>
      </w:r>
    </w:p>
    <w:p>
      <w:pPr/>
      <w:r>
        <w:rPr>
          <w:b/>
        </w:rPr>
        <w:t xml:space="preserve">Purpose:</w:t>
      </w:r>
      <w:r>
        <w:t xml:space="preserve"> a practice exercise. The trainee-facing part can be shared in session; the answer key stays in 90 Training Kit.</w:t>
      </w:r>
    </w:p>
    <w:tbl>
      <w:tblPr>
        <w:tblStyle w:val="TableGrid"/>
        <w:tblW w:w="0" w:type="auto"/>
        <w:tblLayout w:type="fixed"/>
        <w:tblLook w:val="04A0" w:firstRow="1" w:lastRow="0" w:firstColumn="0" w:lastColumn="0" w:noHBand="0" w:noVBand="1"/>
      </w:tblPr>
      <w:tblGrid>
        <w:gridCol w:w="1536"/>
        <w:gridCol w:w="4039"/>
        <w:gridCol w:w="2286"/>
        <w:gridCol w:w="1498"/>
      </w:tblGrid>
      <w:tr>
        <w:trPr>
          <w:tblHeader/>
        </w:trPr>
        <w:tc>
          <w:tcPr>
            <w:tcW w:w="1536" w:type="dxa"/>
            <w:shd w:val="clear" w:color="auto" w:fill="F2F2F2"/>
          </w:tcPr>
          <w:p>
            <w:pPr/>
            <w:r>
              <w:t xml:space="preserve">Section</w:t>
            </w:r>
          </w:p>
        </w:tc>
        <w:tc>
          <w:tcPr>
            <w:tcW w:w="4039" w:type="dxa"/>
            <w:shd w:val="clear" w:color="auto" w:fill="F2F2F2"/>
          </w:tcPr>
          <w:p>
            <w:pPr/>
            <w:r>
              <w:t xml:space="preserve">What to write</w:t>
            </w:r>
          </w:p>
        </w:tc>
        <w:tc>
          <w:tcPr>
            <w:tcW w:w="2286" w:type="dxa"/>
            <w:shd w:val="clear" w:color="auto" w:fill="F2F2F2"/>
          </w:tcPr>
          <w:p>
            <w:pPr/>
            <w:r>
              <w:t xml:space="preserve">Why</w:t>
            </w:r>
          </w:p>
        </w:tc>
        <w:tc>
          <w:tcPr>
            <w:tcW w:w="1498" w:type="dxa"/>
            <w:shd w:val="clear" w:color="auto" w:fill="F2F2F2"/>
          </w:tcPr>
          <w:p>
            <w:pPr/>
            <w:r>
              <w:t xml:space="preserve">Visuals</w:t>
            </w:r>
          </w:p>
        </w:tc>
      </w:tr>
      <w:tr>
        <w:tc>
          <w:tcPr>
            <w:tcW w:w="1536" w:type="dxa"/>
          </w:tcPr>
          <w:p>
            <w:pPr/>
            <w:r>
              <w:t xml:space="preserve">§1 Goal</w:t>
            </w:r>
          </w:p>
        </w:tc>
        <w:tc>
          <w:tcPr>
            <w:tcW w:w="4039" w:type="dxa"/>
          </w:tcPr>
          <w:p>
            <w:pPr/>
            <w:r>
              <w:t xml:space="preserve">What the trainee will be able to do after</w:t>
            </w:r>
          </w:p>
        </w:tc>
        <w:tc>
          <w:tcPr>
            <w:tcW w:w="2286" w:type="dxa"/>
          </w:tcPr>
          <w:p>
            <w:pPr/>
            <w:r>
              <w:t xml:space="preserve">Focus</w:t>
            </w:r>
          </w:p>
        </w:tc>
        <w:tc>
          <w:tcPr>
            <w:tcW w:w="1498" w:type="dxa"/>
          </w:tcPr>
          <w:p>
            <w:pPr/>
            <w:r>
              <w:t xml:space="preserve">None</w:t>
            </w:r>
          </w:p>
        </w:tc>
      </w:tr>
      <w:tr>
        <w:tc>
          <w:tcPr>
            <w:tcW w:w="1536" w:type="dxa"/>
          </w:tcPr>
          <w:p>
            <w:pPr/>
            <w:r>
              <w:t xml:space="preserve">§2 Setup</w:t>
            </w:r>
          </w:p>
        </w:tc>
        <w:tc>
          <w:tcPr>
            <w:tcW w:w="4039" w:type="dxa"/>
          </w:tcPr>
          <w:p>
            <w:pPr/>
            <w:r>
              <w:t xml:space="preserve">Accounts, tools, sample data and where to find them</w:t>
            </w:r>
          </w:p>
        </w:tc>
        <w:tc>
          <w:tcPr>
            <w:tcW w:w="2286" w:type="dxa"/>
          </w:tcPr>
          <w:p>
            <w:pPr/>
            <w:r>
              <w:t xml:space="preserve">Removes setup confusion</w:t>
            </w:r>
          </w:p>
        </w:tc>
        <w:tc>
          <w:tcPr>
            <w:tcW w:w="1498" w:type="dxa"/>
          </w:tcPr>
          <w:p>
            <w:pPr/>
            <w:r>
              <w:t xml:space="preserve">Checklist</w:t>
            </w:r>
          </w:p>
        </w:tc>
      </w:tr>
      <w:tr>
        <w:tc>
          <w:tcPr>
            <w:tcW w:w="1536" w:type="dxa"/>
          </w:tcPr>
          <w:p>
            <w:pPr/>
            <w:r>
              <w:t xml:space="preserve">§3 Task</w:t>
            </w:r>
          </w:p>
        </w:tc>
        <w:tc>
          <w:tcPr>
            <w:tcW w:w="4039" w:type="dxa"/>
          </w:tcPr>
          <w:p>
            <w:pPr/>
            <w:r>
              <w:t xml:space="preserve">The scenario and what to do, without giving the steps away</w:t>
            </w:r>
          </w:p>
        </w:tc>
        <w:tc>
          <w:tcPr>
            <w:tcW w:w="2286" w:type="dxa"/>
          </w:tcPr>
          <w:p>
            <w:pPr/>
            <w:r>
              <w:t xml:space="preserve">Practice in using Quip to work it out</w:t>
            </w:r>
          </w:p>
        </w:tc>
        <w:tc>
          <w:tcPr>
            <w:tcW w:w="1498" w:type="dxa"/>
          </w:tcPr>
          <w:p>
            <w:pPr/>
            <w:r>
              <w:t xml:space="preserve">Sample email, header or case as a screenshot or code block</w:t>
            </w:r>
          </w:p>
        </w:tc>
      </w:tr>
      <w:tr>
        <w:tc>
          <w:tcPr>
            <w:tcW w:w="1536" w:type="dxa"/>
          </w:tcPr>
          <w:p>
            <w:pPr/>
            <w:r>
              <w:t xml:space="preserve">§4 Use these articles</w:t>
            </w:r>
          </w:p>
        </w:tc>
        <w:tc>
          <w:tcPr>
            <w:tcW w:w="4039" w:type="dxa"/>
          </w:tcPr>
          <w:p>
            <w:pPr/>
            <w:r>
              <w:t xml:space="preserve">The Quip sections the trainee should consult</w:t>
            </w:r>
          </w:p>
        </w:tc>
        <w:tc>
          <w:tcPr>
            <w:tcW w:w="2286" w:type="dxa"/>
          </w:tcPr>
          <w:p>
            <w:pPr/>
            <w:r>
              <w:t xml:space="preserve">Builds the production habit of looking things up</w:t>
            </w:r>
          </w:p>
        </w:tc>
        <w:tc>
          <w:tcPr>
            <w:tcW w:w="1498" w:type="dxa"/>
          </w:tcPr>
          <w:p>
            <w:pPr/>
            <w:r>
              <w:t xml:space="preserve">None</w:t>
            </w:r>
          </w:p>
        </w:tc>
      </w:tr>
      <w:tr>
        <w:tc>
          <w:tcPr>
            <w:tcW w:w="1536" w:type="dxa"/>
          </w:tcPr>
          <w:p>
            <w:pPr/>
            <w:r>
              <w:t xml:space="preserve">§5 Success criteria</w:t>
            </w:r>
          </w:p>
        </w:tc>
        <w:tc>
          <w:tcPr>
            <w:tcW w:w="4039" w:type="dxa"/>
          </w:tcPr>
          <w:p>
            <w:pPr/>
            <w:r>
              <w:t xml:space="preserve">How the trainee knows they got it right</w:t>
            </w:r>
          </w:p>
        </w:tc>
        <w:tc>
          <w:tcPr>
            <w:tcW w:w="2286" w:type="dxa"/>
          </w:tcPr>
          <w:p>
            <w:pPr/>
            <w:r>
              <w:t xml:space="preserve">Self-check</w:t>
            </w:r>
          </w:p>
        </w:tc>
        <w:tc>
          <w:tcPr>
            <w:tcW w:w="1498" w:type="dxa"/>
          </w:tcPr>
          <w:p>
            <w:pPr/>
            <w:r>
              <w:t xml:space="preserve">Checklist</w:t>
            </w:r>
          </w:p>
        </w:tc>
      </w:tr>
      <w:tr>
        <w:tc>
          <w:tcPr>
            <w:tcW w:w="1536" w:type="dxa"/>
          </w:tcPr>
          <w:p>
            <w:pPr/>
            <w:r>
              <w:t xml:space="preserve">§6 Answer key (restricted)</w:t>
            </w:r>
          </w:p>
        </w:tc>
        <w:tc>
          <w:tcPr>
            <w:tcW w:w="4039" w:type="dxa"/>
          </w:tcPr>
          <w:p>
            <w:pPr/>
            <w:r>
              <w:t xml:space="preserve">Expected outcome and reasoning, citing Quip sections</w:t>
            </w:r>
          </w:p>
        </w:tc>
        <w:tc>
          <w:tcPr>
            <w:tcW w:w="2286" w:type="dxa"/>
          </w:tcPr>
          <w:p>
            <w:pPr/>
            <w:r>
              <w:t xml:space="preserve">Lets any trainer mark consistently</w:t>
            </w:r>
          </w:p>
        </w:tc>
        <w:tc>
          <w:tcPr>
            <w:tcW w:w="1498" w:type="dxa"/>
          </w:tcPr>
          <w:p>
            <w:pPr/>
            <w:r>
              <w:t xml:space="preserve">None</w:t>
            </w:r>
          </w:p>
        </w:tc>
      </w:tr>
    </w:tbl>
    <w:p>
      <w:pPr/>
      <w:r>
        <w:t xml:space="preserve">If trainees must see the activity before the session, keep §1 to §5 in a separate copy outside the Training Kit and leave §6 only in the restricted copy.</w:t>
      </w:r>
    </w:p>
    <w:p>
      <w:pPr>
        <w:pStyle w:val="Heading3"/>
      </w:pPr>
      <w:r>
        <w:t xml:space="preserve">6.9 Change Log</w:t>
      </w:r>
    </w:p>
    <w:p>
      <w:pPr/>
      <w:r>
        <w:rPr>
          <w:b/>
        </w:rPr>
        <w:t xml:space="preserve">Purpose:</w:t>
      </w:r>
      <w:r>
        <w:t xml:space="preserve"> one central page (KA-GEN-003, What's new) listing every published change, newest first. Analysts follow this page in Quip to get notified.</w:t>
      </w:r>
    </w:p>
    <w:tbl>
      <w:tblPr>
        <w:tblStyle w:val="TableGrid"/>
        <w:tblW w:w="0" w:type="auto"/>
        <w:tblLayout w:type="fixed"/>
        <w:tblLook w:val="04A0" w:firstRow="1" w:lastRow="0" w:firstColumn="0" w:lastColumn="0" w:noHBand="0" w:noVBand="1"/>
      </w:tblPr>
      <w:tblGrid>
        <w:gridCol w:w="1463"/>
        <w:gridCol w:w="1233"/>
        <w:gridCol w:w="1027"/>
        <w:gridCol w:w="2549"/>
        <w:gridCol w:w="1027"/>
        <w:gridCol w:w="2059"/>
      </w:tblGrid>
      <w:tr>
        <w:trPr>
          <w:tblHeader/>
        </w:trPr>
        <w:tc>
          <w:tcPr>
            <w:tcW w:w="1463" w:type="dxa"/>
            <w:shd w:val="clear" w:color="auto" w:fill="F2F2F2"/>
          </w:tcPr>
          <w:p>
            <w:pPr/>
            <w:r>
              <w:t xml:space="preserve">Date</w:t>
            </w:r>
          </w:p>
        </w:tc>
        <w:tc>
          <w:tcPr>
            <w:tcW w:w="1233" w:type="dxa"/>
            <w:shd w:val="clear" w:color="auto" w:fill="F2F2F2"/>
          </w:tcPr>
          <w:p>
            <w:pPr/>
            <w:r>
              <w:t xml:space="preserve">Article</w:t>
            </w:r>
          </w:p>
        </w:tc>
        <w:tc>
          <w:tcPr>
            <w:tcW w:w="1027" w:type="dxa"/>
            <w:shd w:val="clear" w:color="auto" w:fill="F2F2F2"/>
          </w:tcPr>
          <w:p>
            <w:pPr/>
            <w:r>
              <w:t xml:space="preserve">Version</w:t>
            </w:r>
          </w:p>
        </w:tc>
        <w:tc>
          <w:tcPr>
            <w:tcW w:w="2549" w:type="dxa"/>
            <w:shd w:val="clear" w:color="auto" w:fill="F2F2F2"/>
          </w:tcPr>
          <w:p>
            <w:pPr/>
            <w:r>
              <w:t xml:space="preserve">What changed</w:t>
            </w:r>
          </w:p>
        </w:tc>
        <w:tc>
          <w:tcPr>
            <w:tcW w:w="1027" w:type="dxa"/>
            <w:shd w:val="clear" w:color="auto" w:fill="F2F2F2"/>
          </w:tcPr>
          <w:p>
            <w:pPr/>
            <w:r>
              <w:t xml:space="preserve">Section</w:t>
            </w:r>
          </w:p>
        </w:tc>
        <w:tc>
          <w:tcPr>
            <w:tcW w:w="2059" w:type="dxa"/>
            <w:shd w:val="clear" w:color="auto" w:fill="F2F2F2"/>
          </w:tcPr>
          <w:p>
            <w:pPr/>
            <w:r>
              <w:t xml:space="preserve">Linked questions reviewed</w:t>
            </w:r>
          </w:p>
        </w:tc>
      </w:tr>
      <w:tr>
        <w:tc>
          <w:tcPr>
            <w:tcW w:w="1463" w:type="dxa"/>
          </w:tcPr>
          <w:p>
            <w:pPr/>
            <w:r>
              <w:t xml:space="preserve">26 Oct 2026</w:t>
            </w:r>
          </w:p>
        </w:tc>
        <w:tc>
          <w:tcPr>
            <w:tcW w:w="1233" w:type="dxa"/>
          </w:tcPr>
          <w:p>
            <w:pPr/>
            <w:r>
              <w:t xml:space="preserve">KA-OUT-012</w:t>
            </w:r>
          </w:p>
        </w:tc>
        <w:tc>
          <w:tcPr>
            <w:tcW w:w="1027" w:type="dxa"/>
          </w:tcPr>
          <w:p>
            <w:pPr/>
            <w:r>
              <w:t xml:space="preserve">2.0</w:t>
            </w:r>
          </w:p>
        </w:tc>
        <w:tc>
          <w:tcPr>
            <w:tcW w:w="2549" w:type="dxa"/>
          </w:tcPr>
          <w:p>
            <w:pPr/>
            <w:r>
              <w:t xml:space="preserve">Escalation threshold changed</w:t>
            </w:r>
          </w:p>
        </w:tc>
        <w:tc>
          <w:tcPr>
            <w:tcW w:w="1027" w:type="dxa"/>
          </w:tcPr>
          <w:p>
            <w:pPr/>
            <w:r>
              <w:t xml:space="preserve">§5</w:t>
            </w:r>
          </w:p>
        </w:tc>
        <w:tc>
          <w:tcPr>
            <w:tcW w:w="2059" w:type="dxa"/>
          </w:tcPr>
          <w:p>
            <w:pPr/>
            <w:r>
              <w:t xml:space="preserve">Yes, 2 updated</w:t>
            </w:r>
          </w:p>
        </w:tc>
      </w:tr>
      <w:tr>
        <w:tc>
          <w:tcPr>
            <w:tcW w:w="1463" w:type="dxa"/>
          </w:tcPr>
          <w:p>
            <w:pPr/>
            <w:r>
              <w:t xml:space="preserve">20 Oct 2026</w:t>
            </w:r>
          </w:p>
        </w:tc>
        <w:tc>
          <w:tcPr>
            <w:tcW w:w="1233" w:type="dxa"/>
          </w:tcPr>
          <w:p>
            <w:pPr/>
            <w:r>
              <w:t xml:space="preserve">KA-TOOL-002</w:t>
            </w:r>
          </w:p>
        </w:tc>
        <w:tc>
          <w:tcPr>
            <w:tcW w:w="1027" w:type="dxa"/>
          </w:tcPr>
          <w:p>
            <w:pPr/>
            <w:r>
              <w:t xml:space="preserve">1.3</w:t>
            </w:r>
          </w:p>
        </w:tc>
        <w:tc>
          <w:tcPr>
            <w:tcW w:w="2549" w:type="dxa"/>
          </w:tcPr>
          <w:p>
            <w:pPr/>
            <w:r>
              <w:t xml:space="preserve">New screenshot for the rule editor</w:t>
            </w:r>
          </w:p>
        </w:tc>
        <w:tc>
          <w:tcPr>
            <w:tcW w:w="1027" w:type="dxa"/>
          </w:tcPr>
          <w:p>
            <w:pPr/>
            <w:r>
              <w:t xml:space="preserve">§4</w:t>
            </w:r>
          </w:p>
        </w:tc>
        <w:tc>
          <w:tcPr>
            <w:tcW w:w="2059" w:type="dxa"/>
          </w:tcPr>
          <w:p>
            <w:pPr/>
            <w:r>
              <w:t xml:space="preserve">Not needed (minor)</w:t>
            </w:r>
          </w:p>
        </w:tc>
      </w:tr>
    </w:tbl>
    <w:p>
      <w:pPr/>
      <w:r>
        <w:t xml:space="preserve">The rows above are illustrations. Each article also keeps its own short log in a final section headed "Change history" with the same columns except Article.</w:t>
      </w:r>
    </w:p>
    <w:p>
      <w:pPr>
        <w:pStyle w:val="Heading2"/>
      </w:pPr>
      <w:r>
        <w:t xml:space="preserve">7. LMS module template</w:t>
      </w:r>
    </w:p>
    <w:p>
      <w:pPr/>
      <w:r>
        <w:t xml:space="preserve">Each module opens with a case, sends the learner into Quip to work it out, and checks what they understood. It never teaches the process itself. Built in the LMS's native block builder, a module runs 10 to 20 minutes of learner time plus the Quip reading.</w:t>
      </w:r>
    </w:p>
    <w:p>
      <w:pPr>
        <w:pStyle w:val="Heading3"/>
      </w:pPr>
      <w:r>
        <w:t xml:space="preserve">Blocks in order</w:t>
      </w:r>
    </w:p>
    <w:tbl>
      <w:tblPr>
        <w:tblStyle w:val="TableGrid"/>
        <w:tblW w:w="0" w:type="auto"/>
        <w:tblLayout w:type="fixed"/>
        <w:tblLook w:val="04A0" w:firstRow="1" w:lastRow="0" w:firstColumn="0" w:lastColumn="0" w:noHBand="0" w:noVBand="1"/>
      </w:tblPr>
      <w:tblGrid>
        <w:gridCol w:w="720"/>
        <w:gridCol w:w="1826"/>
        <w:gridCol w:w="3649"/>
        <w:gridCol w:w="1938"/>
        <w:gridCol w:w="1227"/>
      </w:tblGrid>
      <w:tr>
        <w:trPr>
          <w:tblHeader/>
        </w:trPr>
        <w:tc>
          <w:tcPr>
            <w:tcW w:w="720" w:type="dxa"/>
            <w:shd w:val="clear" w:color="auto" w:fill="F2F2F2"/>
          </w:tcPr>
          <w:p>
            <w:pPr/>
            <w:r>
              <w:t xml:space="preserve">#</w:t>
            </w:r>
          </w:p>
        </w:tc>
        <w:tc>
          <w:tcPr>
            <w:tcW w:w="1826" w:type="dxa"/>
            <w:shd w:val="clear" w:color="auto" w:fill="F2F2F2"/>
          </w:tcPr>
          <w:p>
            <w:pPr/>
            <w:r>
              <w:t xml:space="preserve">Block</w:t>
            </w:r>
          </w:p>
        </w:tc>
        <w:tc>
          <w:tcPr>
            <w:tcW w:w="3649" w:type="dxa"/>
            <w:shd w:val="clear" w:color="auto" w:fill="F2F2F2"/>
          </w:tcPr>
          <w:p>
            <w:pPr/>
            <w:r>
              <w:t xml:space="preserve">What to build</w:t>
            </w:r>
          </w:p>
        </w:tc>
        <w:tc>
          <w:tcPr>
            <w:tcW w:w="1938" w:type="dxa"/>
            <w:shd w:val="clear" w:color="auto" w:fill="F2F2F2"/>
          </w:tcPr>
          <w:p>
            <w:pPr/>
            <w:r>
              <w:t xml:space="preserve">Why</w:t>
            </w:r>
          </w:p>
        </w:tc>
        <w:tc>
          <w:tcPr>
            <w:tcW w:w="1227" w:type="dxa"/>
            <w:shd w:val="clear" w:color="auto" w:fill="F2F2F2"/>
          </w:tcPr>
          <w:p>
            <w:pPr/>
            <w:r>
              <w:t xml:space="preserve">Change risk</w:t>
            </w:r>
          </w:p>
        </w:tc>
      </w:tr>
      <w:tr>
        <w:tc>
          <w:tcPr>
            <w:tcW w:w="720" w:type="dxa"/>
          </w:tcPr>
          <w:p>
            <w:pPr/>
            <w:r>
              <w:t xml:space="preserve">1</w:t>
            </w:r>
          </w:p>
        </w:tc>
        <w:tc>
          <w:tcPr>
            <w:tcW w:w="1826" w:type="dxa"/>
          </w:tcPr>
          <w:p>
            <w:pPr/>
            <w:r>
              <w:t xml:space="preserve">Title and module info</w:t>
            </w:r>
          </w:p>
        </w:tc>
        <w:tc>
          <w:tcPr>
            <w:tcW w:w="3649" w:type="dxa"/>
          </w:tcPr>
          <w:p>
            <w:pPr/>
            <w:r>
              <w:t xml:space="preserve">Module ID, title, curriculum day, estimated time, linked KA IDs in the description</w:t>
            </w:r>
          </w:p>
        </w:tc>
        <w:tc>
          <w:tcPr>
            <w:tcW w:w="1938" w:type="dxa"/>
          </w:tcPr>
          <w:p>
            <w:pPr/>
            <w:r>
              <w:t xml:space="preserve">Traceability and learner expectations</w:t>
            </w:r>
          </w:p>
        </w:tc>
        <w:tc>
          <w:tcPr>
            <w:tcW w:w="1227" w:type="dxa"/>
          </w:tcPr>
          <w:p>
            <w:pPr/>
            <w:r>
              <w:t xml:space="preserve">None</w:t>
            </w:r>
          </w:p>
        </w:tc>
      </w:tr>
      <w:tr>
        <w:tc>
          <w:tcPr>
            <w:tcW w:w="720" w:type="dxa"/>
          </w:tcPr>
          <w:p>
            <w:pPr/>
            <w:r>
              <w:t xml:space="preserve">2</w:t>
            </w:r>
          </w:p>
        </w:tc>
        <w:tc>
          <w:tcPr>
            <w:tcW w:w="1826" w:type="dxa"/>
          </w:tcPr>
          <w:p>
            <w:pPr/>
            <w:r>
              <w:t xml:space="preserve">The case</w:t>
            </w:r>
          </w:p>
        </w:tc>
        <w:tc>
          <w:tcPr>
            <w:tcW w:w="3649" w:type="dxa"/>
          </w:tcPr>
          <w:p>
            <w:pPr/>
            <w:r>
              <w:t xml:space="preserve">A short scenario: what landed in the queue and what is at stake. Use an illustration or a generic, tool-free mock email.</w:t>
            </w:r>
          </w:p>
        </w:tc>
        <w:tc>
          <w:tcPr>
            <w:tcW w:w="1938" w:type="dxa"/>
          </w:tcPr>
          <w:p>
            <w:pPr/>
            <w:r>
              <w:t xml:space="preserve">Creates a reason to learn before any content</w:t>
            </w:r>
          </w:p>
        </w:tc>
        <w:tc>
          <w:tcPr>
            <w:tcW w:w="1227" w:type="dxa"/>
          </w:tcPr>
          <w:p>
            <w:pPr/>
            <w:r>
              <w:t xml:space="preserve">Low: describe the situation, not the rule that settles it</w:t>
            </w:r>
          </w:p>
        </w:tc>
      </w:tr>
      <w:tr>
        <w:tc>
          <w:tcPr>
            <w:tcW w:w="720" w:type="dxa"/>
          </w:tcPr>
          <w:p>
            <w:pPr/>
            <w:r>
              <w:t xml:space="preserve">3</w:t>
            </w:r>
          </w:p>
        </w:tc>
        <w:tc>
          <w:tcPr>
            <w:tcW w:w="1826" w:type="dxa"/>
          </w:tcPr>
          <w:p>
            <w:pPr/>
            <w:r>
              <w:t xml:space="preserve">Why it matters</w:t>
            </w:r>
          </w:p>
        </w:tc>
        <w:tc>
          <w:tcPr>
            <w:tcW w:w="3649" w:type="dxa"/>
          </w:tcPr>
          <w:p>
            <w:pPr/>
            <w:r>
              <w:t xml:space="preserve">Two or three sentences on the impact on users and the team</w:t>
            </w:r>
          </w:p>
        </w:tc>
        <w:tc>
          <w:tcPr>
            <w:tcW w:w="1938" w:type="dxa"/>
          </w:tcPr>
          <w:p>
            <w:pPr/>
            <w:r>
              <w:t xml:space="preserve">Motivation</w:t>
            </w:r>
          </w:p>
        </w:tc>
        <w:tc>
          <w:tcPr>
            <w:tcW w:w="1227" w:type="dxa"/>
          </w:tcPr>
          <w:p>
            <w:pPr/>
            <w:r>
              <w:t xml:space="preserve">None</w:t>
            </w:r>
          </w:p>
        </w:tc>
      </w:tr>
      <w:tr>
        <w:tc>
          <w:tcPr>
            <w:tcW w:w="720" w:type="dxa"/>
          </w:tcPr>
          <w:p>
            <w:pPr/>
            <w:r>
              <w:t xml:space="preserve">4</w:t>
            </w:r>
          </w:p>
        </w:tc>
        <w:tc>
          <w:tcPr>
            <w:tcW w:w="1826" w:type="dxa"/>
          </w:tcPr>
          <w:p>
            <w:pPr/>
            <w:r>
              <w:t xml:space="preserve">Objectives</w:t>
            </w:r>
          </w:p>
        </w:tc>
        <w:tc>
          <w:tcPr>
            <w:tcW w:w="3649" w:type="dxa"/>
          </w:tcPr>
          <w:p>
            <w:pPr/>
            <w:r>
              <w:t xml:space="preserve">Three to five "you will be able to" statements</w:t>
            </w:r>
          </w:p>
        </w:tc>
        <w:tc>
          <w:tcPr>
            <w:tcW w:w="1938" w:type="dxa"/>
          </w:tcPr>
          <w:p>
            <w:pPr/>
            <w:r>
              <w:t xml:space="preserve">Sets the bar the check will test</w:t>
            </w:r>
          </w:p>
        </w:tc>
        <w:tc>
          <w:tcPr>
            <w:tcW w:w="1227" w:type="dxa"/>
          </w:tcPr>
          <w:p>
            <w:pPr/>
            <w:r>
              <w:t xml:space="preserve">Low</w:t>
            </w:r>
          </w:p>
        </w:tc>
      </w:tr>
      <w:tr>
        <w:tc>
          <w:tcPr>
            <w:tcW w:w="720" w:type="dxa"/>
          </w:tcPr>
          <w:p>
            <w:pPr/>
            <w:r>
              <w:t xml:space="preserve">5</w:t>
            </w:r>
          </w:p>
        </w:tc>
        <w:tc>
          <w:tcPr>
            <w:tcW w:w="1826" w:type="dxa"/>
          </w:tcPr>
          <w:p>
            <w:pPr/>
            <w:r>
              <w:t xml:space="preserve">Key ideas</w:t>
            </w:r>
          </w:p>
        </w:tc>
        <w:tc>
          <w:tcPr>
            <w:tcW w:w="3649" w:type="dxa"/>
          </w:tcPr>
          <w:p>
            <w:pPr/>
            <w:r>
              <w:t xml:space="preserve">Stable concepts only, as short text, flip cards or a labelled graphic</w:t>
            </w:r>
          </w:p>
        </w:tc>
        <w:tc>
          <w:tcPr>
            <w:tcW w:w="1938" w:type="dxa"/>
          </w:tcPr>
          <w:p>
            <w:pPr/>
            <w:r>
              <w:t xml:space="preserve">Gives the mental model before the reading</w:t>
            </w:r>
          </w:p>
        </w:tc>
        <w:tc>
          <w:tcPr>
            <w:tcW w:w="1227" w:type="dxa"/>
          </w:tcPr>
          <w:p>
            <w:pPr/>
            <w:r>
              <w:t xml:space="preserve">Low: concepts, never steps or values</w:t>
            </w:r>
          </w:p>
        </w:tc>
      </w:tr>
      <w:tr>
        <w:tc>
          <w:tcPr>
            <w:tcW w:w="720" w:type="dxa"/>
          </w:tcPr>
          <w:p>
            <w:pPr/>
            <w:r>
              <w:t xml:space="preserve">6</w:t>
            </w:r>
          </w:p>
        </w:tc>
        <w:tc>
          <w:tcPr>
            <w:tcW w:w="1826" w:type="dxa"/>
          </w:tcPr>
          <w:p>
            <w:pPr/>
            <w:r>
              <w:t xml:space="preserve">Reading task</w:t>
            </w:r>
          </w:p>
        </w:tc>
        <w:tc>
          <w:tcPr>
            <w:tcW w:w="3649" w:type="dxa"/>
          </w:tcPr>
          <w:p>
            <w:pPr/>
            <w:r>
              <w:t xml:space="preserve">One block per Quip link: the section link, its KA ID, and what to look for while reading</w:t>
            </w:r>
          </w:p>
        </w:tc>
        <w:tc>
          <w:tcPr>
            <w:tcW w:w="1938" w:type="dxa"/>
          </w:tcPr>
          <w:p>
            <w:pPr/>
            <w:r>
              <w:t xml:space="preserve">Sends the learner to the source of truth with a purpose</w:t>
            </w:r>
          </w:p>
        </w:tc>
        <w:tc>
          <w:tcPr>
            <w:tcW w:w="1227" w:type="dxa"/>
          </w:tcPr>
          <w:p>
            <w:pPr/>
            <w:r>
              <w:t xml:space="preserve">None: links only</w:t>
            </w:r>
          </w:p>
        </w:tc>
      </w:tr>
      <w:tr>
        <w:tc>
          <w:tcPr>
            <w:tcW w:w="720" w:type="dxa"/>
          </w:tcPr>
          <w:p>
            <w:pPr/>
            <w:r>
              <w:t xml:space="preserve">7</w:t>
            </w:r>
          </w:p>
        </w:tc>
        <w:tc>
          <w:tcPr>
            <w:tcW w:w="1826" w:type="dxa"/>
          </w:tcPr>
          <w:p>
            <w:pPr/>
            <w:r>
              <w:t xml:space="preserve">Solve the case</w:t>
            </w:r>
          </w:p>
        </w:tc>
        <w:tc>
          <w:tcPr>
            <w:tcW w:w="3649" w:type="dxa"/>
          </w:tcPr>
          <w:p>
            <w:pPr/>
            <w:r>
              <w:t xml:space="preserve">Return to the case from block 2 and ask what the learner would do, as a scenario question</w:t>
            </w:r>
          </w:p>
        </w:tc>
        <w:tc>
          <w:tcPr>
            <w:tcW w:w="1938" w:type="dxa"/>
          </w:tcPr>
          <w:p>
            <w:pPr/>
            <w:r>
              <w:t xml:space="preserve">Applies the reading straight away</w:t>
            </w:r>
          </w:p>
        </w:tc>
        <w:tc>
          <w:tcPr>
            <w:tcW w:w="1227" w:type="dxa"/>
          </w:tcPr>
          <w:p>
            <w:pPr/>
            <w:r>
              <w:t xml:space="preserve">Medium: tagged to the section it tests</w:t>
            </w:r>
          </w:p>
        </w:tc>
      </w:tr>
      <w:tr>
        <w:tc>
          <w:tcPr>
            <w:tcW w:w="720" w:type="dxa"/>
          </w:tcPr>
          <w:p>
            <w:pPr/>
            <w:r>
              <w:t xml:space="preserve">8</w:t>
            </w:r>
          </w:p>
        </w:tc>
        <w:tc>
          <w:tcPr>
            <w:tcW w:w="1826" w:type="dxa"/>
          </w:tcPr>
          <w:p>
            <w:pPr/>
            <w:r>
              <w:t xml:space="preserve">Comprehension check</w:t>
            </w:r>
          </w:p>
        </w:tc>
        <w:tc>
          <w:tcPr>
            <w:tcW w:w="3649" w:type="dxa"/>
          </w:tcPr>
          <w:p>
            <w:pPr/>
            <w:r>
              <w:t xml:space="preserve">Three to five MCQ or scenario questions, pass mark set per module</w:t>
            </w:r>
          </w:p>
        </w:tc>
        <w:tc>
          <w:tcPr>
            <w:tcW w:w="1938" w:type="dxa"/>
          </w:tcPr>
          <w:p>
            <w:pPr/>
            <w:r>
              <w:t xml:space="preserve">The read-tracking gate agreed in section 1</w:t>
            </w:r>
          </w:p>
        </w:tc>
        <w:tc>
          <w:tcPr>
            <w:tcW w:w="1227" w:type="dxa"/>
          </w:tcPr>
          <w:p>
            <w:pPr/>
            <w:r>
              <w:t xml:space="preserve">Medium: every question tagged</w:t>
            </w:r>
          </w:p>
        </w:tc>
      </w:tr>
      <w:tr>
        <w:tc>
          <w:tcPr>
            <w:tcW w:w="720" w:type="dxa"/>
          </w:tcPr>
          <w:p>
            <w:pPr/>
            <w:r>
              <w:t xml:space="preserve">9</w:t>
            </w:r>
          </w:p>
        </w:tc>
        <w:tc>
          <w:tcPr>
            <w:tcW w:w="1826" w:type="dxa"/>
          </w:tcPr>
          <w:p>
            <w:pPr/>
            <w:r>
              <w:t xml:space="preserve">Wrap up</w:t>
            </w:r>
          </w:p>
        </w:tc>
        <w:tc>
          <w:tcPr>
            <w:tcW w:w="3649" w:type="dxa"/>
          </w:tcPr>
          <w:p>
            <w:pPr/>
            <w:r>
              <w:t xml:space="preserve">Three takeaways, phrased as concepts, plus links to the articles for later reference</w:t>
            </w:r>
          </w:p>
        </w:tc>
        <w:tc>
          <w:tcPr>
            <w:tcW w:w="1938" w:type="dxa"/>
          </w:tcPr>
          <w:p>
            <w:pPr/>
            <w:r>
              <w:t xml:space="preserve">Reinforces that Quip is where they will look in production</w:t>
            </w:r>
          </w:p>
        </w:tc>
        <w:tc>
          <w:tcPr>
            <w:tcW w:w="1227" w:type="dxa"/>
          </w:tcPr>
          <w:p>
            <w:pPr/>
            <w:r>
              <w:t xml:space="preserve">Low</w:t>
            </w:r>
          </w:p>
        </w:tc>
      </w:tr>
    </w:tbl>
    <w:p>
      <w:pPr>
        <w:pStyle w:val="Heading3"/>
      </w:pPr>
      <w:r>
        <w:t xml:space="preserve">Rules for every module</w:t>
      </w:r>
    </w:p>
    <w:p>
      <w:pPr>
        <w:pStyle w:val="ListParagraph"/>
        <w:numPr>
          <w:ilvl w:val="0"/>
          <w:numId w:val="5"/>
        </w:numPr>
      </w:pPr>
      <w:r>
        <w:t xml:space="preserve">No block may contain a step, value, threshold, UI label or tool screenshot. Run the test in section 2.</w:t>
      </w:r>
    </w:p>
    <w:p>
      <w:pPr>
        <w:pStyle w:val="ListParagraph"/>
        <w:numPr>
          <w:ilvl w:val="0"/>
          <w:numId w:val="5"/>
        </w:numPr>
      </w:pPr>
      <w:r>
        <w:t xml:space="preserve">Every Quip link goes to a section anchor, not the top of an article, and shows the KA ID beside it.</w:t>
      </w:r>
    </w:p>
    <w:p>
      <w:pPr>
        <w:pStyle w:val="ListParagraph"/>
        <w:numPr>
          <w:ilvl w:val="0"/>
          <w:numId w:val="5"/>
        </w:numPr>
      </w:pPr>
      <w:r>
        <w:t xml:space="preserve">Feedback on questions says why an answer is right and cites the section ("See KA-OUT-012 §3"). It does not restate the rule.</w:t>
      </w:r>
    </w:p>
    <w:p>
      <w:pPr>
        <w:pStyle w:val="ListParagraph"/>
        <w:numPr>
          <w:ilvl w:val="0"/>
          <w:numId w:val="5"/>
        </w:numPr>
      </w:pPr>
      <w:r>
        <w:t xml:space="preserve">Images are illustrations or generic mock-ups. Tool UI only appears in Quip.</w:t>
      </w:r>
    </w:p>
    <w:p>
      <w:pPr>
        <w:pStyle w:val="ListParagraph"/>
        <w:numPr>
          <w:ilvl w:val="0"/>
          <w:numId w:val="5"/>
        </w:numPr>
      </w:pPr>
      <w:r>
        <w:t xml:space="preserve">If the learner must practise in a tool, the module points to the Hands-on Activity; the LMS only records completion.</w:t>
      </w:r>
    </w:p>
    <w:p>
      <w:pPr>
        <w:pStyle w:val="Heading3"/>
      </w:pPr>
      <w:r>
        <w:t xml:space="preserve">Learning path structure</w:t>
      </w:r>
    </w:p>
    <w:tbl>
      <w:tblPr>
        <w:tblStyle w:val="TableGrid"/>
        <w:tblW w:w="0" w:type="auto"/>
        <w:tblLayout w:type="fixed"/>
        <w:tblLook w:val="04A0" w:firstRow="1" w:lastRow="0" w:firstColumn="0" w:lastColumn="0" w:noHBand="0" w:noVBand="1"/>
      </w:tblPr>
      <w:tblGrid>
        <w:gridCol w:w="1661"/>
        <w:gridCol w:w="3737"/>
        <w:gridCol w:w="3962"/>
      </w:tblGrid>
      <w:tr>
        <w:trPr>
          <w:tblHeader/>
        </w:trPr>
        <w:tc>
          <w:tcPr>
            <w:tcW w:w="1661" w:type="dxa"/>
            <w:shd w:val="clear" w:color="auto" w:fill="F2F2F2"/>
          </w:tcPr>
          <w:p>
            <w:pPr/>
            <w:r>
              <w:t xml:space="preserve">Level</w:t>
            </w:r>
          </w:p>
        </w:tc>
        <w:tc>
          <w:tcPr>
            <w:tcW w:w="3737" w:type="dxa"/>
            <w:shd w:val="clear" w:color="auto" w:fill="F2F2F2"/>
          </w:tcPr>
          <w:p>
            <w:pPr/>
            <w:r>
              <w:t xml:space="preserve">Contains</w:t>
            </w:r>
          </w:p>
        </w:tc>
        <w:tc>
          <w:tcPr>
            <w:tcW w:w="3962" w:type="dxa"/>
            <w:shd w:val="clear" w:color="auto" w:fill="F2F2F2"/>
          </w:tcPr>
          <w:p>
            <w:pPr/>
            <w:r>
              <w:t xml:space="preserve">Example</w:t>
            </w:r>
          </w:p>
        </w:tc>
      </w:tr>
      <w:tr>
        <w:tc>
          <w:tcPr>
            <w:tcW w:w="1661" w:type="dxa"/>
          </w:tcPr>
          <w:p>
            <w:pPr/>
            <w:r>
              <w:t xml:space="preserve">Programme</w:t>
            </w:r>
          </w:p>
        </w:tc>
        <w:tc>
          <w:tcPr>
            <w:tcW w:w="3737" w:type="dxa"/>
          </w:tcPr>
          <w:p>
            <w:pPr/>
            <w:r>
              <w:t xml:space="preserve">The whole Mail OPS new-hire path</w:t>
            </w:r>
          </w:p>
        </w:tc>
        <w:tc>
          <w:tcPr>
            <w:tcW w:w="3962" w:type="dxa"/>
          </w:tcPr>
          <w:p>
            <w:pPr/>
            <w:r>
              <w:t xml:space="preserve">Mail OPS New Hire Training</w:t>
            </w:r>
          </w:p>
        </w:tc>
      </w:tr>
      <w:tr>
        <w:tc>
          <w:tcPr>
            <w:tcW w:w="1661" w:type="dxa"/>
          </w:tcPr>
          <w:p>
            <w:pPr/>
            <w:r>
              <w:t xml:space="preserve">Learning path</w:t>
            </w:r>
          </w:p>
        </w:tc>
        <w:tc>
          <w:tcPr>
            <w:tcW w:w="3737" w:type="dxa"/>
          </w:tcPr>
          <w:p>
            <w:pPr/>
            <w:r>
              <w:t xml:space="preserve">One per curriculum week</w:t>
            </w:r>
          </w:p>
        </w:tc>
        <w:tc>
          <w:tcPr>
            <w:tcW w:w="3962" w:type="dxa"/>
          </w:tcPr>
          <w:p>
            <w:pPr/>
            <w:r>
              <w:t xml:space="preserve">Week 2: Abuse, account actions, Postmaster and triage</w:t>
            </w:r>
          </w:p>
        </w:tc>
      </w:tr>
      <w:tr>
        <w:tc>
          <w:tcPr>
            <w:tcW w:w="1661" w:type="dxa"/>
          </w:tcPr>
          <w:p>
            <w:pPr/>
            <w:r>
              <w:t xml:space="preserve">Module</w:t>
            </w:r>
          </w:p>
        </w:tc>
        <w:tc>
          <w:tcPr>
            <w:tcW w:w="3737" w:type="dxa"/>
          </w:tcPr>
          <w:p>
            <w:pPr/>
            <w:r>
              <w:t xml:space="preserve">One per curriculum topic row</w:t>
            </w:r>
          </w:p>
        </w:tc>
        <w:tc>
          <w:tcPr>
            <w:tcW w:w="3962" w:type="dxa"/>
          </w:tcPr>
          <w:p>
            <w:pPr/>
            <w:r>
              <w:t xml:space="preserve">M-W2-07 Account actions</w:t>
            </w:r>
          </w:p>
        </w:tc>
      </w:tr>
      <w:tr>
        <w:tc>
          <w:tcPr>
            <w:tcW w:w="1661" w:type="dxa"/>
          </w:tcPr>
          <w:p>
            <w:pPr/>
            <w:r>
              <w:t xml:space="preserve">Assessment</w:t>
            </w:r>
          </w:p>
        </w:tc>
        <w:tc>
          <w:tcPr>
            <w:tcW w:w="3737" w:type="dxa"/>
          </w:tcPr>
          <w:p>
            <w:pPr/>
            <w:r>
              <w:t xml:space="preserve">Standalone courses on the curriculum days that need them</w:t>
            </w:r>
          </w:p>
        </w:tc>
        <w:tc>
          <w:tcPr>
            <w:tcW w:w="3962" w:type="dxa"/>
          </w:tcPr>
          <w:p>
            <w:pPr/>
            <w:r>
              <w:t xml:space="preserve">A-D10 practical assessment, A-D15 certification</w:t>
            </w:r>
          </w:p>
        </w:tc>
      </w:tr>
    </w:tbl>
    <w:p>
      <w:pPr/>
      <w:r>
        <w:t xml:space="preserve">ILT-only rows from the curriculum (recaps, wrap-ups, shadowing) do not need an LMS module. Record their attendance in the LMS if the client wants a full completion record.</w:t>
      </w:r>
    </w:p>
    <w:p>
      <w:pPr>
        <w:pStyle w:val="Heading3"/>
      </w:pPr>
      <w:r>
        <w:t xml:space="preserve">Module checklist before publishing</w:t>
      </w:r>
    </w:p>
    <w:p>
      <w:pPr>
        <w:pStyle w:val="ListParagraph"/>
        <w:numPr>
          <w:ilvl w:val="0"/>
          <w:numId w:val="6"/>
        </w:numPr>
      </w:pPr>
      <w:r>
        <w:t xml:space="preserve">☐ Every linked Quip article is Published, not Draft</w:t>
      </w:r>
    </w:p>
    <w:p>
      <w:pPr>
        <w:pStyle w:val="ListParagraph"/>
        <w:numPr>
          <w:ilvl w:val="0"/>
          <w:numId w:val="6"/>
        </w:numPr>
      </w:pPr>
      <w:r>
        <w:t xml:space="preserve">☐ Every link opens the right section</w:t>
      </w:r>
    </w:p>
    <w:p>
      <w:pPr>
        <w:pStyle w:val="ListParagraph"/>
        <w:numPr>
          <w:ilvl w:val="0"/>
          <w:numId w:val="6"/>
        </w:numPr>
      </w:pPr>
      <w:r>
        <w:t xml:space="preserve">☐ No block fails the section 2 test</w:t>
      </w:r>
    </w:p>
    <w:p>
      <w:pPr>
        <w:pStyle w:val="ListParagraph"/>
        <w:numPr>
          <w:ilvl w:val="0"/>
          <w:numId w:val="6"/>
        </w:numPr>
      </w:pPr>
      <w:r>
        <w:t xml:space="preserve">☐ Every question has an ID and a cited section</w:t>
      </w:r>
    </w:p>
    <w:p>
      <w:pPr>
        <w:pStyle w:val="ListParagraph"/>
        <w:numPr>
          <w:ilvl w:val="0"/>
          <w:numId w:val="6"/>
        </w:numPr>
      </w:pPr>
      <w:r>
        <w:t xml:space="preserve">☐ The KA headers list this module and its question IDs</w:t>
      </w:r>
    </w:p>
    <w:p>
      <w:pPr>
        <w:pStyle w:val="ListParagraph"/>
        <w:numPr>
          <w:ilvl w:val="0"/>
          <w:numId w:val="6"/>
        </w:numPr>
      </w:pPr>
      <w:r>
        <w:t xml:space="preserve">☐ Estimated time matches the curriculum row</w:t>
      </w:r>
    </w:p>
    <w:p>
      <w:pPr>
        <w:pStyle w:val="Heading2"/>
      </w:pPr>
      <w:r>
        <w:t xml:space="preserve">8. Assessments and questions</w:t>
      </w:r>
    </w:p>
    <w:p>
      <w:pPr/>
      <w:r>
        <w:t xml:space="preserve">Questions are the one place process knowledge unavoidably appears in the LMS. Two rules keep that small: every question is tagged to the exact Quip section it tests, and questions test judgment rather than values that change often.</w:t>
      </w:r>
    </w:p>
    <w:p>
      <w:pPr>
        <w:pStyle w:val="Heading3"/>
      </w:pPr>
      <w:r>
        <w:t xml:space="preserve">Tagging</w:t>
      </w:r>
    </w:p>
    <w:p>
      <w:pPr>
        <w:pStyle w:val="ListParagraph"/>
        <w:numPr>
          <w:ilvl w:val="0"/>
          <w:numId w:val="7"/>
        </w:numPr>
      </w:pPr>
      <w:r>
        <w:t xml:space="preserve">Question ID format: Q-KAID-nn, for example Q-OUT012-03.</w:t>
      </w:r>
    </w:p>
    <w:p>
      <w:pPr>
        <w:pStyle w:val="ListParagraph"/>
        <w:numPr>
          <w:ilvl w:val="0"/>
          <w:numId w:val="7"/>
        </w:numPr>
      </w:pPr>
      <w:r>
        <w:t xml:space="preserve">Record the cited section (KA-OUT-012 §3) in the question's tag or notes field.</w:t>
      </w:r>
    </w:p>
    <w:p>
      <w:pPr>
        <w:pStyle w:val="ListParagraph"/>
        <w:numPr>
          <w:ilvl w:val="0"/>
          <w:numId w:val="7"/>
        </w:numPr>
      </w:pPr>
      <w:r>
        <w:t xml:space="preserve">Add the question ID to the article's header under Linked questions.</w:t>
      </w:r>
    </w:p>
    <w:p>
      <w:pPr>
        <w:pStyle w:val="ListParagraph"/>
        <w:numPr>
          <w:ilvl w:val="0"/>
          <w:numId w:val="7"/>
        </w:numPr>
      </w:pPr>
      <w:r>
        <w:t xml:space="preserve">One question tests one section. If it needs two, tag the main one and mention the second in notes.</w:t>
      </w:r>
    </w:p>
    <w:p>
      <w:pPr>
        <w:pStyle w:val="Heading3"/>
      </w:pPr>
      <w:r>
        <w:t xml:space="preserve">Writing questions that last</w:t>
      </w:r>
    </w:p>
    <w:tbl>
      <w:tblPr>
        <w:tblStyle w:val="TableGrid"/>
        <w:tblW w:w="0" w:type="auto"/>
        <w:tblLayout w:type="fixed"/>
        <w:tblLook w:val="04A0" w:firstRow="1" w:lastRow="0" w:firstColumn="0" w:lastColumn="0" w:noHBand="0" w:noVBand="1"/>
      </w:tblPr>
      <w:tblGrid>
        <w:gridCol w:w="2789"/>
        <w:gridCol w:w="2726"/>
        <w:gridCol w:w="3845"/>
      </w:tblGrid>
      <w:tr>
        <w:trPr>
          <w:tblHeader/>
        </w:trPr>
        <w:tc>
          <w:tcPr>
            <w:tcW w:w="2789" w:type="dxa"/>
            <w:shd w:val="clear" w:color="auto" w:fill="F2F2F2"/>
          </w:tcPr>
          <w:p>
            <w:pPr/>
            <w:r>
              <w:t xml:space="preserve">Prefer</w:t>
            </w:r>
          </w:p>
        </w:tc>
        <w:tc>
          <w:tcPr>
            <w:tcW w:w="2726" w:type="dxa"/>
            <w:shd w:val="clear" w:color="auto" w:fill="F2F2F2"/>
          </w:tcPr>
          <w:p>
            <w:pPr/>
            <w:r>
              <w:t xml:space="preserve">Avoid</w:t>
            </w:r>
          </w:p>
        </w:tc>
        <w:tc>
          <w:tcPr>
            <w:tcW w:w="3845" w:type="dxa"/>
            <w:shd w:val="clear" w:color="auto" w:fill="F2F2F2"/>
          </w:tcPr>
          <w:p>
            <w:pPr/>
            <w:r>
              <w:t xml:space="preserve">Why</w:t>
            </w:r>
          </w:p>
        </w:tc>
      </w:tr>
      <w:tr>
        <w:tc>
          <w:tcPr>
            <w:tcW w:w="2789" w:type="dxa"/>
          </w:tcPr>
          <w:p>
            <w:pPr/>
            <w:r>
              <w:t xml:space="preserve">"Which action fits this case?"</w:t>
            </w:r>
          </w:p>
        </w:tc>
        <w:tc>
          <w:tcPr>
            <w:tcW w:w="2726" w:type="dxa"/>
          </w:tcPr>
          <w:p>
            <w:pPr/>
            <w:r>
              <w:t xml:space="preserve">"What is the threshold for blocking?"</w:t>
            </w:r>
          </w:p>
        </w:tc>
        <w:tc>
          <w:tcPr>
            <w:tcW w:w="3845" w:type="dxa"/>
          </w:tcPr>
          <w:p>
            <w:pPr/>
            <w:r>
              <w:t xml:space="preserve">The decision survives a threshold change; the number does not</w:t>
            </w:r>
          </w:p>
        </w:tc>
      </w:tr>
      <w:tr>
        <w:tc>
          <w:tcPr>
            <w:tcW w:w="2789" w:type="dxa"/>
          </w:tcPr>
          <w:p>
            <w:pPr/>
            <w:r>
              <w:t xml:space="preserve">A scenario with realistic evidence</w:t>
            </w:r>
          </w:p>
        </w:tc>
        <w:tc>
          <w:tcPr>
            <w:tcW w:w="2726" w:type="dxa"/>
          </w:tcPr>
          <w:p>
            <w:pPr/>
            <w:r>
              <w:t xml:space="preserve">A definition to recall word for word</w:t>
            </w:r>
          </w:p>
        </w:tc>
        <w:tc>
          <w:tcPr>
            <w:tcW w:w="3845" w:type="dxa"/>
          </w:tcPr>
          <w:p>
            <w:pPr/>
            <w:r>
              <w:t xml:space="preserve">Tests what analysts actually do</w:t>
            </w:r>
          </w:p>
        </w:tc>
      </w:tr>
      <w:tr>
        <w:tc>
          <w:tcPr>
            <w:tcW w:w="2789" w:type="dxa"/>
          </w:tcPr>
          <w:p>
            <w:pPr/>
            <w:r>
              <w:t xml:space="preserve">"Where would you check this?"</w:t>
            </w:r>
          </w:p>
        </w:tc>
        <w:tc>
          <w:tcPr>
            <w:tcW w:w="2726" w:type="dxa"/>
          </w:tcPr>
          <w:p>
            <w:pPr/>
            <w:r>
              <w:t xml:space="preserve">"Which menu holds the Rules button?"</w:t>
            </w:r>
          </w:p>
        </w:tc>
        <w:tc>
          <w:tcPr>
            <w:tcW w:w="3845" w:type="dxa"/>
          </w:tcPr>
          <w:p>
            <w:pPr/>
            <w:r>
              <w:t xml:space="preserve">Tool layouts change; knowing which tool to use does not</w:t>
            </w:r>
          </w:p>
        </w:tc>
      </w:tr>
      <w:tr>
        <w:tc>
          <w:tcPr>
            <w:tcW w:w="2789" w:type="dxa"/>
          </w:tcPr>
          <w:p>
            <w:pPr/>
            <w:r>
              <w:t xml:space="preserve">Distractors drawn from real QA mistakes</w:t>
            </w:r>
          </w:p>
        </w:tc>
        <w:tc>
          <w:tcPr>
            <w:tcW w:w="2726" w:type="dxa"/>
          </w:tcPr>
          <w:p>
            <w:pPr/>
            <w:r>
              <w:t xml:space="preserve">Obviously silly options</w:t>
            </w:r>
          </w:p>
        </w:tc>
        <w:tc>
          <w:tcPr>
            <w:tcW w:w="3845" w:type="dxa"/>
          </w:tcPr>
          <w:p>
            <w:pPr/>
            <w:r>
              <w:t xml:space="preserve">Real mistakes make the question discriminate</w:t>
            </w:r>
          </w:p>
        </w:tc>
      </w:tr>
    </w:tbl>
    <w:p>
      <w:pPr/>
      <w:r>
        <w:t xml:space="preserve">Use a specific number or UI label only when knowing it by heart is genuinely part of the job, and mark that question "value-dependent" in its notes so it is first in line for review.</w:t>
      </w:r>
    </w:p>
    <w:p>
      <w:pPr>
        <w:pStyle w:val="Heading3"/>
      </w:pPr>
      <w:r>
        <w:t xml:space="preserve">Question types</w:t>
      </w:r>
    </w:p>
    <w:tbl>
      <w:tblPr>
        <w:tblStyle w:val="TableGrid"/>
        <w:tblW w:w="0" w:type="auto"/>
        <w:tblLayout w:type="fixed"/>
        <w:tblLook w:val="04A0" w:firstRow="1" w:lastRow="0" w:firstColumn="0" w:lastColumn="0" w:noHBand="0" w:noVBand="1"/>
      </w:tblPr>
      <w:tblGrid>
        <w:gridCol w:w="1146"/>
        <w:gridCol w:w="3319"/>
        <w:gridCol w:w="4895"/>
      </w:tblGrid>
      <w:tr>
        <w:trPr>
          <w:tblHeader/>
        </w:trPr>
        <w:tc>
          <w:tcPr>
            <w:tcW w:w="1146" w:type="dxa"/>
            <w:shd w:val="clear" w:color="auto" w:fill="F2F2F2"/>
          </w:tcPr>
          <w:p>
            <w:pPr/>
            <w:r>
              <w:t xml:space="preserve">Type</w:t>
            </w:r>
          </w:p>
        </w:tc>
        <w:tc>
          <w:tcPr>
            <w:tcW w:w="3319" w:type="dxa"/>
            <w:shd w:val="clear" w:color="auto" w:fill="F2F2F2"/>
          </w:tcPr>
          <w:p>
            <w:pPr/>
            <w:r>
              <w:t xml:space="preserve">Use for</w:t>
            </w:r>
          </w:p>
        </w:tc>
        <w:tc>
          <w:tcPr>
            <w:tcW w:w="4895" w:type="dxa"/>
            <w:shd w:val="clear" w:color="auto" w:fill="F2F2F2"/>
          </w:tcPr>
          <w:p>
            <w:pPr/>
            <w:r>
              <w:t xml:space="preserve">Format</w:t>
            </w:r>
          </w:p>
        </w:tc>
      </w:tr>
      <w:tr>
        <w:tc>
          <w:tcPr>
            <w:tcW w:w="1146" w:type="dxa"/>
          </w:tcPr>
          <w:p>
            <w:pPr/>
            <w:r>
              <w:t xml:space="preserve">MCQ</w:t>
            </w:r>
          </w:p>
        </w:tc>
        <w:tc>
          <w:tcPr>
            <w:tcW w:w="3319" w:type="dxa"/>
          </w:tcPr>
          <w:p>
            <w:pPr/>
            <w:r>
              <w:t xml:space="preserve">Concepts, single facts, choosing the right article or tool</w:t>
            </w:r>
          </w:p>
        </w:tc>
        <w:tc>
          <w:tcPr>
            <w:tcW w:w="4895" w:type="dxa"/>
          </w:tcPr>
          <w:p>
            <w:pPr/>
            <w:r>
              <w:t xml:space="preserve">Stem, 4 options, 1 correct, feedback per option</w:t>
            </w:r>
          </w:p>
        </w:tc>
      </w:tr>
      <w:tr>
        <w:tc>
          <w:tcPr>
            <w:tcW w:w="1146" w:type="dxa"/>
          </w:tcPr>
          <w:p>
            <w:pPr/>
            <w:r>
              <w:t xml:space="preserve">Scenario</w:t>
            </w:r>
          </w:p>
        </w:tc>
        <w:tc>
          <w:tcPr>
            <w:tcW w:w="3319" w:type="dxa"/>
          </w:tcPr>
          <w:p>
            <w:pPr/>
            <w:r>
              <w:t xml:space="preserve">Decisions, escalations, case handling</w:t>
            </w:r>
          </w:p>
        </w:tc>
        <w:tc>
          <w:tcPr>
            <w:tcW w:w="4895" w:type="dxa"/>
          </w:tcPr>
          <w:p>
            <w:pPr/>
            <w:r>
              <w:t xml:space="preserve">Short case with evidence (redacted header, report text), 3 to 4 options, feedback citing the section</w:t>
            </w:r>
          </w:p>
        </w:tc>
      </w:tr>
    </w:tbl>
    <w:p>
      <w:pPr>
        <w:pStyle w:val="Heading3"/>
      </w:pPr>
      <w:r>
        <w:t xml:space="preserve">Feedback</w:t>
      </w:r>
    </w:p>
    <w:p>
      <w:pPr/>
      <w:r>
        <w:t xml:space="preserve">Correct and incorrect feedback both explain the reasoning in one or two sentences and cite the section: "Correct: the sender passed authentication but the content matches an active campaign. See KA-OUT-012 §3." Feedback never quotes the rule in full; the link does that.</w:t>
      </w:r>
    </w:p>
    <w:p>
      <w:pPr>
        <w:pStyle w:val="Heading3"/>
      </w:pPr>
      <w:r>
        <w:t xml:space="preserve">Assessment structure</w:t>
      </w:r>
    </w:p>
    <w:tbl>
      <w:tblPr>
        <w:tblStyle w:val="TableGrid"/>
        <w:tblW w:w="0" w:type="auto"/>
        <w:tblLayout w:type="fixed"/>
        <w:tblLook w:val="04A0" w:firstRow="1" w:lastRow="0" w:firstColumn="0" w:lastColumn="0" w:noHBand="0" w:noVBand="1"/>
      </w:tblPr>
      <w:tblGrid>
        <w:gridCol w:w="1669"/>
        <w:gridCol w:w="1844"/>
        <w:gridCol w:w="3303"/>
        <w:gridCol w:w="2544"/>
      </w:tblGrid>
      <w:tr>
        <w:trPr>
          <w:tblHeader/>
        </w:trPr>
        <w:tc>
          <w:tcPr>
            <w:tcW w:w="1669" w:type="dxa"/>
            <w:shd w:val="clear" w:color="auto" w:fill="F2F2F2"/>
          </w:tcPr>
          <w:p>
            <w:pPr/>
            <w:r>
              <w:t xml:space="preserve">Assessment</w:t>
            </w:r>
          </w:p>
        </w:tc>
        <w:tc>
          <w:tcPr>
            <w:tcW w:w="1844" w:type="dxa"/>
            <w:shd w:val="clear" w:color="auto" w:fill="F2F2F2"/>
          </w:tcPr>
          <w:p>
            <w:pPr/>
            <w:r>
              <w:t xml:space="preserve">Where</w:t>
            </w:r>
          </w:p>
        </w:tc>
        <w:tc>
          <w:tcPr>
            <w:tcW w:w="3303" w:type="dxa"/>
            <w:shd w:val="clear" w:color="auto" w:fill="F2F2F2"/>
          </w:tcPr>
          <w:p>
            <w:pPr/>
            <w:r>
              <w:t xml:space="preserve">Contents</w:t>
            </w:r>
          </w:p>
        </w:tc>
        <w:tc>
          <w:tcPr>
            <w:tcW w:w="2544" w:type="dxa"/>
            <w:shd w:val="clear" w:color="auto" w:fill="F2F2F2"/>
          </w:tcPr>
          <w:p>
            <w:pPr/>
            <w:r>
              <w:t xml:space="preserve">Notes</w:t>
            </w:r>
          </w:p>
        </w:tc>
      </w:tr>
      <w:tr>
        <w:tc>
          <w:tcPr>
            <w:tcW w:w="1669" w:type="dxa"/>
          </w:tcPr>
          <w:p>
            <w:pPr/>
            <w:r>
              <w:t xml:space="preserve">Module check</w:t>
            </w:r>
          </w:p>
        </w:tc>
        <w:tc>
          <w:tcPr>
            <w:tcW w:w="1844" w:type="dxa"/>
          </w:tcPr>
          <w:p>
            <w:pPr/>
            <w:r>
              <w:t xml:space="preserve">End of every LMS module</w:t>
            </w:r>
          </w:p>
        </w:tc>
        <w:tc>
          <w:tcPr>
            <w:tcW w:w="3303" w:type="dxa"/>
          </w:tcPr>
          <w:p>
            <w:pPr/>
            <w:r>
              <w:t xml:space="preserve">3 to 5 questions on that module's articles</w:t>
            </w:r>
          </w:p>
        </w:tc>
        <w:tc>
          <w:tcPr>
            <w:tcW w:w="2544" w:type="dxa"/>
          </w:tcPr>
          <w:p>
            <w:pPr/>
            <w:r>
              <w:t xml:space="preserve">Pass mark agreed with the client; retake allowed</w:t>
            </w:r>
          </w:p>
        </w:tc>
      </w:tr>
      <w:tr>
        <w:tc>
          <w:tcPr>
            <w:tcW w:w="1669" w:type="dxa"/>
          </w:tcPr>
          <w:p>
            <w:pPr/>
            <w:r>
              <w:t xml:space="preserve">A-D10</w:t>
            </w:r>
          </w:p>
        </w:tc>
        <w:tc>
          <w:tcPr>
            <w:tcW w:w="1844" w:type="dxa"/>
          </w:tcPr>
          <w:p>
            <w:pPr/>
            <w:r>
              <w:t xml:space="preserve">Standalone LMS course, Day 10</w:t>
            </w:r>
          </w:p>
        </w:tc>
        <w:tc>
          <w:tcPr>
            <w:tcW w:w="3303" w:type="dxa"/>
          </w:tcPr>
          <w:p>
            <w:pPr/>
            <w:r>
              <w:t xml:space="preserve">Scenario questions across Weeks 1 and 2, plus the practical</w:t>
            </w:r>
          </w:p>
        </w:tc>
        <w:tc>
          <w:tcPr>
            <w:tcW w:w="2544" w:type="dxa"/>
          </w:tcPr>
          <w:p>
            <w:pPr/>
            <w:r>
              <w:t xml:space="preserve">Practical scored by the trainer; score recorded in the LMS</w:t>
            </w:r>
          </w:p>
        </w:tc>
      </w:tr>
      <w:tr>
        <w:tc>
          <w:tcPr>
            <w:tcW w:w="1669" w:type="dxa"/>
          </w:tcPr>
          <w:p>
            <w:pPr/>
            <w:r>
              <w:t xml:space="preserve">A-D15</w:t>
            </w:r>
          </w:p>
        </w:tc>
        <w:tc>
          <w:tcPr>
            <w:tcW w:w="1844" w:type="dxa"/>
          </w:tcPr>
          <w:p>
            <w:pPr/>
            <w:r>
              <w:t xml:space="preserve">Standalone LMS course, Day 15</w:t>
            </w:r>
          </w:p>
        </w:tc>
        <w:tc>
          <w:tcPr>
            <w:tcW w:w="3303" w:type="dxa"/>
          </w:tcPr>
          <w:p>
            <w:pPr/>
            <w:r>
              <w:t xml:space="preserve">Certification: scenarios across all areas, plus the supervised queue result</w:t>
            </w:r>
          </w:p>
        </w:tc>
        <w:tc>
          <w:tcPr>
            <w:tcW w:w="2544" w:type="dxa"/>
          </w:tcPr>
          <w:p>
            <w:pPr/>
            <w:r>
              <w:t xml:space="preserve">Same recording approach</w:t>
            </w:r>
          </w:p>
        </w:tc>
      </w:tr>
    </w:tbl>
    <w:p>
      <w:pPr>
        <w:pStyle w:val="Heading3"/>
      </w:pPr>
      <w:r>
        <w:t xml:space="preserve">Ownership</w:t>
      </w:r>
    </w:p>
    <w:p>
      <w:pPr/>
      <w:r>
        <w:t xml:space="preserve">The SME or Ops lead owns the question bank alongside the articles. When an article goes up a major version, the checker reviews every question listed in its header before the article is published (section 11).</w:t>
      </w:r>
    </w:p>
    <w:p>
      <w:pPr>
        <w:pStyle w:val="Heading2"/>
      </w:pPr>
      <w:r>
        <w:t xml:space="preserve">9. Visuals and media</w:t>
      </w:r>
    </w:p>
    <w:p>
      <w:pPr/>
      <w:r>
        <w:t xml:space="preserve">Choose a visual by the shape of the content, not by taste. If the content has one of the shapes below, the visual is required, not optional.</w:t>
      </w:r>
    </w:p>
    <w:tbl>
      <w:tblPr>
        <w:tblStyle w:val="TableGrid"/>
        <w:tblW w:w="0" w:type="auto"/>
        <w:tblLayout w:type="fixed"/>
        <w:tblLook w:val="04A0" w:firstRow="1" w:lastRow="0" w:firstColumn="0" w:lastColumn="0" w:noHBand="0" w:noVBand="1"/>
      </w:tblPr>
      <w:tblGrid>
        <w:gridCol w:w="3557"/>
        <w:gridCol w:w="4289"/>
        <w:gridCol w:w="1514"/>
      </w:tblGrid>
      <w:tr>
        <w:trPr>
          <w:tblHeader/>
        </w:trPr>
        <w:tc>
          <w:tcPr>
            <w:tcW w:w="3557" w:type="dxa"/>
            <w:shd w:val="clear" w:color="auto" w:fill="F2F2F2"/>
          </w:tcPr>
          <w:p>
            <w:pPr/>
            <w:r>
              <w:t xml:space="preserve">When the content is…</w:t>
            </w:r>
          </w:p>
        </w:tc>
        <w:tc>
          <w:tcPr>
            <w:tcW w:w="4289" w:type="dxa"/>
            <w:shd w:val="clear" w:color="auto" w:fill="F2F2F2"/>
          </w:tcPr>
          <w:p>
            <w:pPr/>
            <w:r>
              <w:t xml:space="preserve">Use</w:t>
            </w:r>
          </w:p>
        </w:tc>
        <w:tc>
          <w:tcPr>
            <w:tcW w:w="1514" w:type="dxa"/>
            <w:shd w:val="clear" w:color="auto" w:fill="F2F2F2"/>
          </w:tcPr>
          <w:p>
            <w:pPr/>
            <w:r>
              <w:t xml:space="preserve">Where</w:t>
            </w:r>
          </w:p>
        </w:tc>
      </w:tr>
      <w:tr>
        <w:tc>
          <w:tcPr>
            <w:tcW w:w="3557" w:type="dxa"/>
          </w:tcPr>
          <w:p>
            <w:pPr/>
            <w:r>
              <w:t xml:space="preserve">A step in a tool's UI</w:t>
            </w:r>
          </w:p>
        </w:tc>
        <w:tc>
          <w:tcPr>
            <w:tcW w:w="4289" w:type="dxa"/>
          </w:tcPr>
          <w:p>
            <w:pPr/>
            <w:r>
              <w:t xml:space="preserve">Annotated screenshot: numbered callouts, red box on the control, nothing else highlighted</w:t>
            </w:r>
          </w:p>
        </w:tc>
        <w:tc>
          <w:tcPr>
            <w:tcW w:w="1514" w:type="dxa"/>
          </w:tcPr>
          <w:p>
            <w:pPr/>
            <w:r>
              <w:t xml:space="preserve">Quip only</w:t>
            </w:r>
          </w:p>
        </w:tc>
      </w:tr>
      <w:tr>
        <w:tc>
          <w:tcPr>
            <w:tcW w:w="3557" w:type="dxa"/>
          </w:tcPr>
          <w:p>
            <w:pPr/>
            <w:r>
              <w:t xml:space="preserve">A flow across several screens, or a task over about 7 UI steps</w:t>
            </w:r>
          </w:p>
        </w:tc>
        <w:tc>
          <w:tcPr>
            <w:tcW w:w="4289" w:type="dxa"/>
          </w:tcPr>
          <w:p>
            <w:pPr/>
            <w:r>
              <w:t xml:space="preserve">Grove video, 1 to 3 minutes, linked with its title and length</w:t>
            </w:r>
          </w:p>
        </w:tc>
        <w:tc>
          <w:tcPr>
            <w:tcW w:w="1514" w:type="dxa"/>
          </w:tcPr>
          <w:p>
            <w:pPr/>
            <w:r>
              <w:t xml:space="preserve">Grove, linked from Quip</w:t>
            </w:r>
          </w:p>
        </w:tc>
      </w:tr>
      <w:tr>
        <w:tc>
          <w:tcPr>
            <w:tcW w:w="3557" w:type="dxa"/>
          </w:tcPr>
          <w:p>
            <w:pPr/>
            <w:r>
              <w:t xml:space="preserve">Steps that branch ("if X, do A; otherwise B")</w:t>
            </w:r>
          </w:p>
        </w:tc>
        <w:tc>
          <w:tcPr>
            <w:tcW w:w="4289" w:type="dxa"/>
          </w:tcPr>
          <w:p>
            <w:pPr/>
            <w:r>
              <w:t xml:space="preserve">Flowchart</w:t>
            </w:r>
          </w:p>
        </w:tc>
        <w:tc>
          <w:tcPr>
            <w:tcW w:w="1514" w:type="dxa"/>
          </w:tcPr>
          <w:p>
            <w:pPr/>
            <w:r>
              <w:t xml:space="preserve">Quip</w:t>
            </w:r>
          </w:p>
        </w:tc>
      </w:tr>
      <w:tr>
        <w:tc>
          <w:tcPr>
            <w:tcW w:w="3557" w:type="dxa"/>
          </w:tcPr>
          <w:p>
            <w:pPr/>
            <w:r>
              <w:t xml:space="preserve">Rules that combine two or more conditions</w:t>
            </w:r>
          </w:p>
        </w:tc>
        <w:tc>
          <w:tcPr>
            <w:tcW w:w="4289" w:type="dxa"/>
          </w:tcPr>
          <w:p>
            <w:pPr/>
            <w:r>
              <w:t xml:space="preserve">Decision table: one row per combination, last column = outcome</w:t>
            </w:r>
          </w:p>
        </w:tc>
        <w:tc>
          <w:tcPr>
            <w:tcW w:w="1514" w:type="dxa"/>
          </w:tcPr>
          <w:p>
            <w:pPr/>
            <w:r>
              <w:t xml:space="preserve">Quip</w:t>
            </w:r>
          </w:p>
        </w:tc>
      </w:tr>
      <w:tr>
        <w:tc>
          <w:tcPr>
            <w:tcW w:w="3557" w:type="dxa"/>
          </w:tcPr>
          <w:p>
            <w:pPr/>
            <w:r>
              <w:t xml:space="preserve">A comparison of three or more items on the same attributes</w:t>
            </w:r>
          </w:p>
        </w:tc>
        <w:tc>
          <w:tcPr>
            <w:tcW w:w="4289" w:type="dxa"/>
          </w:tcPr>
          <w:p>
            <w:pPr/>
            <w:r>
              <w:t xml:space="preserve">Table</w:t>
            </w:r>
          </w:p>
        </w:tc>
        <w:tc>
          <w:tcPr>
            <w:tcW w:w="1514" w:type="dxa"/>
          </w:tcPr>
          <w:p>
            <w:pPr/>
            <w:r>
              <w:t xml:space="preserve">Quip</w:t>
            </w:r>
          </w:p>
        </w:tc>
      </w:tr>
      <w:tr>
        <w:tc>
          <w:tcPr>
            <w:tcW w:w="3557" w:type="dxa"/>
          </w:tcPr>
          <w:p>
            <w:pPr/>
            <w:r>
              <w:t xml:space="preserve">A system, architecture or mail flow</w:t>
            </w:r>
          </w:p>
        </w:tc>
        <w:tc>
          <w:tcPr>
            <w:tcW w:w="4289" w:type="dxa"/>
          </w:tcPr>
          <w:p>
            <w:pPr/>
            <w:r>
              <w:t xml:space="preserve">Diagram with labelled components and arrows</w:t>
            </w:r>
          </w:p>
        </w:tc>
        <w:tc>
          <w:tcPr>
            <w:tcW w:w="1514" w:type="dxa"/>
          </w:tcPr>
          <w:p>
            <w:pPr/>
            <w:r>
              <w:t xml:space="preserve">Quip; a simplified version may go in the LMS if it shows no tool UI</w:t>
            </w:r>
          </w:p>
        </w:tc>
      </w:tr>
      <w:tr>
        <w:tc>
          <w:tcPr>
            <w:tcW w:w="3557" w:type="dxa"/>
          </w:tcPr>
          <w:p>
            <w:pPr/>
            <w:r>
              <w:t xml:space="preserve">An email header, rule syntax or log line</w:t>
            </w:r>
          </w:p>
        </w:tc>
        <w:tc>
          <w:tcPr>
            <w:tcW w:w="4289" w:type="dxa"/>
          </w:tcPr>
          <w:p>
            <w:pPr/>
            <w:r>
              <w:t xml:space="preserve">Code block with the key lines called out below it</w:t>
            </w:r>
          </w:p>
        </w:tc>
        <w:tc>
          <w:tcPr>
            <w:tcW w:w="1514" w:type="dxa"/>
          </w:tcPr>
          <w:p>
            <w:pPr/>
            <w:r>
              <w:t xml:space="preserve">Quip</w:t>
            </w:r>
          </w:p>
        </w:tc>
      </w:tr>
      <w:tr>
        <w:tc>
          <w:tcPr>
            <w:tcW w:w="3557" w:type="dxa"/>
          </w:tcPr>
          <w:p>
            <w:pPr/>
            <w:r>
              <w:t xml:space="preserve">A real case example</w:t>
            </w:r>
          </w:p>
        </w:tc>
        <w:tc>
          <w:tcPr>
            <w:tcW w:w="4289" w:type="dxa"/>
          </w:tcPr>
          <w:p>
            <w:pPr/>
            <w:r>
              <w:t xml:space="preserve">Redacted screenshot or sample, marked "Example"</w:t>
            </w:r>
          </w:p>
        </w:tc>
        <w:tc>
          <w:tcPr>
            <w:tcW w:w="1514" w:type="dxa"/>
          </w:tcPr>
          <w:p>
            <w:pPr/>
            <w:r>
              <w:t xml:space="preserve">Quip</w:t>
            </w:r>
          </w:p>
        </w:tc>
      </w:tr>
      <w:tr>
        <w:tc>
          <w:tcPr>
            <w:tcW w:w="3557" w:type="dxa"/>
          </w:tcPr>
          <w:p>
            <w:pPr/>
            <w:r>
              <w:t xml:space="preserve">A scenario hook in the LMS</w:t>
            </w:r>
          </w:p>
        </w:tc>
        <w:tc>
          <w:tcPr>
            <w:tcW w:w="4289" w:type="dxa"/>
          </w:tcPr>
          <w:p>
            <w:pPr/>
            <w:r>
              <w:t xml:space="preserve">Illustration or generic mock email, never a real tool screen</w:t>
            </w:r>
          </w:p>
        </w:tc>
        <w:tc>
          <w:tcPr>
            <w:tcW w:w="1514" w:type="dxa"/>
          </w:tcPr>
          <w:p>
            <w:pPr/>
            <w:r>
              <w:t xml:space="preserve">LMS</w:t>
            </w:r>
          </w:p>
        </w:tc>
      </w:tr>
      <w:tr>
        <w:tc>
          <w:tcPr>
            <w:tcW w:w="3557" w:type="dxa"/>
          </w:tcPr>
          <w:p>
            <w:pPr/>
            <w:r>
              <w:t xml:space="preserve">A list of terms</w:t>
            </w:r>
          </w:p>
        </w:tc>
        <w:tc>
          <w:tcPr>
            <w:tcW w:w="4289" w:type="dxa"/>
          </w:tcPr>
          <w:p>
            <w:pPr/>
            <w:r>
              <w:t xml:space="preserve">Glossary row, not an inline definition</w:t>
            </w:r>
          </w:p>
        </w:tc>
        <w:tc>
          <w:tcPr>
            <w:tcW w:w="1514" w:type="dxa"/>
          </w:tcPr>
          <w:p>
            <w:pPr/>
            <w:r>
              <w:t xml:space="preserve">Quip Reference</w:t>
            </w:r>
          </w:p>
        </w:tc>
      </w:tr>
    </w:tbl>
    <w:p>
      <w:pPr>
        <w:pStyle w:val="Heading3"/>
      </w:pPr>
      <w:r>
        <w:t xml:space="preserve">Screenshot standard</w:t>
      </w:r>
    </w:p>
    <w:p>
      <w:pPr>
        <w:pStyle w:val="ListParagraph"/>
        <w:numPr>
          <w:ilvl w:val="0"/>
          <w:numId w:val="8"/>
        </w:numPr>
      </w:pPr>
      <w:r>
        <w:t xml:space="preserve">Crop to the area that matters; full-screen only for the Tool Guide screen tour.</w:t>
      </w:r>
    </w:p>
    <w:p>
      <w:pPr>
        <w:pStyle w:val="ListParagraph"/>
        <w:numPr>
          <w:ilvl w:val="0"/>
          <w:numId w:val="8"/>
        </w:numPr>
      </w:pPr>
      <w:r>
        <w:t xml:space="preserve">Redact all user data: addresses, account IDs, message content. Use sample accounts where possible.</w:t>
      </w:r>
    </w:p>
    <w:p>
      <w:pPr>
        <w:pStyle w:val="ListParagraph"/>
        <w:numPr>
          <w:ilvl w:val="0"/>
          <w:numId w:val="8"/>
        </w:numPr>
      </w:pPr>
      <w:r>
        <w:t xml:space="preserve">Callouts are numbered to match the step text.</w:t>
      </w:r>
    </w:p>
    <w:p>
      <w:pPr>
        <w:pStyle w:val="ListParagraph"/>
        <w:numPr>
          <w:ilvl w:val="0"/>
          <w:numId w:val="8"/>
        </w:numPr>
      </w:pPr>
      <w:r>
        <w:t xml:space="preserve">Add alt text describing what the screenshot shows.</w:t>
      </w:r>
    </w:p>
    <w:p>
      <w:pPr>
        <w:pStyle w:val="ListParagraph"/>
        <w:numPr>
          <w:ilvl w:val="0"/>
          <w:numId w:val="8"/>
        </w:numPr>
      </w:pPr>
      <w:r>
        <w:t xml:space="preserve">Put a caption under each with the tool version or the date taken, so stale screenshots are easy to spot.</w:t>
      </w:r>
    </w:p>
    <w:p>
      <w:pPr>
        <w:pStyle w:val="Heading3"/>
      </w:pPr>
      <w:r>
        <w:t xml:space="preserve">Video standard (Grove)</w:t>
      </w:r>
    </w:p>
    <w:p>
      <w:pPr>
        <w:pStyle w:val="ListParagraph"/>
        <w:numPr>
          <w:ilvl w:val="0"/>
          <w:numId w:val="9"/>
        </w:numPr>
      </w:pPr>
      <w:r>
        <w:t xml:space="preserve">One task per video, 1 to 3 minutes, no intro music.</w:t>
      </w:r>
    </w:p>
    <w:p>
      <w:pPr>
        <w:pStyle w:val="ListParagraph"/>
        <w:numPr>
          <w:ilvl w:val="0"/>
          <w:numId w:val="9"/>
        </w:numPr>
      </w:pPr>
      <w:r>
        <w:t xml:space="preserve">Title matches the Quip section it supports, with the KA ID.</w:t>
      </w:r>
    </w:p>
    <w:p>
      <w:pPr>
        <w:pStyle w:val="ListParagraph"/>
        <w:numPr>
          <w:ilvl w:val="0"/>
          <w:numId w:val="9"/>
        </w:numPr>
      </w:pPr>
      <w:r>
        <w:t xml:space="preserve">Narrate what and why, not just clicks.</w:t>
      </w:r>
    </w:p>
    <w:p>
      <w:pPr>
        <w:pStyle w:val="ListParagraph"/>
        <w:numPr>
          <w:ilvl w:val="0"/>
          <w:numId w:val="9"/>
        </w:numPr>
      </w:pPr>
      <w:r>
        <w:t xml:space="preserve">Re-record when the UI changes; the Quip link stays the same if Grove supports replacing a video in place.</w:t>
      </w:r>
    </w:p>
    <w:p>
      <w:pPr>
        <w:pStyle w:val="Heading3"/>
      </w:pPr>
      <w:r>
        <w:t xml:space="preserve">Diagrams</w:t>
      </w:r>
    </w:p>
    <w:p>
      <w:pPr/>
      <w:r>
        <w:t xml:space="preserve">Keep the source file for every diagram in the Training Kit, so it can be edited instead of redrawn. Use the same shapes for the same meaning across all articles: rectangles for steps, diamonds for decisions, rounded boxes for systems.</w:t>
      </w:r>
    </w:p>
    <w:p>
      <w:pPr>
        <w:pStyle w:val="Heading2"/>
      </w:pPr>
      <w:r>
        <w:t xml:space="preserve">10. Writing style</w:t>
      </w:r>
    </w:p>
    <w:p>
      <w:pPr/>
      <w:r>
        <w:t xml:space="preserve">Articles are read mid-case by someone under time pressure. Write so the answer is found in seconds.</w:t>
      </w:r>
    </w:p>
    <w:tbl>
      <w:tblPr>
        <w:tblStyle w:val="TableGrid"/>
        <w:tblW w:w="0" w:type="auto"/>
        <w:tblLayout w:type="fixed"/>
        <w:tblLook w:val="04A0" w:firstRow="1" w:lastRow="0" w:firstColumn="0" w:lastColumn="0" w:noHBand="0" w:noVBand="1"/>
      </w:tblPr>
      <w:tblGrid>
        <w:gridCol w:w="3019"/>
        <w:gridCol w:w="2752"/>
        <w:gridCol w:w="3589"/>
      </w:tblGrid>
      <w:tr>
        <w:trPr>
          <w:tblHeader/>
        </w:trPr>
        <w:tc>
          <w:tcPr>
            <w:tcW w:w="3019" w:type="dxa"/>
            <w:shd w:val="clear" w:color="auto" w:fill="F2F2F2"/>
          </w:tcPr>
          <w:p>
            <w:pPr/>
            <w:r>
              <w:t xml:space="preserve">Rule</w:t>
            </w:r>
          </w:p>
        </w:tc>
        <w:tc>
          <w:tcPr>
            <w:tcW w:w="2752" w:type="dxa"/>
            <w:shd w:val="clear" w:color="auto" w:fill="F2F2F2"/>
          </w:tcPr>
          <w:p>
            <w:pPr/>
            <w:r>
              <w:t xml:space="preserve">Do</w:t>
            </w:r>
          </w:p>
        </w:tc>
        <w:tc>
          <w:tcPr>
            <w:tcW w:w="3589" w:type="dxa"/>
            <w:shd w:val="clear" w:color="auto" w:fill="F2F2F2"/>
          </w:tcPr>
          <w:p>
            <w:pPr/>
            <w:r>
              <w:t xml:space="preserve">Don't</w:t>
            </w:r>
          </w:p>
        </w:tc>
      </w:tr>
      <w:tr>
        <w:tc>
          <w:tcPr>
            <w:tcW w:w="3019" w:type="dxa"/>
          </w:tcPr>
          <w:p>
            <w:pPr/>
            <w:r>
              <w:t xml:space="preserve">Lead with the point</w:t>
            </w:r>
          </w:p>
        </w:tc>
        <w:tc>
          <w:tcPr>
            <w:tcW w:w="2752" w:type="dxa"/>
          </w:tcPr>
          <w:p>
            <w:pPr/>
            <w:r>
              <w:t xml:space="preserve">"Block the alias and note the case ID."</w:t>
            </w:r>
          </w:p>
        </w:tc>
        <w:tc>
          <w:tcPr>
            <w:tcW w:w="3589" w:type="dxa"/>
          </w:tcPr>
          <w:p>
            <w:pPr/>
            <w:r>
              <w:t xml:space="preserve">"In order to ensure the case is handled appropriately, it may be necessary to…"</w:t>
            </w:r>
          </w:p>
        </w:tc>
      </w:tr>
      <w:tr>
        <w:tc>
          <w:tcPr>
            <w:tcW w:w="3019" w:type="dxa"/>
          </w:tcPr>
          <w:p>
            <w:pPr/>
            <w:r>
              <w:t xml:space="preserve">One action per step</w:t>
            </w:r>
          </w:p>
        </w:tc>
        <w:tc>
          <w:tcPr>
            <w:tcW w:w="2752" w:type="dxa"/>
          </w:tcPr>
          <w:p>
            <w:pPr/>
            <w:r>
              <w:t xml:space="preserve">"1. Open the case. 2. Copy the sender address."</w:t>
            </w:r>
          </w:p>
        </w:tc>
        <w:tc>
          <w:tcPr>
            <w:tcW w:w="3589" w:type="dxa"/>
          </w:tcPr>
          <w:p>
            <w:pPr/>
            <w:r>
              <w:t xml:space="preserve">"Open the case, copy the sender address and check it in Heimdall."</w:t>
            </w:r>
          </w:p>
        </w:tc>
      </w:tr>
      <w:tr>
        <w:tc>
          <w:tcPr>
            <w:tcW w:w="3019" w:type="dxa"/>
          </w:tcPr>
          <w:p>
            <w:pPr/>
            <w:r>
              <w:t xml:space="preserve">Imperative voice in steps</w:t>
            </w:r>
          </w:p>
        </w:tc>
        <w:tc>
          <w:tcPr>
            <w:tcW w:w="2752" w:type="dxa"/>
          </w:tcPr>
          <w:p>
            <w:pPr/>
            <w:r>
              <w:t xml:space="preserve">"Select Save."</w:t>
            </w:r>
          </w:p>
        </w:tc>
        <w:tc>
          <w:tcPr>
            <w:tcW w:w="3589" w:type="dxa"/>
          </w:tcPr>
          <w:p>
            <w:pPr/>
            <w:r>
              <w:t xml:space="preserve">"The analyst should then select Save."</w:t>
            </w:r>
          </w:p>
        </w:tc>
      </w:tr>
      <w:tr>
        <w:tc>
          <w:tcPr>
            <w:tcW w:w="3019" w:type="dxa"/>
          </w:tcPr>
          <w:p>
            <w:pPr/>
            <w:r>
              <w:t xml:space="preserve">Short sentences</w:t>
            </w:r>
          </w:p>
        </w:tc>
        <w:tc>
          <w:tcPr>
            <w:tcW w:w="2752" w:type="dxa"/>
          </w:tcPr>
          <w:p>
            <w:pPr/>
            <w:r>
              <w:t xml:space="preserve">Under 25 words</w:t>
            </w:r>
          </w:p>
        </w:tc>
        <w:tc>
          <w:tcPr>
            <w:tcW w:w="3589" w:type="dxa"/>
          </w:tcPr>
          <w:p>
            <w:pPr/>
            <w:r>
              <w:t xml:space="preserve">Sentences that need re-reading</w:t>
            </w:r>
          </w:p>
        </w:tc>
      </w:tr>
      <w:tr>
        <w:tc>
          <w:tcPr>
            <w:tcW w:w="3019" w:type="dxa"/>
          </w:tcPr>
          <w:p>
            <w:pPr/>
            <w:r>
              <w:t xml:space="preserve">Name UI elements exactly</w:t>
            </w:r>
          </w:p>
        </w:tc>
        <w:tc>
          <w:tcPr>
            <w:tcW w:w="2752" w:type="dxa"/>
          </w:tcPr>
          <w:p>
            <w:pPr/>
            <w:r>
              <w:t xml:space="preserve">Bold, matching the screen: </w:t>
            </w:r>
            <w:r>
              <w:rPr>
                <w:b/>
              </w:rPr>
              <w:t xml:space="preserve">New Rule</w:t>
            </w:r>
          </w:p>
        </w:tc>
        <w:tc>
          <w:tcPr>
            <w:tcW w:w="3589" w:type="dxa"/>
          </w:tcPr>
          <w:p>
            <w:pPr/>
            <w:r>
              <w:t xml:space="preserve">"the new rule button thing"</w:t>
            </w:r>
          </w:p>
        </w:tc>
      </w:tr>
      <w:tr>
        <w:tc>
          <w:tcPr>
            <w:tcW w:w="3019" w:type="dxa"/>
          </w:tcPr>
          <w:p>
            <w:pPr/>
            <w:r>
              <w:t xml:space="preserve">Define once</w:t>
            </w:r>
          </w:p>
        </w:tc>
        <w:tc>
          <w:tcPr>
            <w:tcW w:w="2752" w:type="dxa"/>
          </w:tcPr>
          <w:p>
            <w:pPr/>
            <w:r>
              <w:t xml:space="preserve">Link the Glossary term</w:t>
            </w:r>
          </w:p>
        </w:tc>
        <w:tc>
          <w:tcPr>
            <w:tcW w:w="3589" w:type="dxa"/>
          </w:tcPr>
          <w:p>
            <w:pPr/>
            <w:r>
              <w:t xml:space="preserve">Re-defining a term in every article</w:t>
            </w:r>
          </w:p>
        </w:tc>
      </w:tr>
      <w:tr>
        <w:tc>
          <w:tcPr>
            <w:tcW w:w="3019" w:type="dxa"/>
          </w:tcPr>
          <w:p>
            <w:pPr/>
            <w:r>
              <w:t xml:space="preserve">Say it once</w:t>
            </w:r>
          </w:p>
        </w:tc>
        <w:tc>
          <w:tcPr>
            <w:tcW w:w="2752" w:type="dxa"/>
          </w:tcPr>
          <w:p>
            <w:pPr/>
            <w:r>
              <w:t xml:space="preserve">Link the Decision Guide for rules</w:t>
            </w:r>
          </w:p>
        </w:tc>
        <w:tc>
          <w:tcPr>
            <w:tcW w:w="3589" w:type="dxa"/>
          </w:tcPr>
          <w:p>
            <w:pPr/>
            <w:r>
              <w:t xml:space="preserve">Copying a rule into several Workflows</w:t>
            </w:r>
          </w:p>
        </w:tc>
      </w:tr>
      <w:tr>
        <w:tc>
          <w:tcPr>
            <w:tcW w:w="3019" w:type="dxa"/>
          </w:tcPr>
          <w:p>
            <w:pPr/>
            <w:r>
              <w:t xml:space="preserve">Numbers with units</w:t>
            </w:r>
          </w:p>
        </w:tc>
        <w:tc>
          <w:tcPr>
            <w:tcW w:w="2752" w:type="dxa"/>
          </w:tcPr>
          <w:p>
            <w:pPr/>
            <w:r>
              <w:t xml:space="preserve">"within 24 hours"</w:t>
            </w:r>
          </w:p>
        </w:tc>
        <w:tc>
          <w:tcPr>
            <w:tcW w:w="3589" w:type="dxa"/>
          </w:tcPr>
          <w:p>
            <w:pPr/>
            <w:r>
              <w:t xml:space="preserve">"quickly"</w:t>
            </w:r>
          </w:p>
        </w:tc>
      </w:tr>
      <w:tr>
        <w:tc>
          <w:tcPr>
            <w:tcW w:w="3019" w:type="dxa"/>
          </w:tcPr>
          <w:p>
            <w:pPr/>
            <w:r>
              <w:t xml:space="preserve">Expected results</w:t>
            </w:r>
          </w:p>
        </w:tc>
        <w:tc>
          <w:tcPr>
            <w:tcW w:w="2752" w:type="dxa"/>
          </w:tcPr>
          <w:p>
            <w:pPr/>
            <w:r>
              <w:t xml:space="preserve">"The rule now shows Active." after key steps</w:t>
            </w:r>
          </w:p>
        </w:tc>
        <w:tc>
          <w:tcPr>
            <w:tcW w:w="3589" w:type="dxa"/>
          </w:tcPr>
          <w:p>
            <w:pPr/>
            <w:r>
              <w:t xml:space="preserve">Leaving the reader unsure if it worked</w:t>
            </w:r>
          </w:p>
        </w:tc>
      </w:tr>
      <w:tr>
        <w:tc>
          <w:tcPr>
            <w:tcW w:w="3019" w:type="dxa"/>
          </w:tcPr>
          <w:p>
            <w:pPr/>
            <w:r>
              <w:t xml:space="preserve">Plain words</w:t>
            </w:r>
          </w:p>
        </w:tc>
        <w:tc>
          <w:tcPr>
            <w:tcW w:w="2752" w:type="dxa"/>
          </w:tcPr>
          <w:p>
            <w:pPr/>
            <w:r>
              <w:t xml:space="preserve">"use", "check"</w:t>
            </w:r>
          </w:p>
        </w:tc>
        <w:tc>
          <w:tcPr>
            <w:tcW w:w="3589" w:type="dxa"/>
          </w:tcPr>
          <w:p>
            <w:pPr/>
            <w:r>
              <w:t xml:space="preserve">"utilise", "ascertain"</w:t>
            </w:r>
          </w:p>
        </w:tc>
      </w:tr>
    </w:tbl>
    <w:p>
      <w:pPr>
        <w:pStyle w:val="Heading3"/>
      </w:pPr>
      <w:r>
        <w:t xml:space="preserve">Callouts</w:t>
      </w:r>
    </w:p>
    <w:p>
      <w:pPr/>
      <w:r>
        <w:t xml:space="preserve">Use Quip's callout styles sparingly and consistently:</w:t>
      </w:r>
    </w:p>
    <w:p>
      <w:pPr>
        <w:pStyle w:val="ListParagraph"/>
        <w:numPr>
          <w:ilvl w:val="0"/>
          <w:numId w:val="10"/>
        </w:numPr>
      </w:pPr>
      <w:r>
        <w:rPr>
          <w:b/>
        </w:rPr>
        <w:t xml:space="preserve">Important:</w:t>
      </w:r>
      <w:r>
        <w:t xml:space="preserve"> a step that, if skipped, causes a wrong action on a user account.</w:t>
      </w:r>
    </w:p>
    <w:p>
      <w:pPr>
        <w:pStyle w:val="ListParagraph"/>
        <w:numPr>
          <w:ilvl w:val="0"/>
          <w:numId w:val="10"/>
        </w:numPr>
      </w:pPr>
      <w:r>
        <w:rPr>
          <w:b/>
        </w:rPr>
        <w:t xml:space="preserve">Note:</w:t>
      </w:r>
      <w:r>
        <w:t xml:space="preserve"> useful context that is not required.</w:t>
      </w:r>
    </w:p>
    <w:p>
      <w:pPr>
        <w:pStyle w:val="ListParagraph"/>
        <w:numPr>
          <w:ilvl w:val="0"/>
          <w:numId w:val="10"/>
        </w:numPr>
      </w:pPr>
      <w:r>
        <w:rPr>
          <w:b/>
        </w:rPr>
        <w:t xml:space="preserve">Privacy:</w:t>
      </w:r>
      <w:r>
        <w:t xml:space="preserve"> a data-handling boundary. Always link the privacy article.</w:t>
      </w:r>
    </w:p>
    <w:p>
      <w:pPr/>
      <w:r>
        <w:t xml:space="preserve">No more than two callouts per article section. If everything is important, nothing is.</w:t>
      </w:r>
    </w:p>
    <w:p>
      <w:pPr>
        <w:pStyle w:val="Heading3"/>
      </w:pPr>
      <w:r>
        <w:t xml:space="preserve">Language and format</w:t>
      </w:r>
    </w:p>
    <w:p>
      <w:pPr>
        <w:pStyle w:val="ListParagraph"/>
        <w:numPr>
          <w:ilvl w:val="0"/>
          <w:numId w:val="11"/>
        </w:numPr>
      </w:pPr>
      <w:r>
        <w:t xml:space="preserve">English, as used by the client (confirm US or UK spelling).</w:t>
      </w:r>
    </w:p>
    <w:p>
      <w:pPr>
        <w:pStyle w:val="ListParagraph"/>
        <w:numPr>
          <w:ilvl w:val="0"/>
          <w:numId w:val="11"/>
        </w:numPr>
      </w:pPr>
      <w:r>
        <w:t xml:space="preserve">Dates as DD Mon YYYY (26 Oct 2026), so they read the same in every region.</w:t>
      </w:r>
    </w:p>
    <w:p>
      <w:pPr>
        <w:pStyle w:val="ListParagraph"/>
        <w:numPr>
          <w:ilvl w:val="0"/>
          <w:numId w:val="11"/>
        </w:numPr>
      </w:pPr>
      <w:r>
        <w:t xml:space="preserve">Headings numbered §1, §2…; no more than two heading levels inside an article.</w:t>
      </w:r>
    </w:p>
    <w:p>
      <w:pPr>
        <w:pStyle w:val="Heading2"/>
      </w:pPr>
      <w:r>
        <w:t xml:space="preserve">11. Change management</w:t>
      </w:r>
    </w:p>
    <w:p>
      <w:pPr/>
      <w:r>
        <w:t xml:space="preserve">A process change is edited once, in Quip. A major change also triggers a review of the LMS questions tagged to the changed sections. Nothing else in the LMS should need touching.</w:t>
      </w:r>
    </w:p>
    <w:p>
      <w:pPr/>
      <w:r>
        <w:drawing>
          <wp:inline distT="0" distB="0" distL="0" distR="0">
            <wp:extent cx="5486400" cy="2220685"/>
            <wp:docPr id="2" name="image2" descr="change flow · request to publish"/>
            <a:graphic xmlns:a="http://schemas.openxmlformats.org/drawingml/2006/main">
              <a:graphicData uri="http://schemas.openxmlformats.org/drawingml/2006/picture">
                <pic:pic xmlns:pic="http://schemas.openxmlformats.org/drawingml/2006/picture">
                  <pic:nvPicPr>
                    <pic:cNvPr id="2" name="image2" descr="change flow · request to publish"/>
                    <pic:cNvPicPr/>
                  </pic:nvPicPr>
                  <pic:blipFill>
                    <a:blip r:embed="rId4"/>
                    <a:stretch>
                      <a:fillRect/>
                    </a:stretch>
                  </pic:blipFill>
                  <pic:spPr>
                    <a:xfrm>
                      <a:off x="0" y="0"/>
                      <a:ext cx="5486400" cy="2220685"/>
                    </a:xfrm>
                    <a:prstGeom prst="rect">
                      <a:avLst/>
                    </a:prstGeom>
                  </pic:spPr>
                </pic:pic>
              </a:graphicData>
            </a:graphic>
          </wp:inline>
        </w:drawing>
      </w:r>
    </w:p>
    <w:p>
      <w:pPr/>
      <w:r>
        <w:t xml:space="preserve">change flow · request to publish</w:t>
      </w:r>
    </w:p>
    <w:p>
      <w:pPr/>
      <w:r>
        <w:t xml:space="preserve">If the checker does not approve, the change goes back to the maker with comments, and the flow repeats from the draft.</w:t>
      </w:r>
    </w:p>
    <w:p>
      <w:pPr>
        <w:pStyle w:val="Heading3"/>
      </w:pPr>
      <w:r>
        <w:t xml:space="preserve">Major or minor</w:t>
      </w:r>
    </w:p>
    <w:tbl>
      <w:tblPr>
        <w:tblStyle w:val="TableGrid"/>
        <w:tblW w:w="0" w:type="auto"/>
        <w:tblLayout w:type="fixed"/>
        <w:tblLook w:val="04A0" w:firstRow="1" w:lastRow="0" w:firstColumn="0" w:lastColumn="0" w:noHBand="0" w:noVBand="1"/>
      </w:tblPr>
      <w:tblGrid>
        <w:gridCol w:w="1503"/>
        <w:gridCol w:w="2623"/>
        <w:gridCol w:w="1226"/>
        <w:gridCol w:w="1582"/>
        <w:gridCol w:w="2426"/>
      </w:tblGrid>
      <w:tr>
        <w:trPr>
          <w:tblHeader/>
        </w:trPr>
        <w:tc>
          <w:tcPr>
            <w:tcW w:w="1503" w:type="dxa"/>
            <w:shd w:val="clear" w:color="auto" w:fill="F2F2F2"/>
          </w:tcPr>
          <w:p>
            <w:pPr/>
            <w:r>
              <w:t xml:space="preserve">Change type</w:t>
            </w:r>
          </w:p>
        </w:tc>
        <w:tc>
          <w:tcPr>
            <w:tcW w:w="2623" w:type="dxa"/>
            <w:shd w:val="clear" w:color="auto" w:fill="F2F2F2"/>
          </w:tcPr>
          <w:p>
            <w:pPr/>
            <w:r>
              <w:t xml:space="preserve">Examples</w:t>
            </w:r>
          </w:p>
        </w:tc>
        <w:tc>
          <w:tcPr>
            <w:tcW w:w="1226" w:type="dxa"/>
            <w:shd w:val="clear" w:color="auto" w:fill="F2F2F2"/>
          </w:tcPr>
          <w:p>
            <w:pPr/>
            <w:r>
              <w:t xml:space="preserve">Version</w:t>
            </w:r>
          </w:p>
        </w:tc>
        <w:tc>
          <w:tcPr>
            <w:tcW w:w="1582" w:type="dxa"/>
            <w:shd w:val="clear" w:color="auto" w:fill="F2F2F2"/>
          </w:tcPr>
          <w:p>
            <w:pPr/>
            <w:r>
              <w:t xml:space="preserve">Banner</w:t>
            </w:r>
          </w:p>
        </w:tc>
        <w:tc>
          <w:tcPr>
            <w:tcW w:w="2426" w:type="dxa"/>
            <w:shd w:val="clear" w:color="auto" w:fill="F2F2F2"/>
          </w:tcPr>
          <w:p>
            <w:pPr/>
            <w:r>
              <w:t xml:space="preserve">LMS follow-up</w:t>
            </w:r>
          </w:p>
        </w:tc>
      </w:tr>
      <w:tr>
        <w:tc>
          <w:tcPr>
            <w:tcW w:w="1503" w:type="dxa"/>
          </w:tcPr>
          <w:p>
            <w:pPr/>
            <w:r>
              <w:t xml:space="preserve">Major</w:t>
            </w:r>
          </w:p>
        </w:tc>
        <w:tc>
          <w:tcPr>
            <w:tcW w:w="2623" w:type="dxa"/>
          </w:tcPr>
          <w:p>
            <w:pPr/>
            <w:r>
              <w:t xml:space="preserve">A step, rule, threshold, escalation path or tool workflow changes</w:t>
            </w:r>
          </w:p>
        </w:tc>
        <w:tc>
          <w:tcPr>
            <w:tcW w:w="1226" w:type="dxa"/>
          </w:tcPr>
          <w:p>
            <w:pPr/>
            <w:r>
              <w:t xml:space="preserve">1.x to 2.0</w:t>
            </w:r>
          </w:p>
        </w:tc>
        <w:tc>
          <w:tcPr>
            <w:tcW w:w="1582" w:type="dxa"/>
          </w:tcPr>
          <w:p>
            <w:pPr/>
            <w:r>
              <w:t xml:space="preserve">Yes, 30 days</w:t>
            </w:r>
          </w:p>
        </w:tc>
        <w:tc>
          <w:tcPr>
            <w:tcW w:w="2426" w:type="dxa"/>
          </w:tcPr>
          <w:p>
            <w:pPr/>
            <w:r>
              <w:t xml:space="preserve">Review linked questions; reassign the module check to current analysts if the client wants proof of awareness</w:t>
            </w:r>
          </w:p>
        </w:tc>
      </w:tr>
      <w:tr>
        <w:tc>
          <w:tcPr>
            <w:tcW w:w="1503" w:type="dxa"/>
          </w:tcPr>
          <w:p>
            <w:pPr/>
            <w:r>
              <w:t xml:space="preserve">Minor</w:t>
            </w:r>
          </w:p>
        </w:tc>
        <w:tc>
          <w:tcPr>
            <w:tcW w:w="2623" w:type="dxa"/>
          </w:tcPr>
          <w:p>
            <w:pPr/>
            <w:r>
              <w:t xml:space="preserve">Wording, typo, clearer example, new screenshot of an unchanged UI</w:t>
            </w:r>
          </w:p>
        </w:tc>
        <w:tc>
          <w:tcPr>
            <w:tcW w:w="1226" w:type="dxa"/>
          </w:tcPr>
          <w:p>
            <w:pPr/>
            <w:r>
              <w:t xml:space="preserve">1.2 to 1.3</w:t>
            </w:r>
          </w:p>
        </w:tc>
        <w:tc>
          <w:tcPr>
            <w:tcW w:w="1582" w:type="dxa"/>
          </w:tcPr>
          <w:p>
            <w:pPr/>
            <w:r>
              <w:t xml:space="preserve">No</w:t>
            </w:r>
          </w:p>
        </w:tc>
        <w:tc>
          <w:tcPr>
            <w:tcW w:w="2426" w:type="dxa"/>
          </w:tcPr>
          <w:p>
            <w:pPr/>
            <w:r>
              <w:t xml:space="preserve">None</w:t>
            </w:r>
          </w:p>
        </w:tc>
      </w:tr>
    </w:tbl>
    <w:p>
      <w:pPr>
        <w:pStyle w:val="Heading3"/>
      </w:pPr>
      <w:r>
        <w:t xml:space="preserve">Roles</w:t>
      </w:r>
    </w:p>
    <w:tbl>
      <w:tblPr>
        <w:tblStyle w:val="TableGrid"/>
        <w:tblW w:w="0" w:type="auto"/>
        <w:tblLayout w:type="fixed"/>
        <w:tblLook w:val="04A0" w:firstRow="1" w:lastRow="0" w:firstColumn="0" w:lastColumn="0" w:noHBand="0" w:noVBand="1"/>
      </w:tblPr>
      <w:tblGrid>
        <w:gridCol w:w="2453"/>
        <w:gridCol w:w="1987"/>
        <w:gridCol w:w="4920"/>
      </w:tblGrid>
      <w:tr>
        <w:trPr>
          <w:tblHeader/>
        </w:trPr>
        <w:tc>
          <w:tcPr>
            <w:tcW w:w="2453" w:type="dxa"/>
            <w:shd w:val="clear" w:color="auto" w:fill="F2F2F2"/>
          </w:tcPr>
          <w:p>
            <w:pPr/>
            <w:r>
              <w:t xml:space="preserve">Role</w:t>
            </w:r>
          </w:p>
        </w:tc>
        <w:tc>
          <w:tcPr>
            <w:tcW w:w="1987" w:type="dxa"/>
            <w:shd w:val="clear" w:color="auto" w:fill="F2F2F2"/>
          </w:tcPr>
          <w:p>
            <w:pPr/>
            <w:r>
              <w:t xml:space="preserve">Who</w:t>
            </w:r>
          </w:p>
        </w:tc>
        <w:tc>
          <w:tcPr>
            <w:tcW w:w="4920" w:type="dxa"/>
            <w:shd w:val="clear" w:color="auto" w:fill="F2F2F2"/>
          </w:tcPr>
          <w:p>
            <w:pPr/>
            <w:r>
              <w:t xml:space="preserve">Responsibility</w:t>
            </w:r>
          </w:p>
        </w:tc>
      </w:tr>
      <w:tr>
        <w:tc>
          <w:tcPr>
            <w:tcW w:w="2453" w:type="dxa"/>
          </w:tcPr>
          <w:p>
            <w:pPr/>
            <w:r>
              <w:t xml:space="preserve">Requester</w:t>
            </w:r>
          </w:p>
        </w:tc>
        <w:tc>
          <w:tcPr>
            <w:tcW w:w="1987" w:type="dxa"/>
          </w:tcPr>
          <w:p>
            <w:pPr/>
            <w:r>
              <w:t xml:space="preserve">Anyone: analyst, QA, SME, Ops</w:t>
            </w:r>
          </w:p>
        </w:tc>
        <w:tc>
          <w:tcPr>
            <w:tcW w:w="4920" w:type="dxa"/>
          </w:tcPr>
          <w:p>
            <w:pPr/>
            <w:r>
              <w:t xml:space="preserve">Raises the change with the article ID and section</w:t>
            </w:r>
          </w:p>
        </w:tc>
      </w:tr>
      <w:tr>
        <w:tc>
          <w:tcPr>
            <w:tcW w:w="2453" w:type="dxa"/>
          </w:tcPr>
          <w:p>
            <w:pPr/>
            <w:r>
              <w:t xml:space="preserve">Maker</w:t>
            </w:r>
          </w:p>
        </w:tc>
        <w:tc>
          <w:tcPr>
            <w:tcW w:w="1987" w:type="dxa"/>
          </w:tcPr>
          <w:p>
            <w:pPr/>
            <w:r>
              <w:t xml:space="preserve">Training team</w:t>
            </w:r>
          </w:p>
        </w:tc>
        <w:tc>
          <w:tcPr>
            <w:tcW w:w="4920" w:type="dxa"/>
          </w:tcPr>
          <w:p>
            <w:pPr/>
            <w:r>
              <w:t xml:space="preserve">Drafts the change in Quip, updates version, banner, change history, and the What's new log; prepares question edits</w:t>
            </w:r>
          </w:p>
        </w:tc>
      </w:tr>
      <w:tr>
        <w:tc>
          <w:tcPr>
            <w:tcW w:w="2453" w:type="dxa"/>
          </w:tcPr>
          <w:p>
            <w:pPr/>
            <w:r>
              <w:t xml:space="preserve">Checker and approver</w:t>
            </w:r>
          </w:p>
        </w:tc>
        <w:tc>
          <w:tcPr>
            <w:tcW w:w="1987" w:type="dxa"/>
          </w:tcPr>
          <w:p>
            <w:pPr/>
            <w:r>
              <w:t xml:space="preserve">SME or Ops lead</w:t>
            </w:r>
          </w:p>
        </w:tc>
        <w:tc>
          <w:tcPr>
            <w:tcW w:w="4920" w:type="dxa"/>
          </w:tcPr>
          <w:p>
            <w:pPr/>
            <w:r>
              <w:t xml:space="preserve">Reviews accuracy, approves with an @mention comment, confirms question review</w:t>
            </w:r>
          </w:p>
        </w:tc>
      </w:tr>
      <w:tr>
        <w:tc>
          <w:tcPr>
            <w:tcW w:w="2453" w:type="dxa"/>
          </w:tcPr>
          <w:p>
            <w:pPr/>
            <w:r>
              <w:t xml:space="preserve">Owner</w:t>
            </w:r>
          </w:p>
        </w:tc>
        <w:tc>
          <w:tcPr>
            <w:tcW w:w="1987" w:type="dxa"/>
          </w:tcPr>
          <w:p>
            <w:pPr/>
            <w:r>
              <w:t xml:space="preserve">SME or Ops lead</w:t>
            </w:r>
          </w:p>
        </w:tc>
        <w:tc>
          <w:tcPr>
            <w:tcW w:w="4920" w:type="dxa"/>
          </w:tcPr>
          <w:p>
            <w:pPr/>
            <w:r>
              <w:t xml:space="preserve">Accountable for the article staying accurate; runs the periodic review</w:t>
            </w:r>
          </w:p>
        </w:tc>
      </w:tr>
    </w:tbl>
    <w:p>
      <w:pPr>
        <w:pStyle w:val="Heading3"/>
      </w:pPr>
      <w:r>
        <w:t xml:space="preserve">Status values</w:t>
      </w:r>
    </w:p>
    <w:p>
      <w:pPr/>
      <w:r>
        <w:t xml:space="preserve">Draft → In review → Approved → Published. Retired is used when an article moves to 99 Archive. Quip has no built-in approval workflow, so the status lives in the header table and the approval lives in a comment from the approver on the header.</w:t>
      </w:r>
    </w:p>
    <w:p>
      <w:pPr>
        <w:pStyle w:val="Heading3"/>
      </w:pPr>
      <w:r>
        <w:t xml:space="preserve">Periodic review</w:t>
      </w:r>
    </w:p>
    <w:p>
      <w:pPr/>
      <w:r>
        <w:t xml:space="preserve">Every article has a Next review date, set to 90 days after approval. The owner either confirms it is still accurate (a minor version bump and a new date) or raises a change. The training team can keep a simple review tracker as a Quip spreadsheet in 90 Training Kit listing article ID, owner and next review date.</w:t>
      </w:r>
    </w:p>
    <w:p>
      <w:pPr>
        <w:pStyle w:val="Heading3"/>
      </w:pPr>
      <w:r>
        <w:t xml:space="preserve">Notifying analysts</w:t>
      </w:r>
    </w:p>
    <w:p>
      <w:pPr>
        <w:pStyle w:val="ListParagraph"/>
        <w:numPr>
          <w:ilvl w:val="0"/>
          <w:numId w:val="12"/>
        </w:numPr>
      </w:pPr>
      <w:r>
        <w:t xml:space="preserve">Analysts follow KA-GEN-003 (What's new) and the folders they work in, so Quip notifies them of changes.</w:t>
      </w:r>
    </w:p>
    <w:p>
      <w:pPr>
        <w:pStyle w:val="ListParagraph"/>
        <w:numPr>
          <w:ilvl w:val="0"/>
          <w:numId w:val="12"/>
        </w:numPr>
      </w:pPr>
      <w:r>
        <w:t xml:space="preserve">The banner on the changed article catches anyone arriving from a link or search.</w:t>
      </w:r>
    </w:p>
    <w:p>
      <w:pPr>
        <w:pStyle w:val="ListParagraph"/>
        <w:numPr>
          <w:ilvl w:val="0"/>
          <w:numId w:val="12"/>
        </w:numPr>
      </w:pPr>
      <w:r>
        <w:t xml:space="preserve">For major changes that affect live casework, the Ops lead also announces it in the team's usual channel, linking the article section.</w:t>
      </w:r>
    </w:p>
    <w:p>
      <w:pPr>
        <w:pStyle w:val="Heading2"/>
      </w:pPr>
      <w:r>
        <w:t xml:space="preserve">12. Legacy article triage</w:t>
      </w:r>
    </w:p>
    <w:p>
      <w:pPr/>
      <w:r>
        <w:t xml:space="preserve">Each existing article gets one of three outcomes. Nothing is deleted, so old links keep working.</w:t>
      </w:r>
    </w:p>
    <w:tbl>
      <w:tblPr>
        <w:tblStyle w:val="TableGrid"/>
        <w:tblW w:w="0" w:type="auto"/>
        <w:tblLayout w:type="fixed"/>
        <w:tblLook w:val="04A0" w:firstRow="1" w:lastRow="0" w:firstColumn="0" w:lastColumn="0" w:noHBand="0" w:noVBand="1"/>
      </w:tblPr>
      <w:tblGrid>
        <w:gridCol w:w="1153"/>
        <w:gridCol w:w="3287"/>
        <w:gridCol w:w="4920"/>
      </w:tblGrid>
      <w:tr>
        <w:trPr>
          <w:tblHeader/>
        </w:trPr>
        <w:tc>
          <w:tcPr>
            <w:tcW w:w="1153" w:type="dxa"/>
            <w:shd w:val="clear" w:color="auto" w:fill="F2F2F2"/>
          </w:tcPr>
          <w:p>
            <w:pPr/>
            <w:r>
              <w:t xml:space="preserve">Outcome</w:t>
            </w:r>
          </w:p>
        </w:tc>
        <w:tc>
          <w:tcPr>
            <w:tcW w:w="3287" w:type="dxa"/>
            <w:shd w:val="clear" w:color="auto" w:fill="F2F2F2"/>
          </w:tcPr>
          <w:p>
            <w:pPr/>
            <w:r>
              <w:t xml:space="preserve">When</w:t>
            </w:r>
          </w:p>
        </w:tc>
        <w:tc>
          <w:tcPr>
            <w:tcW w:w="4920" w:type="dxa"/>
            <w:shd w:val="clear" w:color="auto" w:fill="F2F2F2"/>
          </w:tcPr>
          <w:p>
            <w:pPr/>
            <w:r>
              <w:t xml:space="preserve">What to do</w:t>
            </w:r>
          </w:p>
        </w:tc>
      </w:tr>
      <w:tr>
        <w:tc>
          <w:tcPr>
            <w:tcW w:w="1153" w:type="dxa"/>
          </w:tcPr>
          <w:p>
            <w:pPr/>
            <w:r>
              <w:t xml:space="preserve">Keep</w:t>
            </w:r>
          </w:p>
        </w:tc>
        <w:tc>
          <w:tcPr>
            <w:tcW w:w="3287" w:type="dxa"/>
          </w:tcPr>
          <w:p>
            <w:pPr/>
            <w:r>
              <w:t xml:space="preserve">Accurate, covers one task or concept, fits a template type</w:t>
            </w:r>
          </w:p>
        </w:tc>
        <w:tc>
          <w:tcPr>
            <w:tcW w:w="4920" w:type="dxa"/>
          </w:tcPr>
          <w:p>
            <w:pPr/>
            <w:r>
              <w:t xml:space="preserve">Move into the right folder, add the header, number the headings, assign an ID, fix visuals to the section 9 standard</w:t>
            </w:r>
          </w:p>
        </w:tc>
      </w:tr>
      <w:tr>
        <w:tc>
          <w:tcPr>
            <w:tcW w:w="1153" w:type="dxa"/>
          </w:tcPr>
          <w:p>
            <w:pPr/>
            <w:r>
              <w:t xml:space="preserve">Merge</w:t>
            </w:r>
          </w:p>
        </w:tc>
        <w:tc>
          <w:tcPr>
            <w:tcW w:w="3287" w:type="dxa"/>
          </w:tcPr>
          <w:p>
            <w:pPr/>
            <w:r>
              <w:t xml:space="preserve">Accurate content that overlaps a new or existing article</w:t>
            </w:r>
          </w:p>
        </w:tc>
        <w:tc>
          <w:tcPr>
            <w:tcW w:w="4920" w:type="dxa"/>
          </w:tcPr>
          <w:p>
            <w:pPr/>
            <w:r>
              <w:t xml:space="preserve">Move the content into the target article. Replace the legacy page's body with a "Moved to KA-xxx §n" banner and move it to 99 Archive.</w:t>
            </w:r>
          </w:p>
        </w:tc>
      </w:tr>
      <w:tr>
        <w:tc>
          <w:tcPr>
            <w:tcW w:w="1153" w:type="dxa"/>
          </w:tcPr>
          <w:p>
            <w:pPr/>
            <w:r>
              <w:t xml:space="preserve">Retire</w:t>
            </w:r>
          </w:p>
        </w:tc>
        <w:tc>
          <w:tcPr>
            <w:tcW w:w="3287" w:type="dxa"/>
          </w:tcPr>
          <w:p>
            <w:pPr/>
            <w:r>
              <w:t xml:space="preserve">Out of date, duplicated, or no longer part of the process</w:t>
            </w:r>
          </w:p>
        </w:tc>
        <w:tc>
          <w:tcPr>
            <w:tcW w:w="4920" w:type="dxa"/>
          </w:tcPr>
          <w:p>
            <w:pPr/>
            <w:r>
              <w:t xml:space="preserve">Add a "Retired, see KA-xxx" banner (or "no replacement"), set Status to Retired, move to 99 Archive</w:t>
            </w:r>
          </w:p>
        </w:tc>
      </w:tr>
    </w:tbl>
    <w:p>
      <w:pPr>
        <w:pStyle w:val="Heading3"/>
      </w:pPr>
      <w:r>
        <w:t xml:space="preserve">Triage steps</w:t>
      </w:r>
    </w:p>
    <w:p>
      <w:pPr>
        <w:pStyle w:val="ListParagraph"/>
        <w:numPr>
          <w:ilvl w:val="0"/>
          <w:numId w:val="13"/>
        </w:numPr>
      </w:pPr>
      <w:r>
        <w:t xml:space="preserve">List every legacy article in a Quip spreadsheet in 90 Training Kit: title, link, last edited, current owner.</w:t>
      </w:r>
    </w:p>
    <w:p>
      <w:pPr>
        <w:pStyle w:val="ListParagraph"/>
        <w:numPr>
          <w:ilvl w:val="0"/>
          <w:numId w:val="13"/>
        </w:numPr>
      </w:pPr>
      <w:r>
        <w:t xml:space="preserve">Map each to a curriculum topic and a target article type.</w:t>
      </w:r>
    </w:p>
    <w:p>
      <w:pPr>
        <w:pStyle w:val="ListParagraph"/>
        <w:numPr>
          <w:ilvl w:val="0"/>
          <w:numId w:val="13"/>
        </w:numPr>
      </w:pPr>
      <w:r>
        <w:t xml:space="preserve">The SME marks each Keep, Merge or Retire, and names the target article for merges.</w:t>
      </w:r>
    </w:p>
    <w:p>
      <w:pPr>
        <w:pStyle w:val="ListParagraph"/>
        <w:numPr>
          <w:ilvl w:val="0"/>
          <w:numId w:val="13"/>
        </w:numPr>
      </w:pPr>
      <w:r>
        <w:t xml:space="preserve">Writers do the moves, starting with articles linked from Week 1 modules.</w:t>
      </w:r>
    </w:p>
    <w:p>
      <w:pPr>
        <w:pStyle w:val="ListParagraph"/>
        <w:numPr>
          <w:ilvl w:val="0"/>
          <w:numId w:val="13"/>
        </w:numPr>
      </w:pPr>
      <w:r>
        <w:t xml:space="preserve">Re-check: every curriculum row has at least one Published article.</w:t>
      </w:r>
    </w:p>
    <w:p>
      <w:pPr>
        <w:pStyle w:val="Heading2"/>
      </w:pPr>
      <w:r>
        <w:t xml:space="preserve">13. Worked example: Heimdall</w:t>
      </w:r>
    </w:p>
    <w:p>
      <w:pPr/>
      <w:r>
        <w:t xml:space="preserve">This follows the two Day 2 Heimdall rows of the curriculum (Tool Overview, SPL 60 min; Tool Walkthrough, ILT 60 min) through every layer. IDs and titles are illustrative; process details are left as placeholders for the SME.</w:t>
      </w:r>
    </w:p>
    <w:p>
      <w:pPr>
        <w:pStyle w:val="Heading3"/>
      </w:pPr>
      <w:r>
        <w:t xml:space="preserve">Curriculum rows to articles and modules</w:t>
      </w:r>
    </w:p>
    <w:tbl>
      <w:tblPr>
        <w:tblStyle w:val="TableGrid"/>
        <w:tblW w:w="0" w:type="auto"/>
        <w:tblLayout w:type="fixed"/>
        <w:tblLook w:val="04A0" w:firstRow="1" w:lastRow="0" w:firstColumn="0" w:lastColumn="0" w:noHBand="0" w:noVBand="1"/>
      </w:tblPr>
      <w:tblGrid>
        <w:gridCol w:w="2488"/>
        <w:gridCol w:w="1952"/>
        <w:gridCol w:w="4920"/>
      </w:tblGrid>
      <w:tr>
        <w:trPr>
          <w:tblHeader/>
        </w:trPr>
        <w:tc>
          <w:tcPr>
            <w:tcW w:w="2488" w:type="dxa"/>
            <w:shd w:val="clear" w:color="auto" w:fill="F2F2F2"/>
          </w:tcPr>
          <w:p>
            <w:pPr/>
            <w:r>
              <w:t xml:space="preserve">Curriculum row</w:t>
            </w:r>
          </w:p>
        </w:tc>
        <w:tc>
          <w:tcPr>
            <w:tcW w:w="1952" w:type="dxa"/>
            <w:shd w:val="clear" w:color="auto" w:fill="F2F2F2"/>
          </w:tcPr>
          <w:p>
            <w:pPr/>
            <w:r>
              <w:t xml:space="preserve">LMS</w:t>
            </w:r>
          </w:p>
        </w:tc>
        <w:tc>
          <w:tcPr>
            <w:tcW w:w="4920" w:type="dxa"/>
            <w:shd w:val="clear" w:color="auto" w:fill="F2F2F2"/>
          </w:tcPr>
          <w:p>
            <w:pPr/>
            <w:r>
              <w:t xml:space="preserve">Quip</w:t>
            </w:r>
          </w:p>
        </w:tc>
      </w:tr>
      <w:tr>
        <w:tc>
          <w:tcPr>
            <w:tcW w:w="2488" w:type="dxa"/>
          </w:tcPr>
          <w:p>
            <w:pPr/>
            <w:r>
              <w:t xml:space="preserve">Tool Overview: Heimdall (SPL, 60 min)</w:t>
            </w:r>
          </w:p>
        </w:tc>
        <w:tc>
          <w:tcPr>
            <w:tcW w:w="1952" w:type="dxa"/>
          </w:tcPr>
          <w:p>
            <w:pPr/>
            <w:r>
              <w:t xml:space="preserve">M-W1-07 Heimdall: classifying mail and writing rules</w:t>
            </w:r>
          </w:p>
        </w:tc>
        <w:tc>
          <w:tcPr>
            <w:tcW w:w="4920" w:type="dxa"/>
          </w:tcPr>
          <w:p>
            <w:pPr/>
            <w:r>
              <w:t xml:space="preserve">KA-TOOL-002 Heimdall Tool Guide; KA-FND-006 How mail classification works (Concept); KA-OUT-020 Allowlist or blocklist a campaign (Workflow); KA-OUT-021 Choosing between allowlist and blocklist (Decision Guide)</w:t>
            </w:r>
          </w:p>
        </w:tc>
      </w:tr>
      <w:tr>
        <w:tc>
          <w:tcPr>
            <w:tcW w:w="2488" w:type="dxa"/>
          </w:tcPr>
          <w:p>
            <w:pPr/>
            <w:r>
              <w:t xml:space="preserve">Tool Walkthrough: Heimdall (ILT, 60 min)</w:t>
            </w:r>
          </w:p>
        </w:tc>
        <w:tc>
          <w:tcPr>
            <w:tcW w:w="1952" w:type="dxa"/>
          </w:tcPr>
          <w:p>
            <w:pPr/>
            <w:r>
              <w:t xml:space="preserve">Attendance only</w:t>
            </w:r>
          </w:p>
        </w:tc>
        <w:tc>
          <w:tcPr>
            <w:tcW w:w="4920" w:type="dxa"/>
          </w:tcPr>
          <w:p>
            <w:pPr/>
            <w:r>
              <w:t xml:space="preserve">TG-M-W1-07 Trainer Guide; HA-TOOL-002 Write and read back a rule (Hands-on Activity)</w:t>
            </w:r>
          </w:p>
        </w:tc>
      </w:tr>
    </w:tbl>
    <w:p>
      <w:pPr>
        <w:pStyle w:val="Heading3"/>
      </w:pPr>
      <w:r>
        <w:t xml:space="preserve">What goes where</w:t>
      </w:r>
    </w:p>
    <w:tbl>
      <w:tblPr>
        <w:tblStyle w:val="TableGrid"/>
        <w:tblW w:w="0" w:type="auto"/>
        <w:tblLayout w:type="fixed"/>
        <w:tblLook w:val="04A0" w:firstRow="1" w:lastRow="0" w:firstColumn="0" w:lastColumn="0" w:noHBand="0" w:noVBand="1"/>
      </w:tblPr>
      <w:tblGrid>
        <w:gridCol w:w="4297"/>
        <w:gridCol w:w="2828"/>
        <w:gridCol w:w="2235"/>
      </w:tblGrid>
      <w:tr>
        <w:trPr>
          <w:tblHeader/>
        </w:trPr>
        <w:tc>
          <w:tcPr>
            <w:tcW w:w="4297" w:type="dxa"/>
            <w:shd w:val="clear" w:color="auto" w:fill="F2F2F2"/>
          </w:tcPr>
          <w:p>
            <w:pPr/>
            <w:r>
              <w:t xml:space="preserve">Content</w:t>
            </w:r>
          </w:p>
        </w:tc>
        <w:tc>
          <w:tcPr>
            <w:tcW w:w="2828" w:type="dxa"/>
            <w:shd w:val="clear" w:color="auto" w:fill="F2F2F2"/>
          </w:tcPr>
          <w:p>
            <w:pPr/>
            <w:r>
              <w:t xml:space="preserve">Location</w:t>
            </w:r>
          </w:p>
        </w:tc>
        <w:tc>
          <w:tcPr>
            <w:tcW w:w="2235" w:type="dxa"/>
            <w:shd w:val="clear" w:color="auto" w:fill="F2F2F2"/>
          </w:tcPr>
          <w:p>
            <w:pPr/>
            <w:r>
              <w:t xml:space="preserve">Reason</w:t>
            </w:r>
          </w:p>
        </w:tc>
      </w:tr>
      <w:tr>
        <w:tc>
          <w:tcPr>
            <w:tcW w:w="4297" w:type="dxa"/>
          </w:tcPr>
          <w:p>
            <w:pPr/>
            <w:r>
              <w:t xml:space="preserve">"Heimdall decides how incoming mail is classified, and Mail OPS uses it to allow or block campaigns."</w:t>
            </w:r>
          </w:p>
        </w:tc>
        <w:tc>
          <w:tcPr>
            <w:tcW w:w="2828" w:type="dxa"/>
          </w:tcPr>
          <w:p>
            <w:pPr/>
            <w:r>
              <w:t xml:space="preserve">LMS block 5 and KA-TOOL-002 §1</w:t>
            </w:r>
          </w:p>
        </w:tc>
        <w:tc>
          <w:tcPr>
            <w:tcW w:w="2235" w:type="dxa"/>
          </w:tcPr>
          <w:p>
            <w:pPr/>
            <w:r>
              <w:t xml:space="preserve">Stable purpose statement</w:t>
            </w:r>
          </w:p>
        </w:tc>
      </w:tr>
      <w:tr>
        <w:tc>
          <w:tcPr>
            <w:tcW w:w="4297" w:type="dxa"/>
          </w:tcPr>
          <w:p>
            <w:pPr/>
            <w:r>
              <w:t xml:space="preserve">Classification types and what each means</w:t>
            </w:r>
          </w:p>
        </w:tc>
        <w:tc>
          <w:tcPr>
            <w:tcW w:w="2828" w:type="dxa"/>
          </w:tcPr>
          <w:p>
            <w:pPr/>
            <w:r>
              <w:t xml:space="preserve">KA-FND-006 §3</w:t>
            </w:r>
          </w:p>
        </w:tc>
        <w:tc>
          <w:tcPr>
            <w:tcW w:w="2235" w:type="dxa"/>
          </w:tcPr>
          <w:p>
            <w:pPr/>
            <w:r>
              <w:t xml:space="preserve">Can change as categories are added</w:t>
            </w:r>
          </w:p>
        </w:tc>
      </w:tr>
      <w:tr>
        <w:tc>
          <w:tcPr>
            <w:tcW w:w="4297" w:type="dxa"/>
          </w:tcPr>
          <w:p>
            <w:pPr/>
            <w:r>
              <w:t xml:space="preserve">Naming convention for rules</w:t>
            </w:r>
          </w:p>
        </w:tc>
        <w:tc>
          <w:tcPr>
            <w:tcW w:w="2828" w:type="dxa"/>
          </w:tcPr>
          <w:p>
            <w:pPr/>
            <w:r>
              <w:t xml:space="preserve">KA-TOOL-002 §6</w:t>
            </w:r>
          </w:p>
        </w:tc>
        <w:tc>
          <w:tcPr>
            <w:tcW w:w="2235" w:type="dxa"/>
          </w:tcPr>
          <w:p>
            <w:pPr/>
            <w:r>
              <w:t xml:space="preserve">Team convention, will change</w:t>
            </w:r>
          </w:p>
        </w:tc>
      </w:tr>
      <w:tr>
        <w:tc>
          <w:tcPr>
            <w:tcW w:w="4297" w:type="dxa"/>
          </w:tcPr>
          <w:p>
            <w:pPr/>
            <w:r>
              <w:t xml:space="preserve">Steps to write a blocklist rule, with screenshots</w:t>
            </w:r>
          </w:p>
        </w:tc>
        <w:tc>
          <w:tcPr>
            <w:tcW w:w="2828" w:type="dxa"/>
          </w:tcPr>
          <w:p>
            <w:pPr/>
            <w:r>
              <w:t xml:space="preserve">KA-OUT-020 §3 and KA-TOOL-002 §4</w:t>
            </w:r>
          </w:p>
        </w:tc>
        <w:tc>
          <w:tcPr>
            <w:tcW w:w="2235" w:type="dxa"/>
          </w:tcPr>
          <w:p>
            <w:pPr/>
            <w:r>
              <w:t xml:space="preserve">UI steps</w:t>
            </w:r>
          </w:p>
        </w:tc>
      </w:tr>
      <w:tr>
        <w:tc>
          <w:tcPr>
            <w:tcW w:w="4297" w:type="dxa"/>
          </w:tcPr>
          <w:p>
            <w:pPr/>
            <w:r>
              <w:t xml:space="preserve">When to block versus allow</w:t>
            </w:r>
          </w:p>
        </w:tc>
        <w:tc>
          <w:tcPr>
            <w:tcW w:w="2828" w:type="dxa"/>
          </w:tcPr>
          <w:p>
            <w:pPr/>
            <w:r>
              <w:t xml:space="preserve">KA-OUT-021 §3</w:t>
            </w:r>
          </w:p>
        </w:tc>
        <w:tc>
          <w:tcPr>
            <w:tcW w:w="2235" w:type="dxa"/>
          </w:tcPr>
          <w:p>
            <w:pPr/>
            <w:r>
              <w:t xml:space="preserve">Decision rule</w:t>
            </w:r>
          </w:p>
        </w:tc>
      </w:tr>
      <w:tr>
        <w:tc>
          <w:tcPr>
            <w:tcW w:w="4297" w:type="dxa"/>
          </w:tcPr>
          <w:p>
            <w:pPr/>
            <w:r>
              <w:t xml:space="preserve">Live demo running order</w:t>
            </w:r>
          </w:p>
        </w:tc>
        <w:tc>
          <w:tcPr>
            <w:tcW w:w="2828" w:type="dxa"/>
          </w:tcPr>
          <w:p>
            <w:pPr/>
            <w:r>
              <w:t xml:space="preserve">TG-M-W1-07 §3</w:t>
            </w:r>
          </w:p>
        </w:tc>
        <w:tc>
          <w:tcPr>
            <w:tcW w:w="2235" w:type="dxa"/>
          </w:tcPr>
          <w:p>
            <w:pPr/>
            <w:r>
              <w:t xml:space="preserve">Trainer-only</w:t>
            </w:r>
          </w:p>
        </w:tc>
      </w:tr>
      <w:tr>
        <w:tc>
          <w:tcPr>
            <w:tcW w:w="4297" w:type="dxa"/>
          </w:tcPr>
          <w:p>
            <w:pPr/>
            <w:r>
              <w:t xml:space="preserve">Practice rule with expected result</w:t>
            </w:r>
          </w:p>
        </w:tc>
        <w:tc>
          <w:tcPr>
            <w:tcW w:w="2828" w:type="dxa"/>
          </w:tcPr>
          <w:p>
            <w:pPr/>
            <w:r>
              <w:t xml:space="preserve">HA-TOOL-002, answer key restricted</w:t>
            </w:r>
          </w:p>
        </w:tc>
        <w:tc>
          <w:tcPr>
            <w:tcW w:w="2235" w:type="dxa"/>
          </w:tcPr>
          <w:p>
            <w:pPr/>
            <w:r>
              <w:t xml:space="preserve">Practice and marking</w:t>
            </w:r>
          </w:p>
        </w:tc>
      </w:tr>
      <w:tr>
        <w:tc>
          <w:tcPr>
            <w:tcW w:w="4297" w:type="dxa"/>
          </w:tcPr>
          <w:p>
            <w:pPr/>
            <w:r>
              <w:t xml:space="preserve">Screen recording of writing a rule</w:t>
            </w:r>
          </w:p>
        </w:tc>
        <w:tc>
          <w:tcPr>
            <w:tcW w:w="2828" w:type="dxa"/>
          </w:tcPr>
          <w:p>
            <w:pPr/>
            <w:r>
              <w:t xml:space="preserve">Grove, linked from KA-TOOL-002 §4</w:t>
            </w:r>
          </w:p>
        </w:tc>
        <w:tc>
          <w:tcPr>
            <w:tcW w:w="2235" w:type="dxa"/>
          </w:tcPr>
          <w:p>
            <w:pPr/>
            <w:r>
              <w:t xml:space="preserve">Video lives in Grove</w:t>
            </w:r>
          </w:p>
        </w:tc>
      </w:tr>
    </w:tbl>
    <w:p>
      <w:pPr>
        <w:pStyle w:val="Heading3"/>
      </w:pPr>
      <w:r>
        <w:t xml:space="preserve">M-W1-07 built block by block</w:t>
      </w:r>
    </w:p>
    <w:tbl>
      <w:tblPr>
        <w:tblStyle w:val="TableGrid"/>
        <w:tblW w:w="0" w:type="auto"/>
        <w:tblLayout w:type="fixed"/>
        <w:tblLook w:val="04A0" w:firstRow="1" w:lastRow="0" w:firstColumn="0" w:lastColumn="0" w:noHBand="0" w:noVBand="1"/>
      </w:tblPr>
      <w:tblGrid>
        <w:gridCol w:w="906"/>
        <w:gridCol w:w="2258"/>
        <w:gridCol w:w="6194"/>
      </w:tblGrid>
      <w:tr>
        <w:trPr>
          <w:tblHeader/>
        </w:trPr>
        <w:tc>
          <w:tcPr>
            <w:tcW w:w="906" w:type="dxa"/>
            <w:shd w:val="clear" w:color="auto" w:fill="F2F2F2"/>
          </w:tcPr>
          <w:p>
            <w:pPr/>
            <w:r>
              <w:t xml:space="preserve">#</w:t>
            </w:r>
          </w:p>
        </w:tc>
        <w:tc>
          <w:tcPr>
            <w:tcW w:w="2258" w:type="dxa"/>
            <w:shd w:val="clear" w:color="auto" w:fill="F2F2F2"/>
          </w:tcPr>
          <w:p>
            <w:pPr/>
            <w:r>
              <w:t xml:space="preserve">Block</w:t>
            </w:r>
          </w:p>
        </w:tc>
        <w:tc>
          <w:tcPr>
            <w:tcW w:w="6194" w:type="dxa"/>
            <w:shd w:val="clear" w:color="auto" w:fill="F2F2F2"/>
          </w:tcPr>
          <w:p>
            <w:pPr/>
            <w:r>
              <w:t xml:space="preserve">Content</w:t>
            </w:r>
          </w:p>
        </w:tc>
      </w:tr>
      <w:tr>
        <w:tc>
          <w:tcPr>
            <w:tcW w:w="906" w:type="dxa"/>
          </w:tcPr>
          <w:p>
            <w:pPr/>
            <w:r>
              <w:t xml:space="preserve">1</w:t>
            </w:r>
          </w:p>
        </w:tc>
        <w:tc>
          <w:tcPr>
            <w:tcW w:w="2258" w:type="dxa"/>
          </w:tcPr>
          <w:p>
            <w:pPr/>
            <w:r>
              <w:t xml:space="preserve">Title and info</w:t>
            </w:r>
          </w:p>
        </w:tc>
        <w:tc>
          <w:tcPr>
            <w:tcW w:w="6194" w:type="dxa"/>
          </w:tcPr>
          <w:p>
            <w:pPr/>
            <w:r>
              <w:t xml:space="preserve">M-W1-07, Day 2, about 20 min plus reading. Links: KA-TOOL-002, KA-FND-006, KA-OUT-020, KA-OUT-021.</w:t>
            </w:r>
          </w:p>
        </w:tc>
      </w:tr>
      <w:tr>
        <w:tc>
          <w:tcPr>
            <w:tcW w:w="906" w:type="dxa"/>
          </w:tcPr>
          <w:p>
            <w:pPr/>
            <w:r>
              <w:t xml:space="preserve">2</w:t>
            </w:r>
          </w:p>
        </w:tc>
        <w:tc>
          <w:tcPr>
            <w:tcW w:w="2258" w:type="dxa"/>
          </w:tcPr>
          <w:p>
            <w:pPr/>
            <w:r>
              <w:t xml:space="preserve">The case</w:t>
            </w:r>
          </w:p>
        </w:tc>
        <w:tc>
          <w:tcPr>
            <w:tcW w:w="6194" w:type="dxa"/>
          </w:tcPr>
          <w:p>
            <w:pPr/>
            <w:r>
              <w:t xml:space="preserve">Illustration of a burst of near-identical promotional emails reaching many inboxes, with users reporting them. "A campaign is getting through. What would you do?"</w:t>
            </w:r>
          </w:p>
        </w:tc>
      </w:tr>
      <w:tr>
        <w:tc>
          <w:tcPr>
            <w:tcW w:w="906" w:type="dxa"/>
          </w:tcPr>
          <w:p>
            <w:pPr/>
            <w:r>
              <w:t xml:space="preserve">3</w:t>
            </w:r>
          </w:p>
        </w:tc>
        <w:tc>
          <w:tcPr>
            <w:tcW w:w="2258" w:type="dxa"/>
          </w:tcPr>
          <w:p>
            <w:pPr/>
            <w:r>
              <w:t xml:space="preserve">Why it matters</w:t>
            </w:r>
          </w:p>
        </w:tc>
        <w:tc>
          <w:tcPr>
            <w:tcW w:w="6194" w:type="dxa"/>
          </w:tcPr>
          <w:p>
            <w:pPr/>
            <w:r>
              <w:t xml:space="preserve">Blocking the wrong campaign stops legitimate mail; missing a bad one exposes users. Rules affect many inboxes at once.</w:t>
            </w:r>
          </w:p>
        </w:tc>
      </w:tr>
      <w:tr>
        <w:tc>
          <w:tcPr>
            <w:tcW w:w="906" w:type="dxa"/>
          </w:tcPr>
          <w:p>
            <w:pPr/>
            <w:r>
              <w:t xml:space="preserve">4</w:t>
            </w:r>
          </w:p>
        </w:tc>
        <w:tc>
          <w:tcPr>
            <w:tcW w:w="2258" w:type="dxa"/>
          </w:tcPr>
          <w:p>
            <w:pPr/>
            <w:r>
              <w:t xml:space="preserve">Objectives</w:t>
            </w:r>
          </w:p>
        </w:tc>
        <w:tc>
          <w:tcPr>
            <w:tcW w:w="6194" w:type="dxa"/>
          </w:tcPr>
          <w:p>
            <w:pPr/>
            <w:r>
              <w:t xml:space="preserve">Explain what Heimdall is for; find a rule's meaning using the Tool Guide; decide between allow and block using the Decision Guide; follow the workflow to write a rule.</w:t>
            </w:r>
          </w:p>
        </w:tc>
      </w:tr>
      <w:tr>
        <w:tc>
          <w:tcPr>
            <w:tcW w:w="906" w:type="dxa"/>
          </w:tcPr>
          <w:p>
            <w:pPr/>
            <w:r>
              <w:t xml:space="preserve">5</w:t>
            </w:r>
          </w:p>
        </w:tc>
        <w:tc>
          <w:tcPr>
            <w:tcW w:w="2258" w:type="dxa"/>
          </w:tcPr>
          <w:p>
            <w:pPr/>
            <w:r>
              <w:t xml:space="preserve">Key ideas</w:t>
            </w:r>
          </w:p>
        </w:tc>
        <w:tc>
          <w:tcPr>
            <w:tcW w:w="6194" w:type="dxa"/>
          </w:tcPr>
          <w:p>
            <w:pPr/>
            <w:r>
              <w:t xml:space="preserve">Flip cards: classification, rule, allowlist, blocklist, campaign. Concepts only.</w:t>
            </w:r>
          </w:p>
        </w:tc>
      </w:tr>
      <w:tr>
        <w:tc>
          <w:tcPr>
            <w:tcW w:w="906" w:type="dxa"/>
          </w:tcPr>
          <w:p>
            <w:pPr/>
            <w:r>
              <w:t xml:space="preserve">6</w:t>
            </w:r>
          </w:p>
        </w:tc>
        <w:tc>
          <w:tcPr>
            <w:tcW w:w="2258" w:type="dxa"/>
          </w:tcPr>
          <w:p>
            <w:pPr/>
            <w:r>
              <w:t xml:space="preserve">Reading tasks</w:t>
            </w:r>
          </w:p>
        </w:tc>
        <w:tc>
          <w:tcPr>
            <w:tcW w:w="6194" w:type="dxa"/>
          </w:tcPr>
          <w:p>
            <w:pPr/>
            <w:r>
              <w:t xml:space="preserve">Read KA-FND-006 §3 and note the classification types. Read KA-OUT-021 §3 and note what decides allow versus block. Skim KA-OUT-020 §3.</w:t>
            </w:r>
          </w:p>
        </w:tc>
      </w:tr>
      <w:tr>
        <w:tc>
          <w:tcPr>
            <w:tcW w:w="906" w:type="dxa"/>
          </w:tcPr>
          <w:p>
            <w:pPr/>
            <w:r>
              <w:t xml:space="preserve">7</w:t>
            </w:r>
          </w:p>
        </w:tc>
        <w:tc>
          <w:tcPr>
            <w:tcW w:w="2258" w:type="dxa"/>
          </w:tcPr>
          <w:p>
            <w:pPr/>
            <w:r>
              <w:t xml:space="preserve">Solve the case</w:t>
            </w:r>
          </w:p>
        </w:tc>
        <w:tc>
          <w:tcPr>
            <w:tcW w:w="6194" w:type="dxa"/>
          </w:tcPr>
          <w:p>
            <w:pPr/>
            <w:r>
              <w:t xml:space="preserve">Scenario question on the block 2 case, tagged Q-OUT021-01, citing KA-OUT-021 §3.</w:t>
            </w:r>
          </w:p>
        </w:tc>
      </w:tr>
      <w:tr>
        <w:tc>
          <w:tcPr>
            <w:tcW w:w="906" w:type="dxa"/>
          </w:tcPr>
          <w:p>
            <w:pPr/>
            <w:r>
              <w:t xml:space="preserve">8</w:t>
            </w:r>
          </w:p>
        </w:tc>
        <w:tc>
          <w:tcPr>
            <w:tcW w:w="2258" w:type="dxa"/>
          </w:tcPr>
          <w:p>
            <w:pPr/>
            <w:r>
              <w:t xml:space="preserve">Check</w:t>
            </w:r>
          </w:p>
        </w:tc>
        <w:tc>
          <w:tcPr>
            <w:tcW w:w="6194" w:type="dxa"/>
          </w:tcPr>
          <w:p>
            <w:pPr/>
            <w:r>
              <w:t xml:space="preserve">Four questions: Q-FND006-01, Q-TOOL002-01, Q-OUT020-01, Q-OUT021-02.</w:t>
            </w:r>
          </w:p>
        </w:tc>
      </w:tr>
      <w:tr>
        <w:tc>
          <w:tcPr>
            <w:tcW w:w="906" w:type="dxa"/>
          </w:tcPr>
          <w:p>
            <w:pPr/>
            <w:r>
              <w:t xml:space="preserve">9</w:t>
            </w:r>
          </w:p>
        </w:tc>
        <w:tc>
          <w:tcPr>
            <w:tcW w:w="2258" w:type="dxa"/>
          </w:tcPr>
          <w:p>
            <w:pPr/>
            <w:r>
              <w:t xml:space="preserve">Wrap up</w:t>
            </w:r>
          </w:p>
        </w:tc>
        <w:tc>
          <w:tcPr>
            <w:tcW w:w="6194" w:type="dxa"/>
          </w:tcPr>
          <w:p>
            <w:pPr/>
            <w:r>
              <w:t xml:space="preserve">Three takeaways and the four article links.</w:t>
            </w:r>
          </w:p>
        </w:tc>
      </w:tr>
    </w:tbl>
    <w:p>
      <w:pPr>
        <w:pStyle w:val="Heading3"/>
      </w:pPr>
      <w:r>
        <w:t xml:space="preserve">KA-OUT-020 header, filled</w:t>
      </w:r>
    </w:p>
    <w:tbl>
      <w:tblPr>
        <w:tblStyle w:val="TableGrid"/>
        <w:tblW w:w="0" w:type="auto"/>
        <w:tblLayout w:type="fixed"/>
        <w:tblLook w:val="04A0" w:firstRow="1" w:lastRow="0" w:firstColumn="0" w:lastColumn="0" w:noHBand="0" w:noVBand="1"/>
      </w:tblPr>
      <w:tblGrid>
        <w:gridCol w:w="3156"/>
        <w:gridCol w:w="6203"/>
      </w:tblGrid>
      <w:tr>
        <w:trPr>
          <w:tblHeader/>
        </w:trPr>
        <w:tc>
          <w:tcPr>
            <w:tcW w:w="3156" w:type="dxa"/>
            <w:shd w:val="clear" w:color="auto" w:fill="F2F2F2"/>
          </w:tcPr>
          <w:p>
            <w:pPr/>
            <w:r>
              <w:t xml:space="preserve">Field</w:t>
            </w:r>
          </w:p>
        </w:tc>
        <w:tc>
          <w:tcPr>
            <w:tcW w:w="6203" w:type="dxa"/>
            <w:shd w:val="clear" w:color="auto" w:fill="F2F2F2"/>
          </w:tcPr>
          <w:p>
            <w:pPr/>
            <w:r>
              <w:t xml:space="preserve">Value</w:t>
            </w:r>
          </w:p>
        </w:tc>
      </w:tr>
      <w:tr>
        <w:tc>
          <w:tcPr>
            <w:tcW w:w="3156" w:type="dxa"/>
          </w:tcPr>
          <w:p>
            <w:pPr/>
            <w:r>
              <w:t xml:space="preserve">Article ID</w:t>
            </w:r>
          </w:p>
        </w:tc>
        <w:tc>
          <w:tcPr>
            <w:tcW w:w="6203" w:type="dxa"/>
          </w:tcPr>
          <w:p>
            <w:pPr/>
            <w:r>
              <w:t xml:space="preserve">KA-OUT-020</w:t>
            </w:r>
          </w:p>
        </w:tc>
      </w:tr>
      <w:tr>
        <w:tc>
          <w:tcPr>
            <w:tcW w:w="3156" w:type="dxa"/>
          </w:tcPr>
          <w:p>
            <w:pPr/>
            <w:r>
              <w:t xml:space="preserve">Type</w:t>
            </w:r>
          </w:p>
        </w:tc>
        <w:tc>
          <w:tcPr>
            <w:tcW w:w="6203" w:type="dxa"/>
          </w:tcPr>
          <w:p>
            <w:pPr/>
            <w:r>
              <w:t xml:space="preserve">Workflow / SOP</w:t>
            </w:r>
          </w:p>
        </w:tc>
      </w:tr>
      <w:tr>
        <w:tc>
          <w:tcPr>
            <w:tcW w:w="3156" w:type="dxa"/>
          </w:tcPr>
          <w:p>
            <w:pPr/>
            <w:r>
              <w:t xml:space="preserve">Title</w:t>
            </w:r>
          </w:p>
        </w:tc>
        <w:tc>
          <w:tcPr>
            <w:tcW w:w="6203" w:type="dxa"/>
          </w:tcPr>
          <w:p>
            <w:pPr/>
            <w:r>
              <w:t xml:space="preserve">Allowlist or blocklist a campaign</w:t>
            </w:r>
          </w:p>
        </w:tc>
      </w:tr>
      <w:tr>
        <w:tc>
          <w:tcPr>
            <w:tcW w:w="3156" w:type="dxa"/>
          </w:tcPr>
          <w:p>
            <w:pPr/>
            <w:r>
              <w:t xml:space="preserve">Purpose</w:t>
            </w:r>
          </w:p>
        </w:tc>
        <w:tc>
          <w:tcPr>
            <w:tcW w:w="6203" w:type="dxa"/>
          </w:tcPr>
          <w:p>
            <w:pPr/>
            <w:r>
              <w:t xml:space="preserve">Write a Heimdall rule to allow or block a mail campaign, correctly named and recorded</w:t>
            </w:r>
          </w:p>
        </w:tc>
      </w:tr>
      <w:tr>
        <w:tc>
          <w:tcPr>
            <w:tcW w:w="3156" w:type="dxa"/>
          </w:tcPr>
          <w:p>
            <w:pPr/>
            <w:r>
              <w:t xml:space="preserve">Audience</w:t>
            </w:r>
          </w:p>
        </w:tc>
        <w:tc>
          <w:tcPr>
            <w:tcW w:w="6203" w:type="dxa"/>
          </w:tcPr>
          <w:p>
            <w:pPr/>
            <w:r>
              <w:t xml:space="preserve">Mail OPS analysts</w:t>
            </w:r>
          </w:p>
        </w:tc>
      </w:tr>
      <w:tr>
        <w:tc>
          <w:tcPr>
            <w:tcW w:w="3156" w:type="dxa"/>
          </w:tcPr>
          <w:p>
            <w:pPr/>
            <w:r>
              <w:t xml:space="preserve">Status</w:t>
            </w:r>
          </w:p>
        </w:tc>
        <w:tc>
          <w:tcPr>
            <w:tcW w:w="6203" w:type="dxa"/>
          </w:tcPr>
          <w:p>
            <w:pPr/>
            <w:r>
              <w:t xml:space="preserve">Draft</w:t>
            </w:r>
          </w:p>
        </w:tc>
      </w:tr>
      <w:tr>
        <w:tc>
          <w:tcPr>
            <w:tcW w:w="3156" w:type="dxa"/>
          </w:tcPr>
          <w:p>
            <w:pPr/>
            <w:r>
              <w:t xml:space="preserve">Version</w:t>
            </w:r>
          </w:p>
        </w:tc>
        <w:tc>
          <w:tcPr>
            <w:tcW w:w="6203" w:type="dxa"/>
          </w:tcPr>
          <w:p>
            <w:pPr/>
            <w:r>
              <w:t xml:space="preserve">0.1</w:t>
            </w:r>
          </w:p>
        </w:tc>
      </w:tr>
      <w:tr>
        <w:tc>
          <w:tcPr>
            <w:tcW w:w="3156" w:type="dxa"/>
          </w:tcPr>
          <w:p>
            <w:pPr/>
            <w:r>
              <w:t xml:space="preserve">Owner</w:t>
            </w:r>
          </w:p>
        </w:tc>
        <w:tc>
          <w:tcPr>
            <w:tcW w:w="6203" w:type="dxa"/>
          </w:tcPr>
          <w:p>
            <w:pPr/>
            <w:r>
              <w:t xml:space="preserve">[SME name]</w:t>
            </w:r>
          </w:p>
        </w:tc>
      </w:tr>
      <w:tr>
        <w:tc>
          <w:tcPr>
            <w:tcW w:w="3156" w:type="dxa"/>
          </w:tcPr>
          <w:p>
            <w:pPr/>
            <w:r>
              <w:t xml:space="preserve">Approver</w:t>
            </w:r>
          </w:p>
        </w:tc>
        <w:tc>
          <w:tcPr>
            <w:tcW w:w="6203" w:type="dxa"/>
          </w:tcPr>
          <w:p>
            <w:pPr/>
            <w:r>
              <w:t xml:space="preserve">[Ops lead name]</w:t>
            </w:r>
          </w:p>
        </w:tc>
      </w:tr>
      <w:tr>
        <w:tc>
          <w:tcPr>
            <w:tcW w:w="3156" w:type="dxa"/>
          </w:tcPr>
          <w:p>
            <w:pPr/>
            <w:r>
              <w:t xml:space="preserve">Linked LMS modules</w:t>
            </w:r>
          </w:p>
        </w:tc>
        <w:tc>
          <w:tcPr>
            <w:tcW w:w="6203" w:type="dxa"/>
          </w:tcPr>
          <w:p>
            <w:pPr/>
            <w:r>
              <w:t xml:space="preserve">M-W1-07</w:t>
            </w:r>
          </w:p>
        </w:tc>
      </w:tr>
      <w:tr>
        <w:tc>
          <w:tcPr>
            <w:tcW w:w="3156" w:type="dxa"/>
          </w:tcPr>
          <w:p>
            <w:pPr/>
            <w:r>
              <w:t xml:space="preserve">Linked questions</w:t>
            </w:r>
          </w:p>
        </w:tc>
        <w:tc>
          <w:tcPr>
            <w:tcW w:w="6203" w:type="dxa"/>
          </w:tcPr>
          <w:p>
            <w:pPr/>
            <w:r>
              <w:t xml:space="preserve">Q-OUT020-01</w:t>
            </w:r>
          </w:p>
        </w:tc>
      </w:tr>
      <w:tr>
        <w:tc>
          <w:tcPr>
            <w:tcW w:w="3156" w:type="dxa"/>
          </w:tcPr>
          <w:p>
            <w:pPr/>
            <w:r>
              <w:t xml:space="preserve">Related articles</w:t>
            </w:r>
          </w:p>
        </w:tc>
        <w:tc>
          <w:tcPr>
            <w:tcW w:w="6203" w:type="dxa"/>
          </w:tcPr>
          <w:p>
            <w:pPr/>
            <w:r>
              <w:t xml:space="preserve">KA-TOOL-002, KA-OUT-021, KA-FND-006</w:t>
            </w:r>
          </w:p>
        </w:tc>
      </w:tr>
      <w:tr>
        <w:tc>
          <w:tcPr>
            <w:tcW w:w="3156" w:type="dxa"/>
          </w:tcPr>
          <w:p>
            <w:pPr/>
            <w:r>
              <w:t xml:space="preserve">Videos</w:t>
            </w:r>
          </w:p>
        </w:tc>
        <w:tc>
          <w:tcPr>
            <w:tcW w:w="6203" w:type="dxa"/>
          </w:tcPr>
          <w:p>
            <w:pPr/>
            <w:r>
              <w:t xml:space="preserve">[Grove link: Writing a Heimdall rule]</w:t>
            </w:r>
          </w:p>
        </w:tc>
      </w:tr>
    </w:tbl>
    <w:p>
      <w:pPr>
        <w:pStyle w:val="Heading3"/>
      </w:pPr>
      <w:r>
        <w:t xml:space="preserve">If the naming convention changes next month</w:t>
      </w:r>
    </w:p>
    <w:p>
      <w:pPr/>
      <w:r>
        <w:t xml:space="preserve">The SME edits KA-TOOL-002 §6, raises the version to 2.0, adds the banner and a What's new row. The header lists Q-TOOL002-01, so the checker opens that one question and confirms it does not depend on the old convention. M-W1-07 is not touched.</w:t>
      </w:r>
    </w:p>
    <w:p>
      <w:pPr>
        <w:pStyle w:val="Heading2"/>
      </w:pPr>
      <w:r>
        <w:t xml:space="preserve">14. Quip retirement and portability</w:t>
      </w:r>
    </w:p>
    <w:p>
      <w:pPr/>
      <w:r>
        <w:t xml:space="preserve">Salesforce has announced that all Quip products are being retired and that subscriptions cannot be renewed after 1 March 2027 (</w:t>
      </w:r>
      <w:hyperlink r:id="rId5" w:history="1">
        <w:r>
          <w:rPr>
            <w:rStyle w:val="Hyperlink"/>
          </w:rPr>
          <w:t xml:space="preserve">SalesforceTutorial retirement guide</w:t>
        </w:r>
      </w:hyperlink>
      <w:r>
        <w:t xml:space="preserve">). Sites stay live only until each customer's current term ends, and content is not migrated automatically. New Custom Live Apps were already stopped in March 2025 (</w:t>
      </w:r>
      <w:hyperlink r:id="rId6" w:history="1">
        <w:r>
          <w:rPr>
            <w:rStyle w:val="Hyperlink"/>
          </w:rPr>
          <w:t xml:space="preserve">Quip release notes</w:t>
        </w:r>
      </w:hyperlink>
      <w:r>
        <w:t xml:space="preserve">).</w:t>
      </w:r>
    </w:p>
    <w:p>
      <w:pPr/>
      <w:r>
        <w:t xml:space="preserve">The design in this pack does not depend on Quip. These rules keep the content easy to move:</w:t>
      </w:r>
    </w:p>
    <w:p>
      <w:pPr>
        <w:pStyle w:val="ListParagraph"/>
        <w:numPr>
          <w:ilvl w:val="0"/>
          <w:numId w:val="14"/>
        </w:numPr>
      </w:pPr>
      <w:r>
        <w:t xml:space="preserve">Use only plain headings, numbered lists, tables, checklists, callouts and images. No live apps.</w:t>
      </w:r>
    </w:p>
    <w:p>
      <w:pPr>
        <w:pStyle w:val="ListParagraph"/>
        <w:numPr>
          <w:ilvl w:val="0"/>
          <w:numId w:val="14"/>
        </w:numPr>
      </w:pPr>
      <w:r>
        <w:t xml:space="preserve">Keep metadata in the visible header table, not in Quip-only properties.</w:t>
      </w:r>
    </w:p>
    <w:p>
      <w:pPr>
        <w:pStyle w:val="ListParagraph"/>
        <w:numPr>
          <w:ilvl w:val="0"/>
          <w:numId w:val="14"/>
        </w:numPr>
      </w:pPr>
      <w:r>
        <w:t xml:space="preserve">Write the KA ID beside every link, so cross-references survive when URLs change.</w:t>
      </w:r>
    </w:p>
    <w:p>
      <w:pPr>
        <w:pStyle w:val="ListParagraph"/>
        <w:numPr>
          <w:ilvl w:val="0"/>
          <w:numId w:val="14"/>
        </w:numPr>
      </w:pPr>
      <w:r>
        <w:t xml:space="preserve">Keep spreadsheets (review tracker, triage list) simple enough to export to XLSX without losing meaning.</w:t>
      </w:r>
    </w:p>
    <w:p>
      <w:pPr>
        <w:pStyle w:val="ListParagraph"/>
        <w:numPr>
          <w:ilvl w:val="0"/>
          <w:numId w:val="14"/>
        </w:numPr>
      </w:pPr>
      <w:r>
        <w:t xml:space="preserve">Keep videos in Grove and diagram source files in the Training Kit, not only embedded in Quip.</w:t>
      </w:r>
    </w:p>
    <w:p>
      <w:pPr>
        <w:pStyle w:val="ListParagraph"/>
        <w:numPr>
          <w:ilvl w:val="0"/>
          <w:numId w:val="14"/>
        </w:numPr>
      </w:pPr>
      <w:r>
        <w:t xml:space="preserve">Keep comments for discussion only. Approvals that matter are also recorded in the article's Change history table, because comments may not survive export.</w:t>
      </w:r>
    </w:p>
    <w:p>
      <w:pPr/>
      <w:r>
        <w:t xml:space="preserve">If the client moves platforms, each article exports to DOCX with its header, IDs and change history intact, and the LMS links are updated by searching for each KA ID.</w:t>
      </w:r>
    </w:p>
    <w:p>
      <w:pPr>
        <w:pStyle w:val="Heading2"/>
      </w:pPr>
      <w:r>
        <w:t xml:space="preserve">15. Open items for the client</w:t>
      </w:r>
    </w:p>
    <w:p>
      <w:pPr>
        <w:pStyle w:val="ListParagraph"/>
        <w:numPr>
          <w:ilvl w:val="0"/>
          <w:numId w:val="15"/>
        </w:numPr>
      </w:pPr>
      <w:r>
        <w:t xml:space="preserve">☐ When does the client's Quip subscription term end, and is a successor platform already chosen?</w:t>
      </w:r>
    </w:p>
    <w:p>
      <w:pPr>
        <w:pStyle w:val="ListParagraph"/>
        <w:numPr>
          <w:ilvl w:val="0"/>
          <w:numId w:val="15"/>
        </w:numPr>
      </w:pPr>
      <w:r>
        <w:t xml:space="preserve">☐ Pass mark for module checks, A-D10 and A-D15</w:t>
      </w:r>
    </w:p>
    <w:p>
      <w:pPr>
        <w:pStyle w:val="ListParagraph"/>
        <w:numPr>
          <w:ilvl w:val="0"/>
          <w:numId w:val="15"/>
        </w:numPr>
      </w:pPr>
      <w:r>
        <w:t xml:space="preserve">☐ Should a major change reassign the module check to current analysts as proof of awareness?</w:t>
      </w:r>
    </w:p>
    <w:p>
      <w:pPr>
        <w:pStyle w:val="ListParagraph"/>
        <w:numPr>
          <w:ilvl w:val="0"/>
          <w:numId w:val="15"/>
        </w:numPr>
      </w:pPr>
      <w:r>
        <w:t xml:space="preserve">☐ US or UK spelling</w:t>
      </w:r>
    </w:p>
    <w:p>
      <w:pPr>
        <w:pStyle w:val="ListParagraph"/>
        <w:numPr>
          <w:ilvl w:val="0"/>
          <w:numId w:val="15"/>
        </w:numPr>
      </w:pPr>
      <w:r>
        <w:t xml:space="preserve">☐ Does Grove allow replacing a video in place, keeping its link?</w:t>
      </w:r>
    </w:p>
    <w:p>
      <w:pPr>
        <w:pStyle w:val="ListParagraph"/>
        <w:numPr>
          <w:ilvl w:val="0"/>
          <w:numId w:val="15"/>
        </w:numPr>
      </w:pPr>
      <w:r>
        <w:t xml:space="preserve">☐ Does the LMS have a tag or notes field per question for the question ID and cited section?</w:t>
      </w:r>
    </w:p>
    <w:p>
      <w:pPr>
        <w:pStyle w:val="ListParagraph"/>
        <w:numPr>
          <w:ilvl w:val="0"/>
          <w:numId w:val="15"/>
        </w:numPr>
      </w:pPr>
      <w:r>
        <w:t xml:space="preserve">☐ Should ILT-only curriculum rows be recorded in the LMS for attendance?</w:t>
      </w:r>
    </w:p>
    <w:p>
      <w:pPr>
        <w:pStyle w:val="ListParagraph"/>
        <w:numPr>
          <w:ilvl w:val="0"/>
          <w:numId w:val="15"/>
        </w:numPr>
      </w:pPr>
      <w:r>
        <w:t xml:space="preserve">☐ Names of the SME and Ops lead owners per work area</w:t>
      </w:r>
    </w:p>
    <w:p>
      <w:pPr>
        <w:pStyle w:val="ListParagraph"/>
        <w:numPr>
          <w:ilvl w:val="0"/>
          <w:numId w:val="15"/>
        </w:numPr>
      </w:pPr>
      <w:r>
        <w:t xml:space="preserve">☐ Default review cycle: is 90 days right?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salesforcetutorial.com/quip-salesforce/" TargetMode="External"/><Relationship Id="rId6" Type="http://schemas.openxmlformats.org/officeDocument/2006/relationships/hyperlink" Target="https://desktop.quip.com/release-not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Mail OPS LMS + Quip Templates and Writing Guidelines</dc:title>
  <dc:description>Claude Docs node/2fa57817-902f@26 docx-w7</dc:description>
  <cp:revision>26</cp:revision>
</cp:coreProperties>
</file>