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t xml:space="preserve"/>
      </w:r>
    </w:p>
    <w:p>
      <w:pPr>
        <w:spacing w:after="60" w:before="0"/>
      </w:pPr>
      <w:r>
        <w:rPr>
          <w:rFonts w:ascii="Calibri" w:cs="Calibri" w:eastAsia="Calibri" w:hAnsi="Calibri"/>
          <w:b/>
          <w:bCs/>
          <w:color w:val="1F4E79"/>
          <w:spacing w:val="80"/>
          <w:sz w:val="18"/>
          <w:szCs w:val="18"/>
        </w:rPr>
        <w:t xml:space="preserve">AV SUPPORT PROGRAM</w:t>
      </w:r>
    </w:p>
    <w:p>
      <w:pPr>
        <w:spacing w:after="200" w:before="0"/>
      </w:pPr>
      <w:r>
        <w:rPr>
          <w:rFonts w:ascii="Calibri" w:cs="Calibri" w:eastAsia="Calibri" w:hAnsi="Calibri"/>
          <w:color w:val="111111"/>
          <w:sz w:val="44"/>
          <w:szCs w:val="44"/>
        </w:rPr>
        <w:t xml:space="preserve">Training and assessment build options</w:t>
      </w:r>
    </w:p>
    <w:p>
      <w:pPr>
        <w:spacing w:after="480" w:before="0" w:line="320"/>
      </w:pPr>
      <w:r>
        <w:rPr>
          <w:rFonts w:ascii="Calibri" w:cs="Calibri" w:eastAsia="Calibri" w:hAnsi="Calibri"/>
          <w:i/>
          <w:iCs/>
          <w:color w:val="5A5A5A"/>
          <w:sz w:val="22"/>
          <w:szCs w:val="22"/>
        </w:rPr>
        <w:t xml:space="preserve">A decision document covering three delivery plans for the gamified training module and the generic assessment, scoped against a two-day demo window for client approval.</w:t>
      </w:r>
    </w:p>
    <w:p>
      <w:pPr>
        <w:pBdr>
          <w:bottom w:val="single" w:color="C9C9C9" w:sz="6" w:space="1"/>
        </w:pBdr>
        <w:spacing w:after="160" w:before="80"/>
      </w:pPr>
      <w:r>
        <w:t xml:space="preserve"/>
      </w:r>
    </w:p>
    <w:p>
      <w:pPr>
        <w:spacing w:after="60" w:before="40"/>
      </w:pPr>
      <w:r>
        <w:rPr>
          <w:rFonts w:ascii="Calibri" w:cs="Calibri" w:eastAsia="Calibri" w:hAnsi="Calibri"/>
          <w:b/>
          <w:bCs/>
          <w:color w:val="5A5A5A"/>
          <w:spacing w:val="40"/>
          <w:sz w:val="16"/>
          <w:szCs w:val="16"/>
        </w:rPr>
        <w:t xml:space="preserve">PREPARED FOR</w:t>
      </w:r>
    </w:p>
    <w:p>
      <w:pPr>
        <w:spacing w:after="120" w:before="0" w:line="300"/>
      </w:pPr>
      <w:r>
        <w:rPr>
          <w:rFonts w:ascii="Calibri" w:cs="Calibri" w:eastAsia="Calibri" w:hAnsi="Calibri"/>
          <w:b w:val="false"/>
          <w:bCs w:val="false"/>
          <w:i w:val="false"/>
          <w:iCs w:val="false"/>
          <w:color w:val="111111"/>
          <w:sz w:val="22"/>
          <w:szCs w:val="22"/>
        </w:rPr>
        <w:t xml:space="preserve">Internal review — pre-client-demo alignment</w:t>
      </w:r>
    </w:p>
    <w:p>
      <w:pPr>
        <w:spacing w:after="60"/>
      </w:pPr>
      <w:r>
        <w:t xml:space="preserve"/>
      </w:r>
    </w:p>
    <w:p>
      <w:pPr>
        <w:spacing w:after="60" w:before="40"/>
      </w:pPr>
      <w:r>
        <w:rPr>
          <w:rFonts w:ascii="Calibri" w:cs="Calibri" w:eastAsia="Calibri" w:hAnsi="Calibri"/>
          <w:b/>
          <w:bCs/>
          <w:color w:val="5A5A5A"/>
          <w:spacing w:val="40"/>
          <w:sz w:val="16"/>
          <w:szCs w:val="16"/>
        </w:rPr>
        <w:t xml:space="preserve">COVERS</w:t>
      </w:r>
    </w:p>
    <w:p>
      <w:pPr>
        <w:spacing w:after="120" w:before="0" w:line="300"/>
      </w:pPr>
      <w:r>
        <w:rPr>
          <w:rFonts w:ascii="Calibri" w:cs="Calibri" w:eastAsia="Calibri" w:hAnsi="Calibri"/>
          <w:b w:val="false"/>
          <w:bCs w:val="false"/>
          <w:i w:val="false"/>
          <w:iCs w:val="false"/>
          <w:color w:val="111111"/>
          <w:sz w:val="22"/>
          <w:szCs w:val="22"/>
        </w:rPr>
        <w:t xml:space="preserve">Plan A: full brief · Plan B: depth over breadth · Plan C: shared shell</w:t>
      </w:r>
    </w:p>
    <w:p>
      <w:pPr>
        <w:spacing w:after="60"/>
      </w:pPr>
      <w:r>
        <w:t xml:space="preserve"/>
      </w:r>
    </w:p>
    <w:p>
      <w:pPr>
        <w:spacing w:after="60" w:before="40"/>
      </w:pPr>
      <w:r>
        <w:rPr>
          <w:rFonts w:ascii="Calibri" w:cs="Calibri" w:eastAsia="Calibri" w:hAnsi="Calibri"/>
          <w:b/>
          <w:bCs/>
          <w:color w:val="5A5A5A"/>
          <w:spacing w:val="40"/>
          <w:sz w:val="16"/>
          <w:szCs w:val="16"/>
        </w:rPr>
        <w:t xml:space="preserve">ROLES IN SCOPE</w:t>
      </w:r>
    </w:p>
    <w:p>
      <w:pPr>
        <w:spacing w:after="120" w:before="0" w:line="300"/>
      </w:pPr>
      <w:r>
        <w:rPr>
          <w:rFonts w:ascii="Calibri" w:cs="Calibri" w:eastAsia="Calibri" w:hAnsi="Calibri"/>
          <w:b w:val="false"/>
          <w:bCs w:val="false"/>
          <w:i w:val="false"/>
          <w:iCs w:val="false"/>
          <w:color w:val="111111"/>
          <w:sz w:val="22"/>
          <w:szCs w:val="22"/>
        </w:rPr>
        <w:t xml:space="preserve">Triage Ops · MPCI Ops · Labeling Ops</w:t>
      </w:r>
    </w:p>
    <w:p>
      <w:r>
        <w:br w:type="page"/>
      </w:r>
    </w:p>
    <w:p>
      <w:pPr>
        <w:pStyle w:val="Heading1"/>
        <w:spacing w:after="160" w:before="320"/>
      </w:pPr>
      <w:r>
        <w:rPr>
          <w:rFonts w:ascii="Calibri" w:cs="Calibri" w:eastAsia="Calibri" w:hAnsi="Calibri"/>
          <w:b/>
          <w:bCs/>
          <w:color w:val="111111"/>
          <w:sz w:val="36"/>
          <w:szCs w:val="36"/>
        </w:rPr>
        <w:t xml:space="preserve">Executive summary</w:t>
      </w:r>
    </w:p>
    <w:p>
      <w:pPr>
        <w:spacing w:after="120" w:before="0" w:line="300"/>
      </w:pPr>
      <w:r>
        <w:rPr>
          <w:rFonts w:ascii="Calibri" w:cs="Calibri" w:eastAsia="Calibri" w:hAnsi="Calibri"/>
          <w:b w:val="false"/>
          <w:bCs w:val="false"/>
          <w:i w:val="false"/>
          <w:iCs w:val="false"/>
          <w:color w:val="111111"/>
          <w:sz w:val="22"/>
          <w:szCs w:val="22"/>
        </w:rPr>
        <w:t xml:space="preserve">The client asked for a gamified training module covering all three AV support roles across three full-lifecycle scenarios, plus a generic gamified assessment covering all three roles across three scenarios. </w:t>
      </w:r>
      <w:r>
        <w:rPr>
          <w:rFonts w:ascii="Calibri" w:cs="Calibri" w:eastAsia="Calibri" w:hAnsi="Calibri"/>
          <w:b w:val="false"/>
          <w:bCs w:val="false"/>
          <w:i w:val="false"/>
          <w:iCs w:val="false"/>
          <w:color w:val="111111"/>
          <w:sz w:val="22"/>
          <w:szCs w:val="22"/>
        </w:rPr>
        <w:t xml:space="preserve">The full brief — Plan A — is the right long-term build. It does not fit a two-day demo window. </w:t>
      </w:r>
      <w:r>
        <w:rPr>
          <w:rFonts w:ascii="Calibri" w:cs="Calibri" w:eastAsia="Calibri" w:hAnsi="Calibri"/>
          <w:b w:val="false"/>
          <w:bCs w:val="false"/>
          <w:i w:val="false"/>
          <w:iCs w:val="false"/>
          <w:color w:val="111111"/>
          <w:sz w:val="22"/>
          <w:szCs w:val="22"/>
        </w:rPr>
        <w:t xml:space="preserve">This document sets out three options. Plan A is the reference build for eventual delivery. Plan B and Plan C are the two viable two-day demo paths, and they optimise for different things.</w:t>
      </w:r>
    </w:p>
    <w:p>
      <w:pPr>
        <w:spacing w:after="80"/>
      </w:pPr>
      <w:r>
        <w:t xml:space="preserve"/>
      </w:r>
    </w:p>
    <w:p>
      <w:pPr>
        <w:spacing w:after="120" w:before="0" w:line="300"/>
      </w:pPr>
      <w:r>
        <w:rPr>
          <w:rFonts w:ascii="Calibri" w:cs="Calibri" w:eastAsia="Calibri" w:hAnsi="Calibri"/>
          <w:b/>
          <w:bCs/>
          <w:i w:val="false"/>
          <w:iCs w:val="false"/>
          <w:color w:val="111111"/>
          <w:sz w:val="22"/>
          <w:szCs w:val="22"/>
        </w:rPr>
        <w:t xml:space="preserve">Recommendation. </w:t>
      </w:r>
      <w:r>
        <w:rPr>
          <w:rFonts w:ascii="Calibri" w:cs="Calibri" w:eastAsia="Calibri" w:hAnsi="Calibri"/>
          <w:b w:val="false"/>
          <w:bCs w:val="false"/>
          <w:i w:val="false"/>
          <w:iCs w:val="false"/>
          <w:color w:val="111111"/>
          <w:sz w:val="22"/>
          <w:szCs w:val="22"/>
        </w:rPr>
        <w:t xml:space="preserve">Choose Plan C if the client's room includes non-operational stakeholders who need to see both artifacts working, and if the team can hold scope discipline under demo pressure. Choose Plan B if the team cannot guarantee that discipline, or if the primary audience is operational and will judge on workflow depth rather than breadth. In either case, position Plan A as the post-approval statement of work.</w:t>
      </w:r>
    </w:p>
    <w:p>
      <w:pPr>
        <w:spacing w:after="120"/>
      </w:pPr>
      <w:r>
        <w:t xml:space="preserve"/>
      </w:r>
    </w:p>
    <w:p>
      <w:pPr>
        <w:pStyle w:val="Heading3"/>
        <w:spacing w:after="80" w:before="180"/>
      </w:pPr>
      <w:r>
        <w:rPr>
          <w:rFonts w:ascii="Calibri" w:cs="Calibri" w:eastAsia="Calibri" w:hAnsi="Calibri"/>
          <w:b/>
          <w:bCs/>
          <w:color w:val="111111"/>
          <w:sz w:val="22"/>
          <w:szCs w:val="22"/>
        </w:rPr>
        <w:t xml:space="preserve">At a glance</w:t>
      </w:r>
    </w:p>
    <w:tbl>
      <w:tblPr>
        <w:tblW w:type="dxa" w:w="9360"/>
        <w:tblBorders>
          <w:top w:val="single" w:color="C9C9C9" w:sz="4"/>
          <w:left w:val="none" w:color="FFFFFF" w:sz="0"/>
          <w:bottom w:val="single" w:color="C9C9C9" w:sz="4"/>
          <w:right w:val="none" w:color="FFFFFF" w:sz="0"/>
          <w:insideH w:val="single" w:color="C9C9C9" w:sz="2"/>
          <w:insideV w:val="none" w:color="FFFFFF" w:sz="0"/>
        </w:tblBorders>
      </w:tblPr>
      <w:tblGrid>
        <w:gridCol w:w="1900"/>
        <w:gridCol w:w="2486"/>
        <w:gridCol w:w="2486"/>
        <w:gridCol w:w="2488"/>
      </w:tblGrid>
      <w:tr>
        <w:trPr>
          <w:tblHeader/>
        </w:trPr>
        <w:tc>
          <w:tcPr>
            <w:tcW w:type="dxa" w:w="1900"/>
            <w:shd w:fill="F1F3F6" w:color="auto" w:val="clear"/>
            <w:tcMar>
              <w:top w:type="dxa" w:w="100"/>
              <w:left w:type="dxa" w:w="120"/>
              <w:bottom w:type="dxa" w:w="100"/>
              <w:right w:type="dxa" w:w="120"/>
            </w:tcMar>
          </w:tcPr>
          <w:p>
            <w:pPr>
              <w:spacing w:after="0" w:before="0" w:line="260"/>
            </w:pPr>
            <w:r>
              <w:rPr>
                <w:rFonts w:ascii="Calibri" w:cs="Calibri" w:eastAsia="Calibri" w:hAnsi="Calibri"/>
                <w:b w:val="false"/>
                <w:bCs w:val="false"/>
                <w:color w:val="111111"/>
                <w:sz w:val="20"/>
                <w:szCs w:val="20"/>
              </w:rPr>
              <w:t xml:space="preserve"/>
            </w:r>
          </w:p>
        </w:tc>
        <w:tc>
          <w:tcPr>
            <w:tcW w:type="dxa" w:w="2486"/>
            <w:shd w:fill="F1F3F6" w:color="auto" w:val="clear"/>
            <w:tcMar>
              <w:top w:type="dxa" w:w="100"/>
              <w:left w:type="dxa" w:w="120"/>
              <w:bottom w:type="dxa" w:w="100"/>
              <w:right w:type="dxa" w:w="120"/>
            </w:tcMar>
          </w:tcPr>
          <w:p>
            <w:pPr>
              <w:spacing w:after="0" w:before="0" w:line="260"/>
            </w:pPr>
            <w:r>
              <w:rPr>
                <w:rFonts w:ascii="Calibri" w:cs="Calibri" w:eastAsia="Calibri" w:hAnsi="Calibri"/>
                <w:b/>
                <w:bCs/>
                <w:color w:val="111111"/>
                <w:sz w:val="20"/>
                <w:szCs w:val="20"/>
              </w:rPr>
              <w:t xml:space="preserve">Plan A — full brief</w:t>
            </w:r>
          </w:p>
        </w:tc>
        <w:tc>
          <w:tcPr>
            <w:tcW w:type="dxa" w:w="2486"/>
            <w:shd w:fill="F1F3F6" w:color="auto" w:val="clear"/>
            <w:tcMar>
              <w:top w:type="dxa" w:w="100"/>
              <w:left w:type="dxa" w:w="120"/>
              <w:bottom w:type="dxa" w:w="100"/>
              <w:right w:type="dxa" w:w="120"/>
            </w:tcMar>
          </w:tcPr>
          <w:p>
            <w:pPr>
              <w:spacing w:after="0" w:before="0" w:line="260"/>
            </w:pPr>
            <w:r>
              <w:rPr>
                <w:rFonts w:ascii="Calibri" w:cs="Calibri" w:eastAsia="Calibri" w:hAnsi="Calibri"/>
                <w:b/>
                <w:bCs/>
                <w:color w:val="111111"/>
                <w:sz w:val="20"/>
                <w:szCs w:val="20"/>
              </w:rPr>
              <w:t xml:space="preserve">Plan B — depth over breadth</w:t>
            </w:r>
          </w:p>
        </w:tc>
        <w:tc>
          <w:tcPr>
            <w:tcW w:type="dxa" w:w="2488"/>
            <w:shd w:fill="F1F3F6" w:color="auto" w:val="clear"/>
            <w:tcMar>
              <w:top w:type="dxa" w:w="100"/>
              <w:left w:type="dxa" w:w="120"/>
              <w:bottom w:type="dxa" w:w="100"/>
              <w:right w:type="dxa" w:w="120"/>
            </w:tcMar>
          </w:tcPr>
          <w:p>
            <w:pPr>
              <w:spacing w:after="0" w:before="0" w:line="260"/>
            </w:pPr>
            <w:r>
              <w:rPr>
                <w:rFonts w:ascii="Calibri" w:cs="Calibri" w:eastAsia="Calibri" w:hAnsi="Calibri"/>
                <w:b/>
                <w:bCs/>
                <w:color w:val="111111"/>
                <w:sz w:val="20"/>
                <w:szCs w:val="20"/>
              </w:rPr>
              <w:t xml:space="preserve">Plan C — shared shell</w:t>
            </w:r>
          </w:p>
        </w:tc>
      </w:tr>
      <w:tr>
        <w:tc>
          <w:tcPr>
            <w:tcW w:type="dxa" w:w="1900"/>
            <w:tcMar>
              <w:top w:type="dxa" w:w="100"/>
              <w:left w:type="dxa" w:w="120"/>
              <w:bottom w:type="dxa" w:w="100"/>
              <w:right w:type="dxa" w:w="120"/>
            </w:tcMar>
          </w:tcPr>
          <w:p>
            <w:pPr>
              <w:spacing w:after="0" w:before="0" w:line="260"/>
            </w:pPr>
            <w:r>
              <w:rPr>
                <w:rFonts w:ascii="Calibri" w:cs="Calibri" w:eastAsia="Calibri" w:hAnsi="Calibri"/>
                <w:b/>
                <w:bCs/>
                <w:color w:val="5A5A5A"/>
                <w:sz w:val="20"/>
                <w:szCs w:val="20"/>
              </w:rPr>
              <w:t xml:space="preserve">Artifacts</w:t>
            </w:r>
          </w:p>
        </w:tc>
        <w:tc>
          <w:tcPr>
            <w:tcW w:type="dxa" w:w="2486"/>
            <w:tcMar>
              <w:top w:type="dxa" w:w="100"/>
              <w:left w:type="dxa" w:w="120"/>
              <w:bottom w:type="dxa" w:w="100"/>
              <w:right w:type="dxa" w:w="120"/>
            </w:tcMar>
          </w:tcPr>
          <w:p>
            <w:pPr>
              <w:spacing w:after="0" w:before="0" w:line="260"/>
            </w:pPr>
            <w:r>
              <w:rPr>
                <w:rFonts w:ascii="Calibri" w:cs="Calibri" w:eastAsia="Calibri" w:hAnsi="Calibri"/>
                <w:b w:val="false"/>
                <w:bCs w:val="false"/>
                <w:color w:val="111111"/>
                <w:sz w:val="20"/>
                <w:szCs w:val="20"/>
              </w:rPr>
              <w:t xml:space="preserve">Training + assessment</w:t>
            </w:r>
          </w:p>
        </w:tc>
        <w:tc>
          <w:tcPr>
            <w:tcW w:type="dxa" w:w="2486"/>
            <w:tcMar>
              <w:top w:type="dxa" w:w="100"/>
              <w:left w:type="dxa" w:w="120"/>
              <w:bottom w:type="dxa" w:w="100"/>
              <w:right w:type="dxa" w:w="120"/>
            </w:tcMar>
          </w:tcPr>
          <w:p>
            <w:pPr>
              <w:spacing w:after="0" w:before="0" w:line="260"/>
            </w:pPr>
            <w:r>
              <w:rPr>
                <w:rFonts w:ascii="Calibri" w:cs="Calibri" w:eastAsia="Calibri" w:hAnsi="Calibri"/>
                <w:b w:val="false"/>
                <w:bCs w:val="false"/>
                <w:color w:val="111111"/>
                <w:sz w:val="20"/>
                <w:szCs w:val="20"/>
              </w:rPr>
              <w:t xml:space="preserve">Training only</w:t>
            </w:r>
          </w:p>
        </w:tc>
        <w:tc>
          <w:tcPr>
            <w:tcW w:type="dxa" w:w="2488"/>
            <w:tcMar>
              <w:top w:type="dxa" w:w="100"/>
              <w:left w:type="dxa" w:w="120"/>
              <w:bottom w:type="dxa" w:w="100"/>
              <w:right w:type="dxa" w:w="120"/>
            </w:tcMar>
          </w:tcPr>
          <w:p>
            <w:pPr>
              <w:spacing w:after="0" w:before="0" w:line="260"/>
            </w:pPr>
            <w:r>
              <w:rPr>
                <w:rFonts w:ascii="Calibri" w:cs="Calibri" w:eastAsia="Calibri" w:hAnsi="Calibri"/>
                <w:b w:val="false"/>
                <w:bCs w:val="false"/>
                <w:color w:val="111111"/>
                <w:sz w:val="20"/>
                <w:szCs w:val="20"/>
              </w:rPr>
              <w:t xml:space="preserve">Training + assessment</w:t>
            </w:r>
          </w:p>
        </w:tc>
      </w:tr>
      <w:tr>
        <w:tc>
          <w:tcPr>
            <w:tcW w:type="dxa" w:w="1900"/>
            <w:tcMar>
              <w:top w:type="dxa" w:w="100"/>
              <w:left w:type="dxa" w:w="120"/>
              <w:bottom w:type="dxa" w:w="100"/>
              <w:right w:type="dxa" w:w="120"/>
            </w:tcMar>
          </w:tcPr>
          <w:p>
            <w:pPr>
              <w:spacing w:after="0" w:before="0" w:line="260"/>
            </w:pPr>
            <w:r>
              <w:rPr>
                <w:rFonts w:ascii="Calibri" w:cs="Calibri" w:eastAsia="Calibri" w:hAnsi="Calibri"/>
                <w:b/>
                <w:bCs/>
                <w:color w:val="5A5A5A"/>
                <w:sz w:val="20"/>
                <w:szCs w:val="20"/>
              </w:rPr>
              <w:t xml:space="preserve">Scenarios</w:t>
            </w:r>
          </w:p>
        </w:tc>
        <w:tc>
          <w:tcPr>
            <w:tcW w:type="dxa" w:w="2486"/>
            <w:tcMar>
              <w:top w:type="dxa" w:w="100"/>
              <w:left w:type="dxa" w:w="120"/>
              <w:bottom w:type="dxa" w:w="100"/>
              <w:right w:type="dxa" w:w="120"/>
            </w:tcMar>
          </w:tcPr>
          <w:p>
            <w:pPr>
              <w:spacing w:after="0" w:before="0" w:line="260"/>
            </w:pPr>
            <w:r>
              <w:rPr>
                <w:rFonts w:ascii="Calibri" w:cs="Calibri" w:eastAsia="Calibri" w:hAnsi="Calibri"/>
                <w:b w:val="false"/>
                <w:bCs w:val="false"/>
                <w:color w:val="111111"/>
                <w:sz w:val="20"/>
                <w:szCs w:val="20"/>
              </w:rPr>
              <w:t xml:space="preserve">3 + 3, full lifecycle</w:t>
            </w:r>
          </w:p>
        </w:tc>
        <w:tc>
          <w:tcPr>
            <w:tcW w:type="dxa" w:w="2486"/>
            <w:tcMar>
              <w:top w:type="dxa" w:w="100"/>
              <w:left w:type="dxa" w:w="120"/>
              <w:bottom w:type="dxa" w:w="100"/>
              <w:right w:type="dxa" w:w="120"/>
            </w:tcMar>
          </w:tcPr>
          <w:p>
            <w:pPr>
              <w:spacing w:after="0" w:before="0" w:line="260"/>
            </w:pPr>
            <w:r>
              <w:rPr>
                <w:rFonts w:ascii="Calibri" w:cs="Calibri" w:eastAsia="Calibri" w:hAnsi="Calibri"/>
                <w:b w:val="false"/>
                <w:bCs w:val="false"/>
                <w:color w:val="111111"/>
                <w:sz w:val="20"/>
                <w:szCs w:val="20"/>
              </w:rPr>
              <w:t xml:space="preserve">1 lifecycle, three seats</w:t>
            </w:r>
          </w:p>
        </w:tc>
        <w:tc>
          <w:tcPr>
            <w:tcW w:type="dxa" w:w="2488"/>
            <w:tcMar>
              <w:top w:type="dxa" w:w="100"/>
              <w:left w:type="dxa" w:w="120"/>
              <w:bottom w:type="dxa" w:w="100"/>
              <w:right w:type="dxa" w:w="120"/>
            </w:tcMar>
          </w:tcPr>
          <w:p>
            <w:pPr>
              <w:spacing w:after="0" w:before="0" w:line="260"/>
            </w:pPr>
            <w:r>
              <w:rPr>
                <w:rFonts w:ascii="Calibri" w:cs="Calibri" w:eastAsia="Calibri" w:hAnsi="Calibri"/>
                <w:b w:val="false"/>
                <w:bCs w:val="false"/>
                <w:color w:val="111111"/>
                <w:sz w:val="20"/>
                <w:szCs w:val="20"/>
              </w:rPr>
              <w:t xml:space="preserve">3 seats × 2 modes</w:t>
            </w:r>
          </w:p>
        </w:tc>
      </w:tr>
      <w:tr>
        <w:tc>
          <w:tcPr>
            <w:tcW w:type="dxa" w:w="1900"/>
            <w:tcMar>
              <w:top w:type="dxa" w:w="100"/>
              <w:left w:type="dxa" w:w="120"/>
              <w:bottom w:type="dxa" w:w="100"/>
              <w:right w:type="dxa" w:w="120"/>
            </w:tcMar>
          </w:tcPr>
          <w:p>
            <w:pPr>
              <w:spacing w:after="0" w:before="0" w:line="260"/>
            </w:pPr>
            <w:r>
              <w:rPr>
                <w:rFonts w:ascii="Calibri" w:cs="Calibri" w:eastAsia="Calibri" w:hAnsi="Calibri"/>
                <w:b/>
                <w:bCs/>
                <w:color w:val="5A5A5A"/>
                <w:sz w:val="20"/>
                <w:szCs w:val="20"/>
              </w:rPr>
              <w:t xml:space="preserve">Runtime</w:t>
            </w:r>
          </w:p>
        </w:tc>
        <w:tc>
          <w:tcPr>
            <w:tcW w:type="dxa" w:w="2486"/>
            <w:tcMar>
              <w:top w:type="dxa" w:w="100"/>
              <w:left w:type="dxa" w:w="120"/>
              <w:bottom w:type="dxa" w:w="100"/>
              <w:right w:type="dxa" w:w="120"/>
            </w:tcMar>
          </w:tcPr>
          <w:p>
            <w:pPr>
              <w:spacing w:after="0" w:before="0" w:line="260"/>
            </w:pPr>
            <w:r>
              <w:rPr>
                <w:rFonts w:ascii="Calibri" w:cs="Calibri" w:eastAsia="Calibri" w:hAnsi="Calibri"/>
                <w:b w:val="false"/>
                <w:bCs w:val="false"/>
                <w:color w:val="111111"/>
                <w:sz w:val="20"/>
                <w:szCs w:val="20"/>
              </w:rPr>
              <w:t xml:space="preserve">~70 minutes</w:t>
            </w:r>
          </w:p>
        </w:tc>
        <w:tc>
          <w:tcPr>
            <w:tcW w:type="dxa" w:w="2486"/>
            <w:tcMar>
              <w:top w:type="dxa" w:w="100"/>
              <w:left w:type="dxa" w:w="120"/>
              <w:bottom w:type="dxa" w:w="100"/>
              <w:right w:type="dxa" w:w="120"/>
            </w:tcMar>
          </w:tcPr>
          <w:p>
            <w:pPr>
              <w:spacing w:after="0" w:before="0" w:line="260"/>
            </w:pPr>
            <w:r>
              <w:rPr>
                <w:rFonts w:ascii="Calibri" w:cs="Calibri" w:eastAsia="Calibri" w:hAnsi="Calibri"/>
                <w:b w:val="false"/>
                <w:bCs w:val="false"/>
                <w:color w:val="111111"/>
                <w:sz w:val="20"/>
                <w:szCs w:val="20"/>
              </w:rPr>
              <w:t xml:space="preserve">~15 minutes</w:t>
            </w:r>
          </w:p>
        </w:tc>
        <w:tc>
          <w:tcPr>
            <w:tcW w:type="dxa" w:w="2488"/>
            <w:tcMar>
              <w:top w:type="dxa" w:w="100"/>
              <w:left w:type="dxa" w:w="120"/>
              <w:bottom w:type="dxa" w:w="100"/>
              <w:right w:type="dxa" w:w="120"/>
            </w:tcMar>
          </w:tcPr>
          <w:p>
            <w:pPr>
              <w:spacing w:after="0" w:before="0" w:line="260"/>
            </w:pPr>
            <w:r>
              <w:rPr>
                <w:rFonts w:ascii="Calibri" w:cs="Calibri" w:eastAsia="Calibri" w:hAnsi="Calibri"/>
                <w:b w:val="false"/>
                <w:bCs w:val="false"/>
                <w:color w:val="111111"/>
                <w:sz w:val="20"/>
                <w:szCs w:val="20"/>
              </w:rPr>
              <w:t xml:space="preserve">~20 minutes</w:t>
            </w:r>
          </w:p>
        </w:tc>
      </w:tr>
      <w:tr>
        <w:tc>
          <w:tcPr>
            <w:tcW w:type="dxa" w:w="1900"/>
            <w:tcMar>
              <w:top w:type="dxa" w:w="100"/>
              <w:left w:type="dxa" w:w="120"/>
              <w:bottom w:type="dxa" w:w="100"/>
              <w:right w:type="dxa" w:w="120"/>
            </w:tcMar>
          </w:tcPr>
          <w:p>
            <w:pPr>
              <w:spacing w:after="0" w:before="0" w:line="260"/>
            </w:pPr>
            <w:r>
              <w:rPr>
                <w:rFonts w:ascii="Calibri" w:cs="Calibri" w:eastAsia="Calibri" w:hAnsi="Calibri"/>
                <w:b/>
                <w:bCs/>
                <w:color w:val="5A5A5A"/>
                <w:sz w:val="20"/>
                <w:szCs w:val="20"/>
              </w:rPr>
              <w:t xml:space="preserve">Development</w:t>
            </w:r>
          </w:p>
        </w:tc>
        <w:tc>
          <w:tcPr>
            <w:tcW w:type="dxa" w:w="2486"/>
            <w:tcMar>
              <w:top w:type="dxa" w:w="100"/>
              <w:left w:type="dxa" w:w="120"/>
              <w:bottom w:type="dxa" w:w="100"/>
              <w:right w:type="dxa" w:w="120"/>
            </w:tcMar>
          </w:tcPr>
          <w:p>
            <w:pPr>
              <w:spacing w:after="0" w:before="0" w:line="260"/>
            </w:pPr>
            <w:r>
              <w:rPr>
                <w:rFonts w:ascii="Calibri" w:cs="Calibri" w:eastAsia="Calibri" w:hAnsi="Calibri"/>
                <w:b w:val="false"/>
                <w:bCs w:val="false"/>
                <w:color w:val="111111"/>
                <w:sz w:val="20"/>
                <w:szCs w:val="20"/>
              </w:rPr>
              <w:t xml:space="preserve">4–6 weeks</w:t>
            </w:r>
          </w:p>
        </w:tc>
        <w:tc>
          <w:tcPr>
            <w:tcW w:type="dxa" w:w="2486"/>
            <w:tcMar>
              <w:top w:type="dxa" w:w="100"/>
              <w:left w:type="dxa" w:w="120"/>
              <w:bottom w:type="dxa" w:w="100"/>
              <w:right w:type="dxa" w:w="120"/>
            </w:tcMar>
          </w:tcPr>
          <w:p>
            <w:pPr>
              <w:spacing w:after="0" w:before="0" w:line="260"/>
            </w:pPr>
            <w:r>
              <w:rPr>
                <w:rFonts w:ascii="Calibri" w:cs="Calibri" w:eastAsia="Calibri" w:hAnsi="Calibri"/>
                <w:b w:val="false"/>
                <w:bCs w:val="false"/>
                <w:color w:val="111111"/>
                <w:sz w:val="20"/>
                <w:szCs w:val="20"/>
              </w:rPr>
              <w:t xml:space="preserve">2 days, comfortable</w:t>
            </w:r>
          </w:p>
        </w:tc>
        <w:tc>
          <w:tcPr>
            <w:tcW w:type="dxa" w:w="2488"/>
            <w:tcMar>
              <w:top w:type="dxa" w:w="100"/>
              <w:left w:type="dxa" w:w="120"/>
              <w:bottom w:type="dxa" w:w="100"/>
              <w:right w:type="dxa" w:w="120"/>
            </w:tcMar>
          </w:tcPr>
          <w:p>
            <w:pPr>
              <w:spacing w:after="0" w:before="0" w:line="260"/>
            </w:pPr>
            <w:r>
              <w:rPr>
                <w:rFonts w:ascii="Calibri" w:cs="Calibri" w:eastAsia="Calibri" w:hAnsi="Calibri"/>
                <w:b w:val="false"/>
                <w:bCs w:val="false"/>
                <w:color w:val="111111"/>
                <w:sz w:val="20"/>
                <w:szCs w:val="20"/>
              </w:rPr>
              <w:t xml:space="preserve">2 days, tight</w:t>
            </w:r>
          </w:p>
        </w:tc>
      </w:tr>
      <w:tr>
        <w:tc>
          <w:tcPr>
            <w:tcW w:type="dxa" w:w="1900"/>
            <w:tcMar>
              <w:top w:type="dxa" w:w="100"/>
              <w:left w:type="dxa" w:w="120"/>
              <w:bottom w:type="dxa" w:w="100"/>
              <w:right w:type="dxa" w:w="120"/>
            </w:tcMar>
          </w:tcPr>
          <w:p>
            <w:pPr>
              <w:spacing w:after="0" w:before="0" w:line="260"/>
            </w:pPr>
            <w:r>
              <w:rPr>
                <w:rFonts w:ascii="Calibri" w:cs="Calibri" w:eastAsia="Calibri" w:hAnsi="Calibri"/>
                <w:b/>
                <w:bCs/>
                <w:color w:val="5A5A5A"/>
                <w:sz w:val="20"/>
                <w:szCs w:val="20"/>
              </w:rPr>
              <w:t xml:space="preserve">Fits demo window</w:t>
            </w:r>
          </w:p>
        </w:tc>
        <w:tc>
          <w:tcPr>
            <w:tcW w:type="dxa" w:w="2486"/>
            <w:tcMar>
              <w:top w:type="dxa" w:w="100"/>
              <w:left w:type="dxa" w:w="120"/>
              <w:bottom w:type="dxa" w:w="100"/>
              <w:right w:type="dxa" w:w="120"/>
            </w:tcMar>
          </w:tcPr>
          <w:p>
            <w:pPr>
              <w:spacing w:after="0" w:before="0" w:line="260"/>
            </w:pPr>
            <w:r>
              <w:rPr>
                <w:rFonts w:ascii="Calibri" w:cs="Calibri" w:eastAsia="Calibri" w:hAnsi="Calibri"/>
                <w:b w:val="false"/>
                <w:bCs w:val="false"/>
                <w:color w:val="111111"/>
                <w:sz w:val="20"/>
                <w:szCs w:val="20"/>
              </w:rPr>
              <w:t xml:space="preserve">No</w:t>
            </w:r>
          </w:p>
        </w:tc>
        <w:tc>
          <w:tcPr>
            <w:tcW w:type="dxa" w:w="2486"/>
            <w:tcMar>
              <w:top w:type="dxa" w:w="100"/>
              <w:left w:type="dxa" w:w="120"/>
              <w:bottom w:type="dxa" w:w="100"/>
              <w:right w:type="dxa" w:w="120"/>
            </w:tcMar>
          </w:tcPr>
          <w:p>
            <w:pPr>
              <w:spacing w:after="0" w:before="0" w:line="260"/>
            </w:pPr>
            <w:r>
              <w:rPr>
                <w:rFonts w:ascii="Calibri" w:cs="Calibri" w:eastAsia="Calibri" w:hAnsi="Calibri"/>
                <w:b w:val="false"/>
                <w:bCs w:val="false"/>
                <w:color w:val="111111"/>
                <w:sz w:val="20"/>
                <w:szCs w:val="20"/>
              </w:rPr>
              <w:t xml:space="preserve">Yes, with polish time</w:t>
            </w:r>
          </w:p>
        </w:tc>
        <w:tc>
          <w:tcPr>
            <w:tcW w:type="dxa" w:w="2488"/>
            <w:tcMar>
              <w:top w:type="dxa" w:w="100"/>
              <w:left w:type="dxa" w:w="120"/>
              <w:bottom w:type="dxa" w:w="100"/>
              <w:right w:type="dxa" w:w="120"/>
            </w:tcMar>
          </w:tcPr>
          <w:p>
            <w:pPr>
              <w:spacing w:after="0" w:before="0" w:line="260"/>
            </w:pPr>
            <w:r>
              <w:rPr>
                <w:rFonts w:ascii="Calibri" w:cs="Calibri" w:eastAsia="Calibri" w:hAnsi="Calibri"/>
                <w:b w:val="false"/>
                <w:bCs w:val="false"/>
                <w:color w:val="111111"/>
                <w:sz w:val="20"/>
                <w:szCs w:val="20"/>
              </w:rPr>
              <w:t xml:space="preserve">Yes, with no slack</w:t>
            </w:r>
          </w:p>
        </w:tc>
      </w:tr>
      <w:tr>
        <w:tc>
          <w:tcPr>
            <w:tcW w:type="dxa" w:w="1900"/>
            <w:tcMar>
              <w:top w:type="dxa" w:w="100"/>
              <w:left w:type="dxa" w:w="120"/>
              <w:bottom w:type="dxa" w:w="100"/>
              <w:right w:type="dxa" w:w="120"/>
            </w:tcMar>
          </w:tcPr>
          <w:p>
            <w:pPr>
              <w:spacing w:after="0" w:before="0" w:line="260"/>
            </w:pPr>
            <w:r>
              <w:rPr>
                <w:rFonts w:ascii="Calibri" w:cs="Calibri" w:eastAsia="Calibri" w:hAnsi="Calibri"/>
                <w:b/>
                <w:bCs/>
                <w:color w:val="5A5A5A"/>
                <w:sz w:val="20"/>
                <w:szCs w:val="20"/>
              </w:rPr>
              <w:t xml:space="preserve">Primary risk</w:t>
            </w:r>
          </w:p>
        </w:tc>
        <w:tc>
          <w:tcPr>
            <w:tcW w:type="dxa" w:w="2486"/>
            <w:tcMar>
              <w:top w:type="dxa" w:w="100"/>
              <w:left w:type="dxa" w:w="120"/>
              <w:bottom w:type="dxa" w:w="100"/>
              <w:right w:type="dxa" w:w="120"/>
            </w:tcMar>
          </w:tcPr>
          <w:p>
            <w:pPr>
              <w:spacing w:after="0" w:before="0" w:line="260"/>
            </w:pPr>
            <w:r>
              <w:rPr>
                <w:rFonts w:ascii="Calibri" w:cs="Calibri" w:eastAsia="Calibri" w:hAnsi="Calibri"/>
                <w:b w:val="false"/>
                <w:bCs w:val="false"/>
                <w:color w:val="111111"/>
                <w:sz w:val="20"/>
                <w:szCs w:val="20"/>
              </w:rPr>
              <w:t xml:space="preserve">Out of scope for demo</w:t>
            </w:r>
          </w:p>
        </w:tc>
        <w:tc>
          <w:tcPr>
            <w:tcW w:type="dxa" w:w="2486"/>
            <w:tcMar>
              <w:top w:type="dxa" w:w="100"/>
              <w:left w:type="dxa" w:w="120"/>
              <w:bottom w:type="dxa" w:w="100"/>
              <w:right w:type="dxa" w:w="120"/>
            </w:tcMar>
          </w:tcPr>
          <w:p>
            <w:pPr>
              <w:spacing w:after="0" w:before="0" w:line="260"/>
            </w:pPr>
            <w:r>
              <w:rPr>
                <w:rFonts w:ascii="Calibri" w:cs="Calibri" w:eastAsia="Calibri" w:hAnsi="Calibri"/>
                <w:b w:val="false"/>
                <w:bCs w:val="false"/>
                <w:color w:val="111111"/>
                <w:sz w:val="20"/>
                <w:szCs w:val="20"/>
              </w:rPr>
              <w:t xml:space="preserve">Under-delivers on brief</w:t>
            </w:r>
          </w:p>
        </w:tc>
        <w:tc>
          <w:tcPr>
            <w:tcW w:type="dxa" w:w="2488"/>
            <w:tcMar>
              <w:top w:type="dxa" w:w="100"/>
              <w:left w:type="dxa" w:w="120"/>
              <w:bottom w:type="dxa" w:w="100"/>
              <w:right w:type="dxa" w:w="120"/>
            </w:tcMar>
          </w:tcPr>
          <w:p>
            <w:pPr>
              <w:spacing w:after="0" w:before="0" w:line="260"/>
            </w:pPr>
            <w:r>
              <w:rPr>
                <w:rFonts w:ascii="Calibri" w:cs="Calibri" w:eastAsia="Calibri" w:hAnsi="Calibri"/>
                <w:b w:val="false"/>
                <w:bCs w:val="false"/>
                <w:color w:val="111111"/>
                <w:sz w:val="20"/>
                <w:szCs w:val="20"/>
              </w:rPr>
              <w:t xml:space="preserve">Thin assessment scoring</w:t>
            </w:r>
          </w:p>
        </w:tc>
      </w:tr>
    </w:tbl>
    <w:p>
      <w:r>
        <w:br w:type="page"/>
      </w:r>
    </w:p>
    <w:p>
      <w:pPr>
        <w:spacing w:after="60" w:before="40"/>
      </w:pPr>
      <w:r>
        <w:rPr>
          <w:rFonts w:ascii="Calibri" w:cs="Calibri" w:eastAsia="Calibri" w:hAnsi="Calibri"/>
          <w:b/>
          <w:bCs/>
          <w:color w:val="5A5A5A"/>
          <w:spacing w:val="40"/>
          <w:sz w:val="16"/>
          <w:szCs w:val="16"/>
        </w:rPr>
        <w:t xml:space="preserve">PLAN A</w:t>
      </w:r>
    </w:p>
    <w:p>
      <w:pPr>
        <w:spacing w:after="80" w:before="0"/>
      </w:pPr>
      <w:r>
        <w:rPr>
          <w:rFonts w:ascii="Calibri" w:cs="Calibri" w:eastAsia="Calibri" w:hAnsi="Calibri"/>
          <w:b/>
          <w:bCs/>
          <w:color w:val="111111"/>
          <w:sz w:val="36"/>
          <w:szCs w:val="36"/>
        </w:rPr>
        <w:t xml:space="preserve">The full brief</w:t>
      </w:r>
    </w:p>
    <w:p>
      <w:pPr>
        <w:spacing w:after="200" w:before="0" w:line="300"/>
      </w:pPr>
      <w:r>
        <w:rPr>
          <w:rFonts w:ascii="Calibri" w:cs="Calibri" w:eastAsia="Calibri" w:hAnsi="Calibri"/>
          <w:i/>
          <w:iCs/>
          <w:color w:val="5A5A5A"/>
          <w:sz w:val="22"/>
          <w:szCs w:val="22"/>
        </w:rPr>
        <w:t xml:space="preserve">Training module across three lifecycle scenarios and a rigorous three-scenario assessment. The reference build.</w:t>
      </w:r>
    </w:p>
    <w:tbl>
      <w:tblPr>
        <w:tblW w:type="dxa" w:w="9360"/>
        <w:tblBorders>
          <w:top w:val="single" w:color="1F4E79" w:sz="4"/>
          <w:left w:val="single" w:color="1F4E79" w:sz="24"/>
          <w:bottom w:val="single" w:color="1F4E79" w:sz="4"/>
          <w:right w:val="single" w:color="1F4E79" w:sz="4"/>
          <w:insideH w:val="none" w:color="FFFFFF" w:sz="0"/>
          <w:insideV w:val="none" w:color="FFFFFF" w:sz="0"/>
        </w:tblBorders>
      </w:tblPr>
      <w:tblGrid>
        <w:gridCol w:w="9360"/>
      </w:tblGrid>
      <w:tr>
        <w:tc>
          <w:tcPr>
            <w:tcW w:type="dxa" w:w="9360"/>
            <w:shd w:fill="F1F3F6" w:color="auto" w:val="clear"/>
            <w:tcMar>
              <w:top w:type="dxa" w:w="160"/>
              <w:left w:type="dxa" w:w="220"/>
              <w:bottom w:type="dxa" w:w="160"/>
              <w:right w:type="dxa" w:w="220"/>
            </w:tcMar>
          </w:tcPr>
          <w:p>
            <w:pPr>
              <w:spacing w:after="100" w:before="40"/>
            </w:pPr>
            <w:r>
              <w:rPr>
                <w:rFonts w:ascii="Calibri" w:cs="Calibri" w:eastAsia="Calibri" w:hAnsi="Calibri"/>
                <w:b/>
                <w:bCs/>
                <w:color w:val="1F4E79"/>
                <w:spacing w:val="60"/>
                <w:sz w:val="18"/>
                <w:szCs w:val="18"/>
              </w:rPr>
              <w:t xml:space="preserve">REASON</w:t>
            </w:r>
          </w:p>
          <w:p>
            <w:pPr>
              <w:spacing w:after="100" w:before="0" w:line="300"/>
            </w:pPr>
            <w:r>
              <w:rPr>
                <w:rFonts w:ascii="Calibri" w:cs="Calibri" w:eastAsia="Calibri" w:hAnsi="Calibri"/>
                <w:b w:val="false"/>
                <w:bCs w:val="false"/>
                <w:i w:val="false"/>
                <w:iCs w:val="false"/>
                <w:color w:val="111111"/>
                <w:sz w:val="22"/>
                <w:szCs w:val="22"/>
              </w:rPr>
              <w:t xml:space="preserve">Plan A delivers exactly what the client asked for. The training module runs the trainee through all three AV support roles across three deliberately chosen scenarios — the canonical occluded-cyclist chain, a blocked-emergency-vehicle case that teaches severity is not damage, and a phantom-braking cluster that teaches pattern recognition without escalation. The assessment covers all three roles through three targeted scenarios: calibration under time pressure, investigative efficiency under an evidence budget, and precision-with-flagging on a labeling spec.</w:t>
            </w:r>
          </w:p>
          <w:p>
            <w:pPr>
              <w:spacing w:after="100" w:before="0" w:line="300"/>
            </w:pPr>
            <w:r>
              <w:rPr>
                <w:rFonts w:ascii="Calibri" w:cs="Calibri" w:eastAsia="Calibri" w:hAnsi="Calibri"/>
                <w:b w:val="false"/>
                <w:bCs w:val="false"/>
                <w:i w:val="false"/>
                <w:iCs w:val="false"/>
                <w:color w:val="111111"/>
                <w:sz w:val="22"/>
                <w:szCs w:val="22"/>
              </w:rPr>
              <w:t xml:space="preserve">This is the plan we would build if the timeline were four to six weeks. It is included here as the reference against which Plan B and Plan C should be judged, and as the natural post-approval statement of work.</w:t>
            </w:r>
          </w:p>
        </w:tc>
      </w:tr>
    </w:tbl>
    <w:p>
      <w:pPr>
        <w:spacing w:after="120"/>
      </w:pPr>
      <w:r>
        <w:t xml:space="preserve"/>
      </w:r>
    </w:p>
    <w:tbl>
      <w:tblPr>
        <w:tblW w:type="dxa" w:w="9360"/>
        <w:tblBorders>
          <w:top w:val="single" w:color="3B7A2F" w:sz="4"/>
          <w:left w:val="single" w:color="3B7A2F" w:sz="24"/>
          <w:bottom w:val="single" w:color="3B7A2F" w:sz="4"/>
          <w:right w:val="single" w:color="3B7A2F" w:sz="4"/>
          <w:insideH w:val="none" w:color="FFFFFF" w:sz="0"/>
          <w:insideV w:val="none" w:color="FFFFFF" w:sz="0"/>
        </w:tblBorders>
      </w:tblPr>
      <w:tblGrid>
        <w:gridCol w:w="9360"/>
      </w:tblGrid>
      <w:tr>
        <w:tc>
          <w:tcPr>
            <w:tcW w:type="dxa" w:w="9360"/>
            <w:shd w:fill="EFF5EC" w:color="auto" w:val="clear"/>
            <w:tcMar>
              <w:top w:type="dxa" w:w="160"/>
              <w:left w:type="dxa" w:w="220"/>
              <w:bottom w:type="dxa" w:w="160"/>
              <w:right w:type="dxa" w:w="220"/>
            </w:tcMar>
          </w:tcPr>
          <w:p>
            <w:pPr>
              <w:spacing w:after="100" w:before="40"/>
            </w:pPr>
            <w:r>
              <w:rPr>
                <w:rFonts w:ascii="Calibri" w:cs="Calibri" w:eastAsia="Calibri" w:hAnsi="Calibri"/>
                <w:b/>
                <w:bCs/>
                <w:color w:val="3B7A2F"/>
                <w:spacing w:val="60"/>
                <w:sz w:val="18"/>
                <w:szCs w:val="18"/>
              </w:rPr>
              <w:t xml:space="preserve">THE HIT</w:t>
            </w:r>
          </w:p>
          <w:p>
            <w:pPr>
              <w:pStyle w:val="ListParagraph"/>
              <w:numPr>
                <w:ilvl w:val="0"/>
                <w:numId w:val="2"/>
              </w:numPr>
              <w:spacing w:after="80" w:before="0" w:line="300"/>
            </w:pPr>
            <w:r>
              <w:rPr>
                <w:rFonts w:ascii="Calibri" w:cs="Calibri" w:eastAsia="Calibri" w:hAnsi="Calibri"/>
                <w:color w:val="111111"/>
                <w:sz w:val="22"/>
                <w:szCs w:val="22"/>
              </w:rPr>
              <w:t xml:space="preserve">Meets the brief in full — three roles, three scenarios per artifact, both artifacts.</w:t>
            </w:r>
          </w:p>
          <w:p>
            <w:pPr>
              <w:pStyle w:val="ListParagraph"/>
              <w:numPr>
                <w:ilvl w:val="0"/>
                <w:numId w:val="2"/>
              </w:numPr>
              <w:spacing w:after="80" w:before="0" w:line="300"/>
            </w:pPr>
            <w:r>
              <w:rPr>
                <w:rFonts w:ascii="Calibri" w:cs="Calibri" w:eastAsia="Calibri" w:hAnsi="Calibri"/>
                <w:color w:val="111111"/>
                <w:sz w:val="22"/>
                <w:szCs w:val="22"/>
              </w:rPr>
              <w:t xml:space="preserve">Aptitude-first assessment design predicts on-job performance rather than domain knowledge, which matters for hiring 50–80 staff with limited AV background.</w:t>
            </w:r>
          </w:p>
          <w:p>
            <w:pPr>
              <w:pStyle w:val="ListParagraph"/>
              <w:numPr>
                <w:ilvl w:val="0"/>
                <w:numId w:val="2"/>
              </w:numPr>
              <w:spacing w:after="80" w:before="0" w:line="300"/>
            </w:pPr>
            <w:r>
              <w:rPr>
                <w:rFonts w:ascii="Calibri" w:cs="Calibri" w:eastAsia="Calibri" w:hAnsi="Calibri"/>
                <w:color w:val="111111"/>
                <w:sz w:val="22"/>
                <w:szCs w:val="22"/>
              </w:rPr>
              <w:t xml:space="preserve">The three chosen incidents each teach a different lesson, so the module is genuinely educational rather than three variations on the same case.</w:t>
            </w:r>
          </w:p>
          <w:p>
            <w:pPr>
              <w:pStyle w:val="ListParagraph"/>
              <w:numPr>
                <w:ilvl w:val="0"/>
                <w:numId w:val="2"/>
              </w:numPr>
              <w:spacing w:after="80" w:before="0" w:line="300"/>
            </w:pPr>
            <w:r>
              <w:rPr>
                <w:rFonts w:ascii="Calibri" w:cs="Calibri" w:eastAsia="Calibri" w:hAnsi="Calibri"/>
                <w:color w:val="111111"/>
                <w:sz w:val="22"/>
                <w:szCs w:val="22"/>
              </w:rPr>
              <w:t xml:space="preserve">Includes the learning-rate measure — pre-test, feedback beat, post-test on a matched item — which is unusually predictive and difficult for candidates to game.</w:t>
            </w:r>
          </w:p>
          <w:p>
            <w:pPr>
              <w:pStyle w:val="ListParagraph"/>
              <w:numPr>
                <w:ilvl w:val="0"/>
                <w:numId w:val="2"/>
              </w:numPr>
              <w:spacing w:after="80" w:before="0" w:line="300"/>
            </w:pPr>
            <w:r>
              <w:rPr>
                <w:rFonts w:ascii="Calibri" w:cs="Calibri" w:eastAsia="Calibri" w:hAnsi="Calibri"/>
                <w:color w:val="111111"/>
                <w:sz w:val="22"/>
                <w:szCs w:val="22"/>
              </w:rPr>
              <w:t xml:space="preserve">Post-approval, this plan slots directly into a production certification and hiring pipeline with minimal rework.</w:t>
            </w:r>
          </w:p>
        </w:tc>
      </w:tr>
    </w:tbl>
    <w:p>
      <w:pPr>
        <w:spacing w:after="120"/>
      </w:pPr>
      <w:r>
        <w:t xml:space="preserve"/>
      </w:r>
    </w:p>
    <w:tbl>
      <w:tblPr>
        <w:tblW w:type="dxa" w:w="9360"/>
        <w:tblBorders>
          <w:top w:val="single" w:color="A63A1F" w:sz="4"/>
          <w:left w:val="single" w:color="A63A1F" w:sz="24"/>
          <w:bottom w:val="single" w:color="A63A1F" w:sz="4"/>
          <w:right w:val="single" w:color="A63A1F" w:sz="4"/>
          <w:insideH w:val="none" w:color="FFFFFF" w:sz="0"/>
          <w:insideV w:val="none" w:color="FFFFFF" w:sz="0"/>
        </w:tblBorders>
      </w:tblPr>
      <w:tblGrid>
        <w:gridCol w:w="9360"/>
      </w:tblGrid>
      <w:tr>
        <w:tc>
          <w:tcPr>
            <w:tcW w:type="dxa" w:w="9360"/>
            <w:shd w:fill="FBEEEA" w:color="auto" w:val="clear"/>
            <w:tcMar>
              <w:top w:type="dxa" w:w="160"/>
              <w:left w:type="dxa" w:w="220"/>
              <w:bottom w:type="dxa" w:w="160"/>
              <w:right w:type="dxa" w:w="220"/>
            </w:tcMar>
          </w:tcPr>
          <w:p>
            <w:pPr>
              <w:spacing w:after="100" w:before="40"/>
            </w:pPr>
            <w:r>
              <w:rPr>
                <w:rFonts w:ascii="Calibri" w:cs="Calibri" w:eastAsia="Calibri" w:hAnsi="Calibri"/>
                <w:b/>
                <w:bCs/>
                <w:color w:val="A63A1F"/>
                <w:spacing w:val="60"/>
                <w:sz w:val="18"/>
                <w:szCs w:val="18"/>
              </w:rPr>
              <w:t xml:space="preserve">THE MISS</w:t>
            </w:r>
          </w:p>
          <w:p>
            <w:pPr>
              <w:pStyle w:val="ListParagraph"/>
              <w:numPr>
                <w:ilvl w:val="0"/>
                <w:numId w:val="2"/>
              </w:numPr>
              <w:spacing w:after="80" w:before="0" w:line="300"/>
            </w:pPr>
            <w:r>
              <w:rPr>
                <w:rFonts w:ascii="Calibri" w:cs="Calibri" w:eastAsia="Calibri" w:hAnsi="Calibri"/>
                <w:color w:val="111111"/>
                <w:sz w:val="22"/>
                <w:szCs w:val="22"/>
              </w:rPr>
              <w:t xml:space="preserve">Cannot ship in two days. Attempting it produces a demo that half-works, which is worse than a smaller demo that fully works.</w:t>
            </w:r>
          </w:p>
          <w:p>
            <w:pPr>
              <w:pStyle w:val="ListParagraph"/>
              <w:numPr>
                <w:ilvl w:val="0"/>
                <w:numId w:val="2"/>
              </w:numPr>
              <w:spacing w:after="80" w:before="0" w:line="300"/>
            </w:pPr>
            <w:r>
              <w:rPr>
                <w:rFonts w:ascii="Calibri" w:cs="Calibri" w:eastAsia="Calibri" w:hAnsi="Calibri"/>
                <w:color w:val="111111"/>
                <w:sz w:val="22"/>
                <w:szCs w:val="22"/>
              </w:rPr>
              <w:t xml:space="preserve">The free-text MPCI justification item — the most predictive element of the assessment — requires either a human rubric reviewer or model-assisted scoring, neither trivial to stand up.</w:t>
            </w:r>
          </w:p>
          <w:p>
            <w:pPr>
              <w:pStyle w:val="ListParagraph"/>
              <w:numPr>
                <w:ilvl w:val="0"/>
                <w:numId w:val="2"/>
              </w:numPr>
              <w:spacing w:after="80" w:before="0" w:line="300"/>
            </w:pPr>
            <w:r>
              <w:rPr>
                <w:rFonts w:ascii="Calibri" w:cs="Calibri" w:eastAsia="Calibri" w:hAnsi="Calibri"/>
                <w:color w:val="111111"/>
                <w:sz w:val="22"/>
                <w:szCs w:val="22"/>
              </w:rPr>
              <w:t xml:space="preserve">Requires a licensing decision on real sensor log playback or a commitment to build synthetic scenarios of comparable fidelity. Both routes carry cost.</w:t>
            </w:r>
          </w:p>
          <w:p>
            <w:pPr>
              <w:pStyle w:val="ListParagraph"/>
              <w:numPr>
                <w:ilvl w:val="0"/>
                <w:numId w:val="2"/>
              </w:numPr>
              <w:spacing w:after="80" w:before="0" w:line="300"/>
            </w:pPr>
            <w:r>
              <w:rPr>
                <w:rFonts w:ascii="Calibri" w:cs="Calibri" w:eastAsia="Calibri" w:hAnsi="Calibri"/>
                <w:color w:val="111111"/>
                <w:sz w:val="22"/>
                <w:szCs w:val="22"/>
              </w:rPr>
              <w:t xml:space="preserve">For production use across a large candidate pool, adverse-impact monitoring and a job-relevance validation study are required. These are not part of the demo, but the client's people function will ask.</w:t>
            </w:r>
          </w:p>
        </w:tc>
      </w:tr>
    </w:tbl>
    <w:p>
      <w:pPr>
        <w:spacing w:after="120"/>
      </w:pPr>
      <w:r>
        <w:t xml:space="preserve"/>
      </w:r>
    </w:p>
    <w:tbl>
      <w:tblPr>
        <w:tblW w:type="dxa" w:w="9360"/>
        <w:tblBorders>
          <w:top w:val="single" w:color="8A6D1A" w:sz="4"/>
          <w:left w:val="single" w:color="8A6D1A" w:sz="24"/>
          <w:bottom w:val="single" w:color="8A6D1A" w:sz="4"/>
          <w:right w:val="single" w:color="8A6D1A" w:sz="4"/>
          <w:insideH w:val="none" w:color="FFFFFF" w:sz="0"/>
          <w:insideV w:val="none" w:color="FFFFFF" w:sz="0"/>
        </w:tblBorders>
      </w:tblPr>
      <w:tblGrid>
        <w:gridCol w:w="9360"/>
      </w:tblGrid>
      <w:tr>
        <w:tc>
          <w:tcPr>
            <w:tcW w:type="dxa" w:w="9360"/>
            <w:shd w:fill="F4EFE4" w:color="auto" w:val="clear"/>
            <w:tcMar>
              <w:top w:type="dxa" w:w="160"/>
              <w:left w:type="dxa" w:w="220"/>
              <w:bottom w:type="dxa" w:w="160"/>
              <w:right w:type="dxa" w:w="220"/>
            </w:tcMar>
          </w:tcPr>
          <w:p>
            <w:pPr>
              <w:spacing w:after="100" w:before="40"/>
            </w:pPr>
            <w:r>
              <w:rPr>
                <w:rFonts w:ascii="Calibri" w:cs="Calibri" w:eastAsia="Calibri" w:hAnsi="Calibri"/>
                <w:b/>
                <w:bCs/>
                <w:color w:val="8A6D1A"/>
                <w:spacing w:val="60"/>
                <w:sz w:val="18"/>
                <w:szCs w:val="18"/>
              </w:rPr>
              <w:t xml:space="preserve">DEVELOPMENT TIME</w:t>
            </w:r>
          </w:p>
          <w:p>
            <w:pPr>
              <w:spacing w:after="80" w:before="0" w:line="300"/>
            </w:pPr>
            <w:r>
              <w:rPr>
                <w:rFonts w:ascii="Calibri" w:cs="Calibri" w:eastAsia="Calibri" w:hAnsi="Calibri"/>
                <w:b/>
                <w:bCs/>
                <w:color w:val="111111"/>
                <w:sz w:val="22"/>
                <w:szCs w:val="22"/>
              </w:rPr>
              <w:t xml:space="preserve">Design and content — </w:t>
            </w:r>
            <w:r>
              <w:rPr>
                <w:rFonts w:ascii="Calibri" w:cs="Calibri" w:eastAsia="Calibri" w:hAnsi="Calibri"/>
                <w:color w:val="111111"/>
                <w:sz w:val="22"/>
                <w:szCs w:val="22"/>
              </w:rPr>
              <w:t xml:space="preserve">5–7 working days</w:t>
            </w:r>
          </w:p>
          <w:p>
            <w:pPr>
              <w:spacing w:after="80" w:before="0" w:line="300"/>
            </w:pPr>
            <w:r>
              <w:rPr>
                <w:rFonts w:ascii="Calibri" w:cs="Calibri" w:eastAsia="Calibri" w:hAnsi="Calibri"/>
                <w:b/>
                <w:bCs/>
                <w:color w:val="111111"/>
                <w:sz w:val="22"/>
                <w:szCs w:val="22"/>
              </w:rPr>
              <w:t xml:space="preserve">Front-end build — </w:t>
            </w:r>
            <w:r>
              <w:rPr>
                <w:rFonts w:ascii="Calibri" w:cs="Calibri" w:eastAsia="Calibri" w:hAnsi="Calibri"/>
                <w:color w:val="111111"/>
                <w:sz w:val="22"/>
                <w:szCs w:val="22"/>
              </w:rPr>
              <w:t xml:space="preserve">10–14 working days</w:t>
            </w:r>
          </w:p>
          <w:p>
            <w:pPr>
              <w:spacing w:after="80" w:before="0" w:line="300"/>
            </w:pPr>
            <w:r>
              <w:rPr>
                <w:rFonts w:ascii="Calibri" w:cs="Calibri" w:eastAsia="Calibri" w:hAnsi="Calibri"/>
                <w:b/>
                <w:bCs/>
                <w:color w:val="111111"/>
                <w:sz w:val="22"/>
                <w:szCs w:val="22"/>
              </w:rPr>
              <w:t xml:space="preserve">Scoring engine and rubric authoring — </w:t>
            </w:r>
            <w:r>
              <w:rPr>
                <w:rFonts w:ascii="Calibri" w:cs="Calibri" w:eastAsia="Calibri" w:hAnsi="Calibri"/>
                <w:color w:val="111111"/>
                <w:sz w:val="22"/>
                <w:szCs w:val="22"/>
              </w:rPr>
              <w:t xml:space="preserve">5–7 working days</w:t>
            </w:r>
          </w:p>
          <w:p>
            <w:pPr>
              <w:spacing w:after="80" w:before="0" w:line="300"/>
            </w:pPr>
            <w:r>
              <w:rPr>
                <w:rFonts w:ascii="Calibri" w:cs="Calibri" w:eastAsia="Calibri" w:hAnsi="Calibri"/>
                <w:b/>
                <w:bCs/>
                <w:color w:val="111111"/>
                <w:sz w:val="22"/>
                <w:szCs w:val="22"/>
              </w:rPr>
              <w:t xml:space="preserve">QA, calibration, and pilot — </w:t>
            </w:r>
            <w:r>
              <w:rPr>
                <w:rFonts w:ascii="Calibri" w:cs="Calibri" w:eastAsia="Calibri" w:hAnsi="Calibri"/>
                <w:color w:val="111111"/>
                <w:sz w:val="22"/>
                <w:szCs w:val="22"/>
              </w:rPr>
              <w:t xml:space="preserve">5–7 working days</w:t>
            </w:r>
          </w:p>
          <w:p>
            <w:pPr>
              <w:spacing w:after="80" w:before="0" w:line="300"/>
            </w:pPr>
            <w:r>
              <w:rPr>
                <w:rFonts w:ascii="Calibri" w:cs="Calibri" w:eastAsia="Calibri" w:hAnsi="Calibri"/>
                <w:b/>
                <w:bCs/>
                <w:color w:val="111111"/>
                <w:sz w:val="22"/>
                <w:szCs w:val="22"/>
              </w:rPr>
              <w:t xml:space="preserve">Total elapsed — </w:t>
            </w:r>
            <w:r>
              <w:rPr>
                <w:rFonts w:ascii="Calibri" w:cs="Calibri" w:eastAsia="Calibri" w:hAnsi="Calibri"/>
                <w:color w:val="111111"/>
                <w:sz w:val="22"/>
                <w:szCs w:val="22"/>
              </w:rPr>
              <w:t xml:space="preserve">4–6 weeks with a small team of three</w:t>
            </w:r>
          </w:p>
        </w:tc>
      </w:tr>
    </w:tbl>
    <w:p>
      <w:pPr>
        <w:spacing w:after="120"/>
      </w:pPr>
      <w:r>
        <w:t xml:space="preserve"/>
      </w:r>
    </w:p>
    <w:tbl>
      <w:tblPr>
        <w:tblW w:type="dxa" w:w="9360"/>
        <w:tblBorders>
          <w:top w:val="single" w:color="1F4E79" w:sz="4"/>
          <w:left w:val="single" w:color="1F4E79" w:sz="24"/>
          <w:bottom w:val="single" w:color="1F4E79" w:sz="4"/>
          <w:right w:val="single" w:color="1F4E79" w:sz="4"/>
          <w:insideH w:val="none" w:color="FFFFFF" w:sz="0"/>
          <w:insideV w:val="none" w:color="FFFFFF" w:sz="0"/>
        </w:tblBorders>
      </w:tblPr>
      <w:tblGrid>
        <w:gridCol w:w="9360"/>
      </w:tblGrid>
      <w:tr>
        <w:tc>
          <w:tcPr>
            <w:tcW w:type="dxa" w:w="9360"/>
            <w:shd w:fill="E9EFF7" w:color="auto" w:val="clear"/>
            <w:tcMar>
              <w:top w:type="dxa" w:w="160"/>
              <w:left w:type="dxa" w:w="220"/>
              <w:bottom w:type="dxa" w:w="160"/>
              <w:right w:type="dxa" w:w="220"/>
            </w:tcMar>
          </w:tcPr>
          <w:p>
            <w:pPr>
              <w:spacing w:after="100" w:before="40"/>
            </w:pPr>
            <w:r>
              <w:rPr>
                <w:rFonts w:ascii="Calibri" w:cs="Calibri" w:eastAsia="Calibri" w:hAnsi="Calibri"/>
                <w:b/>
                <w:bCs/>
                <w:color w:val="1F4E79"/>
                <w:spacing w:val="60"/>
                <w:sz w:val="18"/>
                <w:szCs w:val="18"/>
              </w:rPr>
              <w:t xml:space="preserve">BEST SELLING POINT</w:t>
            </w:r>
          </w:p>
          <w:p>
            <w:pPr>
              <w:spacing w:after="40" w:before="0" w:line="300"/>
            </w:pPr>
            <w:r>
              <w:rPr>
                <w:rFonts w:ascii="Calibri" w:cs="Calibri" w:eastAsia="Calibri" w:hAnsi="Calibri"/>
                <w:b w:val="false"/>
                <w:bCs w:val="false"/>
                <w:i w:val="false"/>
                <w:iCs w:val="false"/>
                <w:color w:val="111111"/>
                <w:sz w:val="22"/>
                <w:szCs w:val="22"/>
              </w:rPr>
              <w:t xml:space="preserve">Plan A is the version the client will want to buy once they have seen a demo of Plan B or Plan C. Presented as the post-approval roadmap, it converts an approved demo into a full engagement without a second sales cycle. It is the answer to "what does phase two look like," and it should close every demo deck.</w:t>
            </w:r>
          </w:p>
        </w:tc>
      </w:tr>
    </w:tbl>
    <w:p>
      <w:r>
        <w:br w:type="page"/>
      </w:r>
    </w:p>
    <w:p>
      <w:pPr>
        <w:spacing w:after="60" w:before="40"/>
      </w:pPr>
      <w:r>
        <w:rPr>
          <w:rFonts w:ascii="Calibri" w:cs="Calibri" w:eastAsia="Calibri" w:hAnsi="Calibri"/>
          <w:b/>
          <w:bCs/>
          <w:color w:val="5A5A5A"/>
          <w:spacing w:val="40"/>
          <w:sz w:val="16"/>
          <w:szCs w:val="16"/>
        </w:rPr>
        <w:t xml:space="preserve">PLAN B</w:t>
      </w:r>
    </w:p>
    <w:p>
      <w:pPr>
        <w:spacing w:after="80" w:before="0"/>
      </w:pPr>
      <w:r>
        <w:rPr>
          <w:rFonts w:ascii="Calibri" w:cs="Calibri" w:eastAsia="Calibri" w:hAnsi="Calibri"/>
          <w:b/>
          <w:bCs/>
          <w:color w:val="111111"/>
          <w:sz w:val="36"/>
          <w:szCs w:val="36"/>
        </w:rPr>
        <w:t xml:space="preserve">Depth over breadth</w:t>
      </w:r>
    </w:p>
    <w:p>
      <w:pPr>
        <w:spacing w:after="200" w:before="0" w:line="300"/>
      </w:pPr>
      <w:r>
        <w:rPr>
          <w:rFonts w:ascii="Calibri" w:cs="Calibri" w:eastAsia="Calibri" w:hAnsi="Calibri"/>
          <w:i/>
          <w:iCs/>
          <w:color w:val="5A5A5A"/>
          <w:sz w:val="22"/>
          <w:szCs w:val="22"/>
        </w:rPr>
        <w:t xml:space="preserve">One training artifact, one lifecycle scenario, played through all three seats, built to a genuinely finished standard.</w:t>
      </w:r>
    </w:p>
    <w:tbl>
      <w:tblPr>
        <w:tblW w:type="dxa" w:w="9360"/>
        <w:tblBorders>
          <w:top w:val="single" w:color="1F4E79" w:sz="4"/>
          <w:left w:val="single" w:color="1F4E79" w:sz="24"/>
          <w:bottom w:val="single" w:color="1F4E79" w:sz="4"/>
          <w:right w:val="single" w:color="1F4E79" w:sz="4"/>
          <w:insideH w:val="none" w:color="FFFFFF" w:sz="0"/>
          <w:insideV w:val="none" w:color="FFFFFF" w:sz="0"/>
        </w:tblBorders>
      </w:tblPr>
      <w:tblGrid>
        <w:gridCol w:w="9360"/>
      </w:tblGrid>
      <w:tr>
        <w:tc>
          <w:tcPr>
            <w:tcW w:type="dxa" w:w="9360"/>
            <w:shd w:fill="F1F3F6" w:color="auto" w:val="clear"/>
            <w:tcMar>
              <w:top w:type="dxa" w:w="160"/>
              <w:left w:type="dxa" w:w="220"/>
              <w:bottom w:type="dxa" w:w="160"/>
              <w:right w:type="dxa" w:w="220"/>
            </w:tcMar>
          </w:tcPr>
          <w:p>
            <w:pPr>
              <w:spacing w:after="100" w:before="40"/>
            </w:pPr>
            <w:r>
              <w:rPr>
                <w:rFonts w:ascii="Calibri" w:cs="Calibri" w:eastAsia="Calibri" w:hAnsi="Calibri"/>
                <w:b/>
                <w:bCs/>
                <w:color w:val="1F4E79"/>
                <w:spacing w:val="60"/>
                <w:sz w:val="18"/>
                <w:szCs w:val="18"/>
              </w:rPr>
              <w:t xml:space="preserve">REASON</w:t>
            </w:r>
          </w:p>
          <w:p>
            <w:pPr>
              <w:spacing w:after="100" w:before="0" w:line="300"/>
            </w:pPr>
            <w:r>
              <w:rPr>
                <w:rFonts w:ascii="Calibri" w:cs="Calibri" w:eastAsia="Calibri" w:hAnsi="Calibri"/>
                <w:b w:val="false"/>
                <w:bCs w:val="false"/>
                <w:i w:val="false"/>
                <w:iCs w:val="false"/>
                <w:color w:val="111111"/>
                <w:sz w:val="22"/>
                <w:szCs w:val="22"/>
              </w:rPr>
              <w:t xml:space="preserve">Two days is enough time to build one thing well. Plan B accepts that constraint and picks the training module as the one artifact worth building. The scenario is the occluded-cyclist chain: the trainee plays triage first, then MPCI, then labeling, watching the same event move through their hands three times in three different registers.</w:t>
            </w:r>
          </w:p>
          <w:p>
            <w:pPr>
              <w:spacing w:after="100" w:before="0" w:line="300"/>
            </w:pPr>
            <w:r>
              <w:rPr>
                <w:rFonts w:ascii="Calibri" w:cs="Calibri" w:eastAsia="Calibri" w:hAnsi="Calibri"/>
                <w:b w:val="false"/>
                <w:bCs w:val="false"/>
                <w:i w:val="false"/>
                <w:iCs w:val="false"/>
                <w:color w:val="111111"/>
                <w:sz w:val="22"/>
                <w:szCs w:val="22"/>
              </w:rPr>
              <w:t xml:space="preserve">The assessment is not built for the demo. The pitch deck presents it as the immediate next phase, alongside training scenarios two and three, so the client sees a working demo plus a spec'd forward roadmap rather than three half-built pieces.</w:t>
            </w:r>
          </w:p>
        </w:tc>
      </w:tr>
    </w:tbl>
    <w:p>
      <w:pPr>
        <w:spacing w:after="120"/>
      </w:pPr>
      <w:r>
        <w:t xml:space="preserve"/>
      </w:r>
    </w:p>
    <w:tbl>
      <w:tblPr>
        <w:tblW w:type="dxa" w:w="9360"/>
        <w:tblBorders>
          <w:top w:val="single" w:color="3B7A2F" w:sz="4"/>
          <w:left w:val="single" w:color="3B7A2F" w:sz="24"/>
          <w:bottom w:val="single" w:color="3B7A2F" w:sz="4"/>
          <w:right w:val="single" w:color="3B7A2F" w:sz="4"/>
          <w:insideH w:val="none" w:color="FFFFFF" w:sz="0"/>
          <w:insideV w:val="none" w:color="FFFFFF" w:sz="0"/>
        </w:tblBorders>
      </w:tblPr>
      <w:tblGrid>
        <w:gridCol w:w="9360"/>
      </w:tblGrid>
      <w:tr>
        <w:tc>
          <w:tcPr>
            <w:tcW w:type="dxa" w:w="9360"/>
            <w:shd w:fill="EFF5EC" w:color="auto" w:val="clear"/>
            <w:tcMar>
              <w:top w:type="dxa" w:w="160"/>
              <w:left w:type="dxa" w:w="220"/>
              <w:bottom w:type="dxa" w:w="160"/>
              <w:right w:type="dxa" w:w="220"/>
            </w:tcMar>
          </w:tcPr>
          <w:p>
            <w:pPr>
              <w:spacing w:after="100" w:before="40"/>
            </w:pPr>
            <w:r>
              <w:rPr>
                <w:rFonts w:ascii="Calibri" w:cs="Calibri" w:eastAsia="Calibri" w:hAnsi="Calibri"/>
                <w:b/>
                <w:bCs/>
                <w:color w:val="3B7A2F"/>
                <w:spacing w:val="60"/>
                <w:sz w:val="18"/>
                <w:szCs w:val="18"/>
              </w:rPr>
              <w:t xml:space="preserve">THE HIT</w:t>
            </w:r>
          </w:p>
          <w:p>
            <w:pPr>
              <w:pStyle w:val="ListParagraph"/>
              <w:numPr>
                <w:ilvl w:val="0"/>
                <w:numId w:val="2"/>
              </w:numPr>
              <w:spacing w:after="80" w:before="0" w:line="300"/>
            </w:pPr>
            <w:r>
              <w:rPr>
                <w:rFonts w:ascii="Calibri" w:cs="Calibri" w:eastAsia="Calibri" w:hAnsi="Calibri"/>
                <w:color w:val="111111"/>
                <w:sz w:val="22"/>
                <w:szCs w:val="22"/>
              </w:rPr>
              <w:t xml:space="preserve">The safest option on a two-day clock. Even if the first day slips, Plan B survives.</w:t>
            </w:r>
          </w:p>
          <w:p>
            <w:pPr>
              <w:pStyle w:val="ListParagraph"/>
              <w:numPr>
                <w:ilvl w:val="0"/>
                <w:numId w:val="2"/>
              </w:numPr>
              <w:spacing w:after="80" w:before="0" w:line="300"/>
            </w:pPr>
            <w:r>
              <w:rPr>
                <w:rFonts w:ascii="Calibri" w:cs="Calibri" w:eastAsia="Calibri" w:hAnsi="Calibri"/>
                <w:color w:val="111111"/>
                <w:sz w:val="22"/>
                <w:szCs w:val="22"/>
              </w:rPr>
              <w:t xml:space="preserve">The training module is the pitch. It shows the client that you understand the workflow, which is what they are actually buying.</w:t>
            </w:r>
          </w:p>
          <w:p>
            <w:pPr>
              <w:pStyle w:val="ListParagraph"/>
              <w:numPr>
                <w:ilvl w:val="0"/>
                <w:numId w:val="2"/>
              </w:numPr>
              <w:spacing w:after="80" w:before="0" w:line="300"/>
            </w:pPr>
            <w:r>
              <w:rPr>
                <w:rFonts w:ascii="Calibri" w:cs="Calibri" w:eastAsia="Calibri" w:hAnsi="Calibri"/>
                <w:color w:val="111111"/>
                <w:sz w:val="22"/>
                <w:szCs w:val="22"/>
              </w:rPr>
              <w:t xml:space="preserve">Single-artifact focus permits real polish — consequence chains that visibly land, transitions between seats that feel authored, copy that reads like domain experts wrote it.</w:t>
            </w:r>
          </w:p>
          <w:p>
            <w:pPr>
              <w:pStyle w:val="ListParagraph"/>
              <w:numPr>
                <w:ilvl w:val="0"/>
                <w:numId w:val="2"/>
              </w:numPr>
              <w:spacing w:after="80" w:before="0" w:line="300"/>
            </w:pPr>
            <w:r>
              <w:rPr>
                <w:rFonts w:ascii="Calibri" w:cs="Calibri" w:eastAsia="Calibri" w:hAnsi="Calibri"/>
                <w:color w:val="111111"/>
                <w:sz w:val="22"/>
                <w:szCs w:val="22"/>
              </w:rPr>
              <w:t xml:space="preserve">The full three-role coverage the client asked for is preserved. Only the number of scenarios shrinks.</w:t>
            </w:r>
          </w:p>
          <w:p>
            <w:pPr>
              <w:pStyle w:val="ListParagraph"/>
              <w:numPr>
                <w:ilvl w:val="0"/>
                <w:numId w:val="2"/>
              </w:numPr>
              <w:spacing w:after="80" w:before="0" w:line="300"/>
            </w:pPr>
            <w:r>
              <w:rPr>
                <w:rFonts w:ascii="Calibri" w:cs="Calibri" w:eastAsia="Calibri" w:hAnsi="Calibri"/>
                <w:color w:val="111111"/>
                <w:sz w:val="22"/>
                <w:szCs w:val="22"/>
              </w:rPr>
              <w:t xml:space="preserve">Post-approval, extending to scenarios two and three is additive work, not rework. The scoring engine and assessment shell come after, with clear scope.</w:t>
            </w:r>
          </w:p>
        </w:tc>
      </w:tr>
    </w:tbl>
    <w:p>
      <w:pPr>
        <w:spacing w:after="120"/>
      </w:pPr>
      <w:r>
        <w:t xml:space="preserve"/>
      </w:r>
    </w:p>
    <w:tbl>
      <w:tblPr>
        <w:tblW w:type="dxa" w:w="9360"/>
        <w:tblBorders>
          <w:top w:val="single" w:color="A63A1F" w:sz="4"/>
          <w:left w:val="single" w:color="A63A1F" w:sz="24"/>
          <w:bottom w:val="single" w:color="A63A1F" w:sz="4"/>
          <w:right w:val="single" w:color="A63A1F" w:sz="4"/>
          <w:insideH w:val="none" w:color="FFFFFF" w:sz="0"/>
          <w:insideV w:val="none" w:color="FFFFFF" w:sz="0"/>
        </w:tblBorders>
      </w:tblPr>
      <w:tblGrid>
        <w:gridCol w:w="9360"/>
      </w:tblGrid>
      <w:tr>
        <w:tc>
          <w:tcPr>
            <w:tcW w:type="dxa" w:w="9360"/>
            <w:shd w:fill="FBEEEA" w:color="auto" w:val="clear"/>
            <w:tcMar>
              <w:top w:type="dxa" w:w="160"/>
              <w:left w:type="dxa" w:w="220"/>
              <w:bottom w:type="dxa" w:w="160"/>
              <w:right w:type="dxa" w:w="220"/>
            </w:tcMar>
          </w:tcPr>
          <w:p>
            <w:pPr>
              <w:spacing w:after="100" w:before="40"/>
            </w:pPr>
            <w:r>
              <w:rPr>
                <w:rFonts w:ascii="Calibri" w:cs="Calibri" w:eastAsia="Calibri" w:hAnsi="Calibri"/>
                <w:b/>
                <w:bCs/>
                <w:color w:val="A63A1F"/>
                <w:spacing w:val="60"/>
                <w:sz w:val="18"/>
                <w:szCs w:val="18"/>
              </w:rPr>
              <w:t xml:space="preserve">THE MISS</w:t>
            </w:r>
          </w:p>
          <w:p>
            <w:pPr>
              <w:pStyle w:val="ListParagraph"/>
              <w:numPr>
                <w:ilvl w:val="0"/>
                <w:numId w:val="2"/>
              </w:numPr>
              <w:spacing w:after="80" w:before="0" w:line="300"/>
            </w:pPr>
            <w:r>
              <w:rPr>
                <w:rFonts w:ascii="Calibri" w:cs="Calibri" w:eastAsia="Calibri" w:hAnsi="Calibri"/>
                <w:color w:val="111111"/>
                <w:sz w:val="22"/>
                <w:szCs w:val="22"/>
              </w:rPr>
              <w:t xml:space="preserve">Delivers one artifact where the client asked for two. If the client audience specifically wants to see the assessment side of the pitch, Plan B does not answer that.</w:t>
            </w:r>
          </w:p>
          <w:p>
            <w:pPr>
              <w:pStyle w:val="ListParagraph"/>
              <w:numPr>
                <w:ilvl w:val="0"/>
                <w:numId w:val="2"/>
              </w:numPr>
              <w:spacing w:after="80" w:before="0" w:line="300"/>
            </w:pPr>
            <w:r>
              <w:rPr>
                <w:rFonts w:ascii="Calibri" w:cs="Calibri" w:eastAsia="Calibri" w:hAnsi="Calibri"/>
                <w:color w:val="111111"/>
                <w:sz w:val="22"/>
                <w:szCs w:val="22"/>
              </w:rPr>
              <w:t xml:space="preserve">Delivers one scenario where the client asked for three. Requires the pitch narrative to frame this as "phase one of three" rather than as the whole delivery.</w:t>
            </w:r>
          </w:p>
          <w:p>
            <w:pPr>
              <w:pStyle w:val="ListParagraph"/>
              <w:numPr>
                <w:ilvl w:val="0"/>
                <w:numId w:val="2"/>
              </w:numPr>
              <w:spacing w:after="80" w:before="0" w:line="300"/>
            </w:pPr>
            <w:r>
              <w:rPr>
                <w:rFonts w:ascii="Calibri" w:cs="Calibri" w:eastAsia="Calibri" w:hAnsi="Calibri"/>
                <w:color w:val="111111"/>
                <w:sz w:val="22"/>
                <w:szCs w:val="22"/>
              </w:rPr>
              <w:t xml:space="preserve">The learning-rate mechanic and aptitude-specific scoring from Plan A are absent, so no candidate-fit profile emerges from the demo.</w:t>
            </w:r>
          </w:p>
          <w:p>
            <w:pPr>
              <w:pStyle w:val="ListParagraph"/>
              <w:numPr>
                <w:ilvl w:val="0"/>
                <w:numId w:val="2"/>
              </w:numPr>
              <w:spacing w:after="80" w:before="0" w:line="300"/>
            </w:pPr>
            <w:r>
              <w:rPr>
                <w:rFonts w:ascii="Calibri" w:cs="Calibri" w:eastAsia="Calibri" w:hAnsi="Calibri"/>
                <w:color w:val="111111"/>
                <w:sz w:val="22"/>
                <w:szCs w:val="22"/>
              </w:rPr>
              <w:t xml:space="preserve">Less visually varied than Plan C — the demo carries on strength of interaction, not breadth of screens.</w:t>
            </w:r>
          </w:p>
        </w:tc>
      </w:tr>
    </w:tbl>
    <w:p>
      <w:pPr>
        <w:spacing w:after="120"/>
      </w:pPr>
      <w:r>
        <w:t xml:space="preserve"/>
      </w:r>
    </w:p>
    <w:tbl>
      <w:tblPr>
        <w:tblW w:type="dxa" w:w="9360"/>
        <w:tblBorders>
          <w:top w:val="single" w:color="8A6D1A" w:sz="4"/>
          <w:left w:val="single" w:color="8A6D1A" w:sz="24"/>
          <w:bottom w:val="single" w:color="8A6D1A" w:sz="4"/>
          <w:right w:val="single" w:color="8A6D1A" w:sz="4"/>
          <w:insideH w:val="none" w:color="FFFFFF" w:sz="0"/>
          <w:insideV w:val="none" w:color="FFFFFF" w:sz="0"/>
        </w:tblBorders>
      </w:tblPr>
      <w:tblGrid>
        <w:gridCol w:w="9360"/>
      </w:tblGrid>
      <w:tr>
        <w:tc>
          <w:tcPr>
            <w:tcW w:type="dxa" w:w="9360"/>
            <w:shd w:fill="F4EFE4" w:color="auto" w:val="clear"/>
            <w:tcMar>
              <w:top w:type="dxa" w:w="160"/>
              <w:left w:type="dxa" w:w="220"/>
              <w:bottom w:type="dxa" w:w="160"/>
              <w:right w:type="dxa" w:w="220"/>
            </w:tcMar>
          </w:tcPr>
          <w:p>
            <w:pPr>
              <w:spacing w:after="100" w:before="40"/>
            </w:pPr>
            <w:r>
              <w:rPr>
                <w:rFonts w:ascii="Calibri" w:cs="Calibri" w:eastAsia="Calibri" w:hAnsi="Calibri"/>
                <w:b/>
                <w:bCs/>
                <w:color w:val="8A6D1A"/>
                <w:spacing w:val="60"/>
                <w:sz w:val="18"/>
                <w:szCs w:val="18"/>
              </w:rPr>
              <w:t xml:space="preserve">DEVELOPMENT TIME</w:t>
            </w:r>
          </w:p>
          <w:p>
            <w:pPr>
              <w:spacing w:after="80" w:before="0" w:line="300"/>
            </w:pPr>
            <w:r>
              <w:rPr>
                <w:rFonts w:ascii="Calibri" w:cs="Calibri" w:eastAsia="Calibri" w:hAnsi="Calibri"/>
                <w:b/>
                <w:bCs/>
                <w:color w:val="111111"/>
                <w:sz w:val="22"/>
                <w:szCs w:val="22"/>
              </w:rPr>
              <w:t xml:space="preserve">Design and copy — </w:t>
            </w:r>
            <w:r>
              <w:rPr>
                <w:rFonts w:ascii="Calibri" w:cs="Calibri" w:eastAsia="Calibri" w:hAnsi="Calibri"/>
                <w:color w:val="111111"/>
                <w:sz w:val="22"/>
                <w:szCs w:val="22"/>
              </w:rPr>
              <w:t xml:space="preserve">0.5 day</w:t>
            </w:r>
          </w:p>
          <w:p>
            <w:pPr>
              <w:spacing w:after="80" w:before="0" w:line="300"/>
            </w:pPr>
            <w:r>
              <w:rPr>
                <w:rFonts w:ascii="Calibri" w:cs="Calibri" w:eastAsia="Calibri" w:hAnsi="Calibri"/>
                <w:b/>
                <w:bCs/>
                <w:color w:val="111111"/>
                <w:sz w:val="22"/>
                <w:szCs w:val="22"/>
              </w:rPr>
              <w:t xml:space="preserve">Front-end build — </w:t>
            </w:r>
            <w:r>
              <w:rPr>
                <w:rFonts w:ascii="Calibri" w:cs="Calibri" w:eastAsia="Calibri" w:hAnsi="Calibri"/>
                <w:color w:val="111111"/>
                <w:sz w:val="22"/>
                <w:szCs w:val="22"/>
              </w:rPr>
              <w:t xml:space="preserve">1 day</w:t>
            </w:r>
          </w:p>
          <w:p>
            <w:pPr>
              <w:spacing w:after="80" w:before="0" w:line="300"/>
            </w:pPr>
            <w:r>
              <w:rPr>
                <w:rFonts w:ascii="Calibri" w:cs="Calibri" w:eastAsia="Calibri" w:hAnsi="Calibri"/>
                <w:b/>
                <w:bCs/>
                <w:color w:val="111111"/>
                <w:sz w:val="22"/>
                <w:szCs w:val="22"/>
              </w:rPr>
              <w:t xml:space="preserve">Polish, pacing, and rehearsal — </w:t>
            </w:r>
            <w:r>
              <w:rPr>
                <w:rFonts w:ascii="Calibri" w:cs="Calibri" w:eastAsia="Calibri" w:hAnsi="Calibri"/>
                <w:color w:val="111111"/>
                <w:sz w:val="22"/>
                <w:szCs w:val="22"/>
              </w:rPr>
              <w:t xml:space="preserve">0.5 day</w:t>
            </w:r>
          </w:p>
          <w:p>
            <w:pPr>
              <w:spacing w:after="80" w:before="0" w:line="300"/>
            </w:pPr>
            <w:r>
              <w:rPr>
                <w:rFonts w:ascii="Calibri" w:cs="Calibri" w:eastAsia="Calibri" w:hAnsi="Calibri"/>
                <w:b/>
                <w:bCs/>
                <w:color w:val="111111"/>
                <w:sz w:val="22"/>
                <w:szCs w:val="22"/>
              </w:rPr>
              <w:t xml:space="preserve">Total elapsed — </w:t>
            </w:r>
            <w:r>
              <w:rPr>
                <w:rFonts w:ascii="Calibri" w:cs="Calibri" w:eastAsia="Calibri" w:hAnsi="Calibri"/>
                <w:color w:val="111111"/>
                <w:sz w:val="22"/>
                <w:szCs w:val="22"/>
              </w:rPr>
              <w:t xml:space="preserve">2 days, with reserve</w:t>
            </w:r>
          </w:p>
        </w:tc>
      </w:tr>
    </w:tbl>
    <w:p>
      <w:pPr>
        <w:spacing w:after="120"/>
      </w:pPr>
      <w:r>
        <w:t xml:space="preserve"/>
      </w:r>
    </w:p>
    <w:tbl>
      <w:tblPr>
        <w:tblW w:type="dxa" w:w="9360"/>
        <w:tblBorders>
          <w:top w:val="single" w:color="1F4E79" w:sz="4"/>
          <w:left w:val="single" w:color="1F4E79" w:sz="24"/>
          <w:bottom w:val="single" w:color="1F4E79" w:sz="4"/>
          <w:right w:val="single" w:color="1F4E79" w:sz="4"/>
          <w:insideH w:val="none" w:color="FFFFFF" w:sz="0"/>
          <w:insideV w:val="none" w:color="FFFFFF" w:sz="0"/>
        </w:tblBorders>
      </w:tblPr>
      <w:tblGrid>
        <w:gridCol w:w="9360"/>
      </w:tblGrid>
      <w:tr>
        <w:tc>
          <w:tcPr>
            <w:tcW w:type="dxa" w:w="9360"/>
            <w:shd w:fill="E9EFF7" w:color="auto" w:val="clear"/>
            <w:tcMar>
              <w:top w:type="dxa" w:w="160"/>
              <w:left w:type="dxa" w:w="220"/>
              <w:bottom w:type="dxa" w:w="160"/>
              <w:right w:type="dxa" w:w="220"/>
            </w:tcMar>
          </w:tcPr>
          <w:p>
            <w:pPr>
              <w:spacing w:after="100" w:before="40"/>
            </w:pPr>
            <w:r>
              <w:rPr>
                <w:rFonts w:ascii="Calibri" w:cs="Calibri" w:eastAsia="Calibri" w:hAnsi="Calibri"/>
                <w:b/>
                <w:bCs/>
                <w:color w:val="1F4E79"/>
                <w:spacing w:val="60"/>
                <w:sz w:val="18"/>
                <w:szCs w:val="18"/>
              </w:rPr>
              <w:t xml:space="preserve">BEST SELLING POINT</w:t>
            </w:r>
          </w:p>
          <w:p>
            <w:pPr>
              <w:spacing w:after="40" w:before="0" w:line="300"/>
            </w:pPr>
            <w:r>
              <w:rPr>
                <w:rFonts w:ascii="Calibri" w:cs="Calibri" w:eastAsia="Calibri" w:hAnsi="Calibri"/>
                <w:b w:val="false"/>
                <w:bCs w:val="false"/>
                <w:i w:val="false"/>
                <w:iCs w:val="false"/>
                <w:color w:val="111111"/>
                <w:sz w:val="22"/>
                <w:szCs w:val="22"/>
              </w:rPr>
              <w:t xml:space="preserve">Plan B is the option that will survive the room. In a demo, one finished artifact that lands cleanly beats two rough artifacts every time. The selling point is quality — the client leaves the room saying "if this is what they build in two days, imagine phase two," which is the exact reaction that closes engagements.</w:t>
            </w:r>
          </w:p>
        </w:tc>
      </w:tr>
    </w:tbl>
    <w:p>
      <w:r>
        <w:br w:type="page"/>
      </w:r>
    </w:p>
    <w:p>
      <w:pPr>
        <w:spacing w:after="60" w:before="40"/>
      </w:pPr>
      <w:r>
        <w:rPr>
          <w:rFonts w:ascii="Calibri" w:cs="Calibri" w:eastAsia="Calibri" w:hAnsi="Calibri"/>
          <w:b/>
          <w:bCs/>
          <w:color w:val="5A5A5A"/>
          <w:spacing w:val="40"/>
          <w:sz w:val="16"/>
          <w:szCs w:val="16"/>
        </w:rPr>
        <w:t xml:space="preserve">PLAN C</w:t>
      </w:r>
    </w:p>
    <w:p>
      <w:pPr>
        <w:spacing w:after="80" w:before="0"/>
      </w:pPr>
      <w:r>
        <w:rPr>
          <w:rFonts w:ascii="Calibri" w:cs="Calibri" w:eastAsia="Calibri" w:hAnsi="Calibri"/>
          <w:b/>
          <w:bCs/>
          <w:color w:val="111111"/>
          <w:sz w:val="36"/>
          <w:szCs w:val="36"/>
        </w:rPr>
        <w:t xml:space="preserve">Shared shell, both modes</w:t>
      </w:r>
    </w:p>
    <w:p>
      <w:pPr>
        <w:spacing w:after="200" w:before="0" w:line="300"/>
      </w:pPr>
      <w:r>
        <w:rPr>
          <w:rFonts w:ascii="Calibri" w:cs="Calibri" w:eastAsia="Calibri" w:hAnsi="Calibri"/>
          <w:i/>
          <w:iCs/>
          <w:color w:val="5A5A5A"/>
          <w:sz w:val="22"/>
          <w:szCs w:val="22"/>
        </w:rPr>
        <w:t xml:space="preserve">One prototype with two modes — guided training and unguided scored assessment — over three role-station scenarios sharing a single incident.</w:t>
      </w:r>
    </w:p>
    <w:tbl>
      <w:tblPr>
        <w:tblW w:type="dxa" w:w="9360"/>
        <w:tblBorders>
          <w:top w:val="single" w:color="1F4E79" w:sz="4"/>
          <w:left w:val="single" w:color="1F4E79" w:sz="24"/>
          <w:bottom w:val="single" w:color="1F4E79" w:sz="4"/>
          <w:right w:val="single" w:color="1F4E79" w:sz="4"/>
          <w:insideH w:val="none" w:color="FFFFFF" w:sz="0"/>
          <w:insideV w:val="none" w:color="FFFFFF" w:sz="0"/>
        </w:tblBorders>
      </w:tblPr>
      <w:tblGrid>
        <w:gridCol w:w="9360"/>
      </w:tblGrid>
      <w:tr>
        <w:tc>
          <w:tcPr>
            <w:tcW w:type="dxa" w:w="9360"/>
            <w:shd w:fill="F1F3F6" w:color="auto" w:val="clear"/>
            <w:tcMar>
              <w:top w:type="dxa" w:w="160"/>
              <w:left w:type="dxa" w:w="220"/>
              <w:bottom w:type="dxa" w:w="160"/>
              <w:right w:type="dxa" w:w="220"/>
            </w:tcMar>
          </w:tcPr>
          <w:p>
            <w:pPr>
              <w:spacing w:after="100" w:before="40"/>
            </w:pPr>
            <w:r>
              <w:rPr>
                <w:rFonts w:ascii="Calibri" w:cs="Calibri" w:eastAsia="Calibri" w:hAnsi="Calibri"/>
                <w:b/>
                <w:bCs/>
                <w:color w:val="1F4E79"/>
                <w:spacing w:val="60"/>
                <w:sz w:val="18"/>
                <w:szCs w:val="18"/>
              </w:rPr>
              <w:t xml:space="preserve">REASON</w:t>
            </w:r>
          </w:p>
          <w:p>
            <w:pPr>
              <w:spacing w:after="100" w:before="0" w:line="300"/>
            </w:pPr>
            <w:r>
              <w:rPr>
                <w:rFonts w:ascii="Calibri" w:cs="Calibri" w:eastAsia="Calibri" w:hAnsi="Calibri"/>
                <w:b w:val="false"/>
                <w:bCs w:val="false"/>
                <w:i w:val="false"/>
                <w:iCs w:val="false"/>
                <w:color w:val="111111"/>
                <w:sz w:val="22"/>
                <w:szCs w:val="22"/>
              </w:rPr>
              <w:t xml:space="preserve">The client asked for both a training module and an assessment. Plan C delivers both, but builds them as one interactive prototype with a mode toggle at the top: guided training mode with hints and consequence reveals, or unguided assessment mode with a timer and a score. The three scenarios in each mode are the three seats (triage, MPCI, labeling) working the same occluded-cyclist incident.</w:t>
            </w:r>
          </w:p>
          <w:p>
            <w:pPr>
              <w:spacing w:after="100" w:before="0" w:line="300"/>
            </w:pPr>
            <w:r>
              <w:rPr>
                <w:rFonts w:ascii="Calibri" w:cs="Calibri" w:eastAsia="Calibri" w:hAnsi="Calibri"/>
                <w:b w:val="false"/>
                <w:bCs w:val="false"/>
                <w:i w:val="false"/>
                <w:iCs w:val="false"/>
                <w:color w:val="111111"/>
                <w:sz w:val="22"/>
                <w:szCs w:val="22"/>
              </w:rPr>
              <w:t xml:space="preserve">This works because training and assessment already share most of their infrastructure — the same taxonomy, the same event, the same decision surfaces. Plan C exploits that overlap deliberately rather than building the same shell twice.</w:t>
            </w:r>
          </w:p>
        </w:tc>
      </w:tr>
    </w:tbl>
    <w:p>
      <w:pPr>
        <w:spacing w:after="120"/>
      </w:pPr>
      <w:r>
        <w:t xml:space="preserve"/>
      </w:r>
    </w:p>
    <w:tbl>
      <w:tblPr>
        <w:tblW w:type="dxa" w:w="9360"/>
        <w:tblBorders>
          <w:top w:val="single" w:color="3B7A2F" w:sz="4"/>
          <w:left w:val="single" w:color="3B7A2F" w:sz="24"/>
          <w:bottom w:val="single" w:color="3B7A2F" w:sz="4"/>
          <w:right w:val="single" w:color="3B7A2F" w:sz="4"/>
          <w:insideH w:val="none" w:color="FFFFFF" w:sz="0"/>
          <w:insideV w:val="none" w:color="FFFFFF" w:sz="0"/>
        </w:tblBorders>
      </w:tblPr>
      <w:tblGrid>
        <w:gridCol w:w="9360"/>
      </w:tblGrid>
      <w:tr>
        <w:tc>
          <w:tcPr>
            <w:tcW w:type="dxa" w:w="9360"/>
            <w:shd w:fill="EFF5EC" w:color="auto" w:val="clear"/>
            <w:tcMar>
              <w:top w:type="dxa" w:w="160"/>
              <w:left w:type="dxa" w:w="220"/>
              <w:bottom w:type="dxa" w:w="160"/>
              <w:right w:type="dxa" w:w="220"/>
            </w:tcMar>
          </w:tcPr>
          <w:p>
            <w:pPr>
              <w:spacing w:after="100" w:before="40"/>
            </w:pPr>
            <w:r>
              <w:rPr>
                <w:rFonts w:ascii="Calibri" w:cs="Calibri" w:eastAsia="Calibri" w:hAnsi="Calibri"/>
                <w:b/>
                <w:bCs/>
                <w:color w:val="3B7A2F"/>
                <w:spacing w:val="60"/>
                <w:sz w:val="18"/>
                <w:szCs w:val="18"/>
              </w:rPr>
              <w:t xml:space="preserve">THE HIT</w:t>
            </w:r>
          </w:p>
          <w:p>
            <w:pPr>
              <w:pStyle w:val="ListParagraph"/>
              <w:numPr>
                <w:ilvl w:val="0"/>
                <w:numId w:val="2"/>
              </w:numPr>
              <w:spacing w:after="80" w:before="0" w:line="300"/>
            </w:pPr>
            <w:r>
              <w:rPr>
                <w:rFonts w:ascii="Calibri" w:cs="Calibri" w:eastAsia="Calibri" w:hAnsi="Calibri"/>
                <w:color w:val="111111"/>
                <w:sz w:val="22"/>
                <w:szCs w:val="22"/>
              </w:rPr>
              <w:t xml:space="preserve">Delivers both artifacts the client asked for, with three scenarios in each. Meets the letter of the brief.</w:t>
            </w:r>
          </w:p>
          <w:p>
            <w:pPr>
              <w:pStyle w:val="ListParagraph"/>
              <w:numPr>
                <w:ilvl w:val="0"/>
                <w:numId w:val="2"/>
              </w:numPr>
              <w:spacing w:after="80" w:before="0" w:line="300"/>
            </w:pPr>
            <w:r>
              <w:rPr>
                <w:rFonts w:ascii="Calibri" w:cs="Calibri" w:eastAsia="Calibri" w:hAnsi="Calibri"/>
                <w:color w:val="111111"/>
                <w:sz w:val="22"/>
                <w:szCs w:val="22"/>
              </w:rPr>
              <w:t xml:space="preserve">Switching modes live in the demo is genuinely impressive. It shows the platform underneath rather than two disconnected screens, and it plants the seed that this is a system rather than a piece of content.</w:t>
            </w:r>
          </w:p>
          <w:p>
            <w:pPr>
              <w:pStyle w:val="ListParagraph"/>
              <w:numPr>
                <w:ilvl w:val="0"/>
                <w:numId w:val="2"/>
              </w:numPr>
              <w:spacing w:after="80" w:before="0" w:line="300"/>
            </w:pPr>
            <w:r>
              <w:rPr>
                <w:rFonts w:ascii="Calibri" w:cs="Calibri" w:eastAsia="Calibri" w:hAnsi="Calibri"/>
                <w:color w:val="111111"/>
                <w:sz w:val="22"/>
                <w:szCs w:val="22"/>
              </w:rPr>
              <w:t xml:space="preserve">The shared taxonomy across training and assessment is a real quality signal to any technical evaluator in the room — it demonstrates coherent product thinking rather than two vendors' worth of stitched-together work.</w:t>
            </w:r>
          </w:p>
          <w:p>
            <w:pPr>
              <w:pStyle w:val="ListParagraph"/>
              <w:numPr>
                <w:ilvl w:val="0"/>
                <w:numId w:val="2"/>
              </w:numPr>
              <w:spacing w:after="80" w:before="0" w:line="300"/>
            </w:pPr>
            <w:r>
              <w:rPr>
                <w:rFonts w:ascii="Calibri" w:cs="Calibri" w:eastAsia="Calibri" w:hAnsi="Calibri"/>
                <w:color w:val="111111"/>
                <w:sz w:val="22"/>
                <w:szCs w:val="22"/>
              </w:rPr>
              <w:t xml:space="preserve">Post-approval, deepening the assessment mode into Plan A's aptitude scoring is additive and can be sold as a distinct phase two.</w:t>
            </w:r>
          </w:p>
        </w:tc>
      </w:tr>
    </w:tbl>
    <w:p>
      <w:pPr>
        <w:spacing w:after="120"/>
      </w:pPr>
      <w:r>
        <w:t xml:space="preserve"/>
      </w:r>
    </w:p>
    <w:tbl>
      <w:tblPr>
        <w:tblW w:type="dxa" w:w="9360"/>
        <w:tblBorders>
          <w:top w:val="single" w:color="A63A1F" w:sz="4"/>
          <w:left w:val="single" w:color="A63A1F" w:sz="24"/>
          <w:bottom w:val="single" w:color="A63A1F" w:sz="4"/>
          <w:right w:val="single" w:color="A63A1F" w:sz="4"/>
          <w:insideH w:val="none" w:color="FFFFFF" w:sz="0"/>
          <w:insideV w:val="none" w:color="FFFFFF" w:sz="0"/>
        </w:tblBorders>
      </w:tblPr>
      <w:tblGrid>
        <w:gridCol w:w="9360"/>
      </w:tblGrid>
      <w:tr>
        <w:tc>
          <w:tcPr>
            <w:tcW w:type="dxa" w:w="9360"/>
            <w:shd w:fill="FBEEEA" w:color="auto" w:val="clear"/>
            <w:tcMar>
              <w:top w:type="dxa" w:w="160"/>
              <w:left w:type="dxa" w:w="220"/>
              <w:bottom w:type="dxa" w:w="160"/>
              <w:right w:type="dxa" w:w="220"/>
            </w:tcMar>
          </w:tcPr>
          <w:p>
            <w:pPr>
              <w:spacing w:after="100" w:before="40"/>
            </w:pPr>
            <w:r>
              <w:rPr>
                <w:rFonts w:ascii="Calibri" w:cs="Calibri" w:eastAsia="Calibri" w:hAnsi="Calibri"/>
                <w:b/>
                <w:bCs/>
                <w:color w:val="A63A1F"/>
                <w:spacing w:val="60"/>
                <w:sz w:val="18"/>
                <w:szCs w:val="18"/>
              </w:rPr>
              <w:t xml:space="preserve">THE MISS</w:t>
            </w:r>
          </w:p>
          <w:p>
            <w:pPr>
              <w:pStyle w:val="ListParagraph"/>
              <w:numPr>
                <w:ilvl w:val="0"/>
                <w:numId w:val="2"/>
              </w:numPr>
              <w:spacing w:after="80" w:before="0" w:line="300"/>
            </w:pPr>
            <w:r>
              <w:rPr>
                <w:rFonts w:ascii="Calibri" w:cs="Calibri" w:eastAsia="Calibri" w:hAnsi="Calibri"/>
                <w:color w:val="111111"/>
                <w:sz w:val="22"/>
                <w:szCs w:val="22"/>
              </w:rPr>
              <w:t xml:space="preserve">Two days is tight. Any scope creep during the build — a request to add the evidence-budget mechanic, a request for a fourth station — turns Plan C into Plan B done badly.</w:t>
            </w:r>
          </w:p>
          <w:p>
            <w:pPr>
              <w:pStyle w:val="ListParagraph"/>
              <w:numPr>
                <w:ilvl w:val="0"/>
                <w:numId w:val="2"/>
              </w:numPr>
              <w:spacing w:after="80" w:before="0" w:line="300"/>
            </w:pPr>
            <w:r>
              <w:rPr>
                <w:rFonts w:ascii="Calibri" w:cs="Calibri" w:eastAsia="Calibri" w:hAnsi="Calibri"/>
                <w:color w:val="111111"/>
                <w:sz w:val="22"/>
                <w:szCs w:val="22"/>
              </w:rPr>
              <w:t xml:space="preserve">The assessment side is thinner than Plan A's. It measures decisions and their consequences, not aptitudes with psychometric rigour. A technical evaluator asking "how do you score investigative reasoning" will get an honest answer: "the scoring model is phase two."</w:t>
            </w:r>
          </w:p>
          <w:p>
            <w:pPr>
              <w:pStyle w:val="ListParagraph"/>
              <w:numPr>
                <w:ilvl w:val="0"/>
                <w:numId w:val="2"/>
              </w:numPr>
              <w:spacing w:after="80" w:before="0" w:line="300"/>
            </w:pPr>
            <w:r>
              <w:rPr>
                <w:rFonts w:ascii="Calibri" w:cs="Calibri" w:eastAsia="Calibri" w:hAnsi="Calibri"/>
                <w:color w:val="111111"/>
                <w:sz w:val="22"/>
                <w:szCs w:val="22"/>
              </w:rPr>
              <w:t xml:space="preserve">Requires the team to hold the line on scope under demo pressure. This is a real risk on any two-day build.</w:t>
            </w:r>
          </w:p>
          <w:p>
            <w:pPr>
              <w:pStyle w:val="ListParagraph"/>
              <w:numPr>
                <w:ilvl w:val="0"/>
                <w:numId w:val="2"/>
              </w:numPr>
              <w:spacing w:after="80" w:before="0" w:line="300"/>
            </w:pPr>
            <w:r>
              <w:rPr>
                <w:rFonts w:ascii="Calibri" w:cs="Calibri" w:eastAsia="Calibri" w:hAnsi="Calibri"/>
                <w:color w:val="111111"/>
                <w:sz w:val="22"/>
                <w:szCs w:val="22"/>
              </w:rPr>
              <w:t xml:space="preserve">The single-incident constraint means both artifacts revolve around the same case. Variety across scenarios has to come from the seat rather than the case, which is a subtler payoff to sell.</w:t>
            </w:r>
          </w:p>
        </w:tc>
      </w:tr>
    </w:tbl>
    <w:p>
      <w:pPr>
        <w:spacing w:after="120"/>
      </w:pPr>
      <w:r>
        <w:t xml:space="preserve"/>
      </w:r>
    </w:p>
    <w:tbl>
      <w:tblPr>
        <w:tblW w:type="dxa" w:w="9360"/>
        <w:tblBorders>
          <w:top w:val="single" w:color="8A6D1A" w:sz="4"/>
          <w:left w:val="single" w:color="8A6D1A" w:sz="24"/>
          <w:bottom w:val="single" w:color="8A6D1A" w:sz="4"/>
          <w:right w:val="single" w:color="8A6D1A" w:sz="4"/>
          <w:insideH w:val="none" w:color="FFFFFF" w:sz="0"/>
          <w:insideV w:val="none" w:color="FFFFFF" w:sz="0"/>
        </w:tblBorders>
      </w:tblPr>
      <w:tblGrid>
        <w:gridCol w:w="9360"/>
      </w:tblGrid>
      <w:tr>
        <w:tc>
          <w:tcPr>
            <w:tcW w:type="dxa" w:w="9360"/>
            <w:shd w:fill="F4EFE4" w:color="auto" w:val="clear"/>
            <w:tcMar>
              <w:top w:type="dxa" w:w="160"/>
              <w:left w:type="dxa" w:w="220"/>
              <w:bottom w:type="dxa" w:w="160"/>
              <w:right w:type="dxa" w:w="220"/>
            </w:tcMar>
          </w:tcPr>
          <w:p>
            <w:pPr>
              <w:spacing w:after="100" w:before="40"/>
            </w:pPr>
            <w:r>
              <w:rPr>
                <w:rFonts w:ascii="Calibri" w:cs="Calibri" w:eastAsia="Calibri" w:hAnsi="Calibri"/>
                <w:b/>
                <w:bCs/>
                <w:color w:val="8A6D1A"/>
                <w:spacing w:val="60"/>
                <w:sz w:val="18"/>
                <w:szCs w:val="18"/>
              </w:rPr>
              <w:t xml:space="preserve">DEVELOPMENT TIME</w:t>
            </w:r>
          </w:p>
          <w:p>
            <w:pPr>
              <w:spacing w:after="80" w:before="0" w:line="300"/>
            </w:pPr>
            <w:r>
              <w:rPr>
                <w:rFonts w:ascii="Calibri" w:cs="Calibri" w:eastAsia="Calibri" w:hAnsi="Calibri"/>
                <w:b/>
                <w:bCs/>
                <w:color w:val="111111"/>
                <w:sz w:val="22"/>
                <w:szCs w:val="22"/>
              </w:rPr>
              <w:t xml:space="preserve">Design and copy — </w:t>
            </w:r>
            <w:r>
              <w:rPr>
                <w:rFonts w:ascii="Calibri" w:cs="Calibri" w:eastAsia="Calibri" w:hAnsi="Calibri"/>
                <w:color w:val="111111"/>
                <w:sz w:val="22"/>
                <w:szCs w:val="22"/>
              </w:rPr>
              <w:t xml:space="preserve">0.5 day</w:t>
            </w:r>
          </w:p>
          <w:p>
            <w:pPr>
              <w:spacing w:after="80" w:before="0" w:line="300"/>
            </w:pPr>
            <w:r>
              <w:rPr>
                <w:rFonts w:ascii="Calibri" w:cs="Calibri" w:eastAsia="Calibri" w:hAnsi="Calibri"/>
                <w:b/>
                <w:bCs/>
                <w:color w:val="111111"/>
                <w:sz w:val="22"/>
                <w:szCs w:val="22"/>
              </w:rPr>
              <w:t xml:space="preserve">Front-end build (shell + three stations) — </w:t>
            </w:r>
            <w:r>
              <w:rPr>
                <w:rFonts w:ascii="Calibri" w:cs="Calibri" w:eastAsia="Calibri" w:hAnsi="Calibri"/>
                <w:color w:val="111111"/>
                <w:sz w:val="22"/>
                <w:szCs w:val="22"/>
              </w:rPr>
              <w:t xml:space="preserve">1 day</w:t>
            </w:r>
          </w:p>
          <w:p>
            <w:pPr>
              <w:spacing w:after="80" w:before="0" w:line="300"/>
            </w:pPr>
            <w:r>
              <w:rPr>
                <w:rFonts w:ascii="Calibri" w:cs="Calibri" w:eastAsia="Calibri" w:hAnsi="Calibri"/>
                <w:b/>
                <w:bCs/>
                <w:color w:val="111111"/>
                <w:sz w:val="22"/>
                <w:szCs w:val="22"/>
              </w:rPr>
              <w:t xml:space="preserve">Mode toggle, scoring layer, polish — </w:t>
            </w:r>
            <w:r>
              <w:rPr>
                <w:rFonts w:ascii="Calibri" w:cs="Calibri" w:eastAsia="Calibri" w:hAnsi="Calibri"/>
                <w:color w:val="111111"/>
                <w:sz w:val="22"/>
                <w:szCs w:val="22"/>
              </w:rPr>
              <w:t xml:space="preserve">0.5 day</w:t>
            </w:r>
          </w:p>
          <w:p>
            <w:pPr>
              <w:spacing w:after="80" w:before="0" w:line="300"/>
            </w:pPr>
            <w:r>
              <w:rPr>
                <w:rFonts w:ascii="Calibri" w:cs="Calibri" w:eastAsia="Calibri" w:hAnsi="Calibri"/>
                <w:b/>
                <w:bCs/>
                <w:color w:val="111111"/>
                <w:sz w:val="22"/>
                <w:szCs w:val="22"/>
              </w:rPr>
              <w:t xml:space="preserve">Total elapsed — </w:t>
            </w:r>
            <w:r>
              <w:rPr>
                <w:rFonts w:ascii="Calibri" w:cs="Calibri" w:eastAsia="Calibri" w:hAnsi="Calibri"/>
                <w:color w:val="111111"/>
                <w:sz w:val="22"/>
                <w:szCs w:val="22"/>
              </w:rPr>
              <w:t xml:space="preserve">2 days, with no reserve</w:t>
            </w:r>
          </w:p>
        </w:tc>
      </w:tr>
    </w:tbl>
    <w:p>
      <w:pPr>
        <w:spacing w:after="120"/>
      </w:pPr>
      <w:r>
        <w:t xml:space="preserve"/>
      </w:r>
    </w:p>
    <w:tbl>
      <w:tblPr>
        <w:tblW w:type="dxa" w:w="9360"/>
        <w:tblBorders>
          <w:top w:val="single" w:color="1F4E79" w:sz="4"/>
          <w:left w:val="single" w:color="1F4E79" w:sz="24"/>
          <w:bottom w:val="single" w:color="1F4E79" w:sz="4"/>
          <w:right w:val="single" w:color="1F4E79" w:sz="4"/>
          <w:insideH w:val="none" w:color="FFFFFF" w:sz="0"/>
          <w:insideV w:val="none" w:color="FFFFFF" w:sz="0"/>
        </w:tblBorders>
      </w:tblPr>
      <w:tblGrid>
        <w:gridCol w:w="9360"/>
      </w:tblGrid>
      <w:tr>
        <w:tc>
          <w:tcPr>
            <w:tcW w:type="dxa" w:w="9360"/>
            <w:shd w:fill="E9EFF7" w:color="auto" w:val="clear"/>
            <w:tcMar>
              <w:top w:type="dxa" w:w="160"/>
              <w:left w:type="dxa" w:w="220"/>
              <w:bottom w:type="dxa" w:w="160"/>
              <w:right w:type="dxa" w:w="220"/>
            </w:tcMar>
          </w:tcPr>
          <w:p>
            <w:pPr>
              <w:spacing w:after="100" w:before="40"/>
            </w:pPr>
            <w:r>
              <w:rPr>
                <w:rFonts w:ascii="Calibri" w:cs="Calibri" w:eastAsia="Calibri" w:hAnsi="Calibri"/>
                <w:b/>
                <w:bCs/>
                <w:color w:val="1F4E79"/>
                <w:spacing w:val="60"/>
                <w:sz w:val="18"/>
                <w:szCs w:val="18"/>
              </w:rPr>
              <w:t xml:space="preserve">BEST SELLING POINT</w:t>
            </w:r>
          </w:p>
          <w:p>
            <w:pPr>
              <w:spacing w:after="40" w:before="0" w:line="300"/>
            </w:pPr>
            <w:r>
              <w:rPr>
                <w:rFonts w:ascii="Calibri" w:cs="Calibri" w:eastAsia="Calibri" w:hAnsi="Calibri"/>
                <w:b w:val="false"/>
                <w:bCs w:val="false"/>
                <w:i w:val="false"/>
                <w:iCs w:val="false"/>
                <w:color w:val="111111"/>
                <w:sz w:val="22"/>
                <w:szCs w:val="22"/>
              </w:rPr>
              <w:t xml:space="preserve">Plan C is the option that maximises the client's perception of what they are buying. Two artifacts, three scenarios each, one moving system underneath — it looks like a product, not a prototype. The selling point is breadth with coherence, which is the message that closes procurement conversations.</w:t>
            </w:r>
          </w:p>
        </w:tc>
      </w:tr>
    </w:tbl>
    <w:p>
      <w:r>
        <w:br w:type="page"/>
      </w:r>
    </w:p>
    <w:p>
      <w:pPr>
        <w:pStyle w:val="Heading1"/>
        <w:spacing w:after="160" w:before="320"/>
      </w:pPr>
      <w:r>
        <w:rPr>
          <w:rFonts w:ascii="Calibri" w:cs="Calibri" w:eastAsia="Calibri" w:hAnsi="Calibri"/>
          <w:b/>
          <w:bCs/>
          <w:color w:val="111111"/>
          <w:sz w:val="36"/>
          <w:szCs w:val="36"/>
        </w:rPr>
        <w:t xml:space="preserve">Design variants worth considering</w:t>
      </w:r>
    </w:p>
    <w:p>
      <w:pPr>
        <w:spacing w:after="120" w:before="0" w:line="300"/>
      </w:pPr>
      <w:r>
        <w:rPr>
          <w:rFonts w:ascii="Calibri" w:cs="Calibri" w:eastAsia="Calibri" w:hAnsi="Calibri"/>
          <w:b w:val="false"/>
          <w:bCs w:val="false"/>
          <w:i w:val="false"/>
          <w:iCs w:val="false"/>
          <w:color w:val="111111"/>
          <w:sz w:val="22"/>
          <w:szCs w:val="22"/>
        </w:rPr>
        <w:t xml:space="preserve">The three plans above answer the </w:t>
      </w:r>
      <w:r>
        <w:rPr>
          <w:rFonts w:ascii="Calibri" w:cs="Calibri" w:eastAsia="Calibri" w:hAnsi="Calibri"/>
          <w:b w:val="false"/>
          <w:bCs w:val="false"/>
          <w:i/>
          <w:iCs/>
          <w:color w:val="111111"/>
          <w:sz w:val="22"/>
          <w:szCs w:val="22"/>
        </w:rPr>
        <w:t xml:space="preserve">scope</w:t>
      </w:r>
      <w:r>
        <w:rPr>
          <w:rFonts w:ascii="Calibri" w:cs="Calibri" w:eastAsia="Calibri" w:hAnsi="Calibri"/>
          <w:b w:val="false"/>
          <w:bCs w:val="false"/>
          <w:i w:val="false"/>
          <w:iCs w:val="false"/>
          <w:color w:val="111111"/>
          <w:sz w:val="22"/>
          <w:szCs w:val="22"/>
        </w:rPr>
        <w:t xml:space="preserve"> question — what to build in the available window. Independently of that, there is a </w:t>
      </w:r>
      <w:r>
        <w:rPr>
          <w:rFonts w:ascii="Calibri" w:cs="Calibri" w:eastAsia="Calibri" w:hAnsi="Calibri"/>
          <w:b w:val="false"/>
          <w:bCs w:val="false"/>
          <w:i/>
          <w:iCs/>
          <w:color w:val="111111"/>
          <w:sz w:val="22"/>
          <w:szCs w:val="22"/>
        </w:rPr>
        <w:t xml:space="preserve">design approach</w:t>
      </w:r>
      <w:r>
        <w:rPr>
          <w:rFonts w:ascii="Calibri" w:cs="Calibri" w:eastAsia="Calibri" w:hAnsi="Calibri"/>
          <w:b w:val="false"/>
          <w:bCs w:val="false"/>
          <w:i w:val="false"/>
          <w:iCs w:val="false"/>
          <w:color w:val="111111"/>
          <w:sz w:val="22"/>
          <w:szCs w:val="22"/>
        </w:rPr>
        <w:t xml:space="preserve"> question — how the training or assessment should teach or measure. Below are two alternative concepts on each side, in case either would be a stronger fit than the default approach assumed in Plans B and C.</w:t>
      </w:r>
    </w:p>
    <w:p>
      <w:pPr>
        <w:spacing w:after="120"/>
      </w:pPr>
      <w:r>
        <w:t xml:space="preserve"/>
      </w:r>
    </w:p>
    <w:p>
      <w:pPr>
        <w:pStyle w:val="Heading2"/>
        <w:spacing w:after="120" w:before="240"/>
      </w:pPr>
      <w:r>
        <w:rPr>
          <w:rFonts w:ascii="Calibri" w:cs="Calibri" w:eastAsia="Calibri" w:hAnsi="Calibri"/>
          <w:b/>
          <w:bCs/>
          <w:color w:val="1F4E79"/>
          <w:sz w:val="26"/>
          <w:szCs w:val="26"/>
        </w:rPr>
        <w:t xml:space="preserve">Alternative training concepts</w:t>
      </w:r>
    </w:p>
    <w:p>
      <w:pPr>
        <w:pStyle w:val="Heading3"/>
        <w:spacing w:after="80" w:before="180"/>
      </w:pPr>
      <w:r>
        <w:rPr>
          <w:rFonts w:ascii="Calibri" w:cs="Calibri" w:eastAsia="Calibri" w:hAnsi="Calibri"/>
          <w:b/>
          <w:bCs/>
          <w:color w:val="111111"/>
          <w:sz w:val="22"/>
          <w:szCs w:val="22"/>
        </w:rPr>
        <w:t xml:space="preserve">The Autopsy — reverse-timeline forensics</w:t>
      </w:r>
    </w:p>
    <w:p>
      <w:pPr>
        <w:spacing w:after="120" w:before="0" w:line="300"/>
      </w:pPr>
      <w:r>
        <w:rPr>
          <w:rFonts w:ascii="Calibri" w:cs="Calibri" w:eastAsia="Calibri" w:hAnsi="Calibri"/>
          <w:b w:val="false"/>
          <w:bCs w:val="false"/>
          <w:i w:val="false"/>
          <w:iCs w:val="false"/>
          <w:color w:val="111111"/>
          <w:sz w:val="22"/>
          <w:szCs w:val="22"/>
        </w:rPr>
        <w:t xml:space="preserve">Open with a public failure the client already fears — a regulatory finding, a delayed collision report, a class-action filing. The trainee works backwards, peeling layers off the case to identify which role missed what. It teaches interdependence and why the rules exist, rather than how to execute them.</w:t>
      </w:r>
    </w:p>
    <w:p>
      <w:pPr>
        <w:spacing w:after="120" w:before="0" w:line="300"/>
      </w:pPr>
      <w:r>
        <w:rPr>
          <w:rFonts w:ascii="Calibri" w:cs="Calibri" w:eastAsia="Calibri" w:hAnsi="Calibri"/>
          <w:b/>
          <w:bCs/>
          <w:i w:val="false"/>
          <w:iCs w:val="false"/>
          <w:color w:val="111111"/>
          <w:sz w:val="22"/>
          <w:szCs w:val="22"/>
        </w:rPr>
        <w:t xml:space="preserve">Best when: </w:t>
      </w:r>
      <w:r>
        <w:rPr>
          <w:rFonts w:ascii="Calibri" w:cs="Calibri" w:eastAsia="Calibri" w:hAnsi="Calibri"/>
          <w:b w:val="false"/>
          <w:bCs w:val="false"/>
          <w:i w:val="false"/>
          <w:iCs w:val="false"/>
          <w:color w:val="111111"/>
          <w:sz w:val="22"/>
          <w:szCs w:val="22"/>
        </w:rPr>
        <w:t xml:space="preserve">the client audience is executive rather than operational, and the winning argument is regulatory exposure rather than throughput.</w:t>
      </w:r>
    </w:p>
    <w:p>
      <w:pPr>
        <w:spacing w:after="60"/>
      </w:pPr>
      <w:r>
        <w:t xml:space="preserve"/>
      </w:r>
    </w:p>
    <w:p>
      <w:pPr>
        <w:pStyle w:val="Heading3"/>
        <w:spacing w:after="80" w:before="180"/>
      </w:pPr>
      <w:r>
        <w:rPr>
          <w:rFonts w:ascii="Calibri" w:cs="Calibri" w:eastAsia="Calibri" w:hAnsi="Calibri"/>
          <w:b/>
          <w:bCs/>
          <w:color w:val="111111"/>
          <w:sz w:val="22"/>
          <w:szCs w:val="22"/>
        </w:rPr>
        <w:t xml:space="preserve">The Control Room — systems-level view</w:t>
      </w:r>
    </w:p>
    <w:p>
      <w:pPr>
        <w:spacing w:after="120" w:before="0" w:line="300"/>
      </w:pPr>
      <w:r>
        <w:rPr>
          <w:rFonts w:ascii="Calibri" w:cs="Calibri" w:eastAsia="Calibri" w:hAnsi="Calibri"/>
          <w:b w:val="false"/>
          <w:bCs w:val="false"/>
          <w:i w:val="false"/>
          <w:iCs w:val="false"/>
          <w:color w:val="111111"/>
          <w:sz w:val="22"/>
          <w:szCs w:val="22"/>
        </w:rPr>
        <w:t xml:space="preserve">Show the trainee the whole operation running: a global event queue on the left, three role stations across the middle, a flywheel visualisation on the right. The trainee can drill into any station and take over. It teaches the shape of the operation as a machine.</w:t>
      </w:r>
    </w:p>
    <w:p>
      <w:pPr>
        <w:spacing w:after="120" w:before="0" w:line="300"/>
      </w:pPr>
      <w:r>
        <w:rPr>
          <w:rFonts w:ascii="Calibri" w:cs="Calibri" w:eastAsia="Calibri" w:hAnsi="Calibri"/>
          <w:b/>
          <w:bCs/>
          <w:i w:val="false"/>
          <w:iCs w:val="false"/>
          <w:color w:val="111111"/>
          <w:sz w:val="22"/>
          <w:szCs w:val="22"/>
        </w:rPr>
        <w:t xml:space="preserve">Best when: </w:t>
      </w:r>
      <w:r>
        <w:rPr>
          <w:rFonts w:ascii="Calibri" w:cs="Calibri" w:eastAsia="Calibri" w:hAnsi="Calibri"/>
          <w:b w:val="false"/>
          <w:bCs w:val="false"/>
          <w:i w:val="false"/>
          <w:iCs w:val="false"/>
          <w:color w:val="111111"/>
          <w:sz w:val="22"/>
          <w:szCs w:val="22"/>
        </w:rPr>
        <w:t xml:space="preserve">the client wants to see the operation they are being sold, and visual impact matters as much as pedagogical depth.</w:t>
      </w:r>
    </w:p>
    <w:p>
      <w:pPr>
        <w:spacing w:after="160"/>
      </w:pPr>
      <w:r>
        <w:t xml:space="preserve"/>
      </w:r>
    </w:p>
    <w:p>
      <w:pPr>
        <w:pStyle w:val="Heading2"/>
        <w:spacing w:after="120" w:before="240"/>
      </w:pPr>
      <w:r>
        <w:rPr>
          <w:rFonts w:ascii="Calibri" w:cs="Calibri" w:eastAsia="Calibri" w:hAnsi="Calibri"/>
          <w:b/>
          <w:bCs/>
          <w:color w:val="1F4E79"/>
          <w:sz w:val="26"/>
          <w:szCs w:val="26"/>
        </w:rPr>
        <w:t xml:space="preserve">Alternative assessment concepts</w:t>
      </w:r>
    </w:p>
    <w:p>
      <w:pPr>
        <w:pStyle w:val="Heading3"/>
        <w:spacing w:after="80" w:before="180"/>
      </w:pPr>
      <w:r>
        <w:rPr>
          <w:rFonts w:ascii="Calibri" w:cs="Calibri" w:eastAsia="Calibri" w:hAnsi="Calibri"/>
          <w:b/>
          <w:bCs/>
          <w:color w:val="111111"/>
          <w:sz w:val="22"/>
          <w:szCs w:val="22"/>
        </w:rPr>
        <w:t xml:space="preserve">The In-Basket — 20-minute mixed queue</w:t>
      </w:r>
    </w:p>
    <w:p>
      <w:pPr>
        <w:spacing w:after="120" w:before="0" w:line="300"/>
      </w:pPr>
      <w:r>
        <w:rPr>
          <w:rFonts w:ascii="Calibri" w:cs="Calibri" w:eastAsia="Calibri" w:hAnsi="Calibri"/>
          <w:b w:val="false"/>
          <w:bCs w:val="false"/>
          <w:i w:val="false"/>
          <w:iCs w:val="false"/>
          <w:color w:val="111111"/>
          <w:sz w:val="22"/>
          <w:szCs w:val="22"/>
        </w:rPr>
        <w:t xml:space="preserve">Twenty items land in the candidate's inbox — some triage, some MPCI, some labeling. They work them in any order, under a clock. This measures prioritisation as well as judgment, which the aptitude scenarios in Plan A do not.</w:t>
      </w:r>
    </w:p>
    <w:p>
      <w:pPr>
        <w:spacing w:after="120" w:before="0" w:line="300"/>
      </w:pPr>
      <w:r>
        <w:rPr>
          <w:rFonts w:ascii="Calibri" w:cs="Calibri" w:eastAsia="Calibri" w:hAnsi="Calibri"/>
          <w:b/>
          <w:bCs/>
          <w:i w:val="false"/>
          <w:iCs w:val="false"/>
          <w:color w:val="111111"/>
          <w:sz w:val="22"/>
          <w:szCs w:val="22"/>
        </w:rPr>
        <w:t xml:space="preserve">Best when: </w:t>
      </w:r>
      <w:r>
        <w:rPr>
          <w:rFonts w:ascii="Calibri" w:cs="Calibri" w:eastAsia="Calibri" w:hAnsi="Calibri"/>
          <w:b w:val="false"/>
          <w:bCs w:val="false"/>
          <w:i w:val="false"/>
          <w:iCs w:val="false"/>
          <w:color w:val="111111"/>
          <w:sz w:val="22"/>
          <w:szCs w:val="22"/>
        </w:rPr>
        <w:t xml:space="preserve">the client's people function values well-established HR assessment formats and will push back on bespoke aptitude scoring.</w:t>
      </w:r>
    </w:p>
    <w:p>
      <w:pPr>
        <w:spacing w:after="60"/>
      </w:pPr>
      <w:r>
        <w:t xml:space="preserve"/>
      </w:r>
    </w:p>
    <w:p>
      <w:pPr>
        <w:pStyle w:val="Heading3"/>
        <w:spacing w:after="80" w:before="180"/>
      </w:pPr>
      <w:r>
        <w:rPr>
          <w:rFonts w:ascii="Calibri" w:cs="Calibri" w:eastAsia="Calibri" w:hAnsi="Calibri"/>
          <w:b/>
          <w:bCs/>
          <w:color w:val="111111"/>
          <w:sz w:val="22"/>
          <w:szCs w:val="22"/>
        </w:rPr>
        <w:t xml:space="preserve">The Diagnostic — review, don't produce</w:t>
      </w:r>
    </w:p>
    <w:p>
      <w:pPr>
        <w:spacing w:after="120" w:before="0" w:line="300"/>
      </w:pPr>
      <w:r>
        <w:rPr>
          <w:rFonts w:ascii="Calibri" w:cs="Calibri" w:eastAsia="Calibri" w:hAnsi="Calibri"/>
          <w:b w:val="false"/>
          <w:bCs w:val="false"/>
          <w:i w:val="false"/>
          <w:iCs w:val="false"/>
          <w:color w:val="111111"/>
          <w:sz w:val="22"/>
          <w:szCs w:val="22"/>
        </w:rPr>
        <w:t xml:space="preserve">The candidate reviews decisions made by a fictional junior operator across all three roles and identifies errors. Reviewing is a lower bar than producing, but the diagnostic sensitivity is higher. This is the fastest build of any assessment idea.</w:t>
      </w:r>
    </w:p>
    <w:p>
      <w:pPr>
        <w:spacing w:after="120" w:before="0" w:line="300"/>
      </w:pPr>
      <w:r>
        <w:rPr>
          <w:rFonts w:ascii="Calibri" w:cs="Calibri" w:eastAsia="Calibri" w:hAnsi="Calibri"/>
          <w:b/>
          <w:bCs/>
          <w:i w:val="false"/>
          <w:iCs w:val="false"/>
          <w:color w:val="111111"/>
          <w:sz w:val="22"/>
          <w:szCs w:val="22"/>
        </w:rPr>
        <w:t xml:space="preserve">Best when: </w:t>
      </w:r>
      <w:r>
        <w:rPr>
          <w:rFonts w:ascii="Calibri" w:cs="Calibri" w:eastAsia="Calibri" w:hAnsi="Calibri"/>
          <w:b w:val="false"/>
          <w:bCs w:val="false"/>
          <w:i w:val="false"/>
          <w:iCs w:val="false"/>
          <w:color w:val="111111"/>
          <w:sz w:val="22"/>
          <w:szCs w:val="22"/>
        </w:rPr>
        <w:t xml:space="preserve">candidate pool has no prior AV background, and the assessment needs to work without teaching the domain first.</w:t>
      </w:r>
    </w:p>
    <w:p>
      <w:pPr>
        <w:spacing w:after="160"/>
      </w:pPr>
      <w:r>
        <w:t xml:space="preserve"/>
      </w:r>
    </w:p>
    <w:p>
      <w:pPr>
        <w:pStyle w:val="Heading2"/>
        <w:spacing w:after="120" w:before="240"/>
      </w:pPr>
      <w:r>
        <w:rPr>
          <w:rFonts w:ascii="Calibri" w:cs="Calibri" w:eastAsia="Calibri" w:hAnsi="Calibri"/>
          <w:b/>
          <w:bCs/>
          <w:color w:val="1F4E79"/>
          <w:sz w:val="26"/>
          <w:szCs w:val="26"/>
        </w:rPr>
        <w:t xml:space="preserve">How the variants slot in</w:t>
      </w:r>
    </w:p>
    <w:p>
      <w:pPr>
        <w:pStyle w:val="ListParagraph"/>
        <w:numPr>
          <w:ilvl w:val="0"/>
          <w:numId w:val="2"/>
        </w:numPr>
        <w:spacing w:after="80" w:before="0" w:line="300"/>
      </w:pPr>
      <w:r>
        <w:rPr>
          <w:rFonts w:ascii="Calibri" w:cs="Calibri" w:eastAsia="Calibri" w:hAnsi="Calibri"/>
          <w:color w:val="111111"/>
          <w:sz w:val="22"/>
          <w:szCs w:val="22"/>
        </w:rPr>
        <w:t xml:space="preserve">Plan B can be built as the default forward-lifecycle module, or as the Autopsy, or as the Control Room. Pedagogy differs; effort is comparable.</w:t>
      </w:r>
    </w:p>
    <w:p>
      <w:pPr>
        <w:pStyle w:val="ListParagraph"/>
        <w:numPr>
          <w:ilvl w:val="0"/>
          <w:numId w:val="2"/>
        </w:numPr>
        <w:spacing w:after="80" w:before="0" w:line="300"/>
      </w:pPr>
      <w:r>
        <w:rPr>
          <w:rFonts w:ascii="Calibri" w:cs="Calibri" w:eastAsia="Calibri" w:hAnsi="Calibri"/>
          <w:color w:val="111111"/>
          <w:sz w:val="22"/>
          <w:szCs w:val="22"/>
        </w:rPr>
        <w:t xml:space="preserve">Plan C's training half can also be built as any of the three. The assessment half can be built as the default seat-scored version, as the In-Basket, or as the Diagnostic.</w:t>
      </w:r>
    </w:p>
    <w:p>
      <w:pPr>
        <w:pStyle w:val="ListParagraph"/>
        <w:numPr>
          <w:ilvl w:val="0"/>
          <w:numId w:val="2"/>
        </w:numPr>
        <w:spacing w:after="80" w:before="0" w:line="300"/>
      </w:pPr>
      <w:r>
        <w:rPr>
          <w:rFonts w:ascii="Calibri" w:cs="Calibri" w:eastAsia="Calibri" w:hAnsi="Calibri"/>
          <w:color w:val="111111"/>
          <w:sz w:val="22"/>
          <w:szCs w:val="22"/>
        </w:rPr>
        <w:t xml:space="preserve">The Autopsy + Diagnostic combination on Plan C is the strongest "design story" — both artifacts invert the obvious approach and share a coherent perspective, which reads as a real point of view rather than a generic build.</w:t>
      </w:r>
    </w:p>
    <w:p>
      <w:r>
        <w:br w:type="page"/>
      </w:r>
    </w:p>
    <w:p>
      <w:pPr>
        <w:pStyle w:val="Heading1"/>
        <w:spacing w:after="160" w:before="320"/>
      </w:pPr>
      <w:r>
        <w:rPr>
          <w:rFonts w:ascii="Calibri" w:cs="Calibri" w:eastAsia="Calibri" w:hAnsi="Calibri"/>
          <w:b/>
          <w:bCs/>
          <w:color w:val="111111"/>
          <w:sz w:val="36"/>
          <w:szCs w:val="36"/>
        </w:rPr>
        <w:t xml:space="preserve">Recommendation and open questions</w:t>
      </w:r>
    </w:p>
    <w:p>
      <w:pPr>
        <w:pStyle w:val="Heading3"/>
        <w:spacing w:after="80" w:before="180"/>
      </w:pPr>
      <w:r>
        <w:rPr>
          <w:rFonts w:ascii="Calibri" w:cs="Calibri" w:eastAsia="Calibri" w:hAnsi="Calibri"/>
          <w:b/>
          <w:bCs/>
          <w:color w:val="111111"/>
          <w:sz w:val="22"/>
          <w:szCs w:val="22"/>
        </w:rPr>
        <w:t xml:space="preserve">Recommendation</w:t>
      </w:r>
    </w:p>
    <w:p>
      <w:pPr>
        <w:spacing w:after="120" w:before="0" w:line="300"/>
      </w:pPr>
      <w:r>
        <w:rPr>
          <w:rFonts w:ascii="Calibri" w:cs="Calibri" w:eastAsia="Calibri" w:hAnsi="Calibri"/>
          <w:b w:val="false"/>
          <w:bCs w:val="false"/>
          <w:i w:val="false"/>
          <w:iCs w:val="false"/>
          <w:color w:val="111111"/>
          <w:sz w:val="22"/>
          <w:szCs w:val="22"/>
        </w:rPr>
        <w:t xml:space="preserve">Build Plan C with the Autopsy training approach and the Diagnostic assessment approach, provided two conditions hold: the team is disciplined about not extending scope during the two-day build, and the audience for the demo includes at least one operational stakeholder who will value workflow depth. </w:t>
      </w:r>
      <w:r>
        <w:rPr>
          <w:rFonts w:ascii="Calibri" w:cs="Calibri" w:eastAsia="Calibri" w:hAnsi="Calibri"/>
          <w:b w:val="false"/>
          <w:bCs w:val="false"/>
          <w:i w:val="false"/>
          <w:iCs w:val="false"/>
          <w:color w:val="111111"/>
          <w:sz w:val="22"/>
          <w:szCs w:val="22"/>
        </w:rPr>
        <w:t xml:space="preserve">If either condition is uncertain, build Plan B with the default forward-lifecycle training approach. It is the safer trade and produces a stronger single-artifact demo.</w:t>
      </w:r>
    </w:p>
    <w:p>
      <w:pPr>
        <w:spacing w:after="80"/>
      </w:pPr>
      <w:r>
        <w:t xml:space="preserve"/>
      </w:r>
    </w:p>
    <w:p>
      <w:pPr>
        <w:spacing w:after="120" w:before="0" w:line="300"/>
      </w:pPr>
      <w:r>
        <w:rPr>
          <w:rFonts w:ascii="Calibri" w:cs="Calibri" w:eastAsia="Calibri" w:hAnsi="Calibri"/>
          <w:b w:val="false"/>
          <w:bCs w:val="false"/>
          <w:i w:val="false"/>
          <w:iCs w:val="false"/>
          <w:color w:val="111111"/>
          <w:sz w:val="22"/>
          <w:szCs w:val="22"/>
        </w:rPr>
        <w:t xml:space="preserve">In either case, close the demo deck with Plan A as the post-approval statement of work. The demo is the taste; Plan A is the meal.</w:t>
      </w:r>
    </w:p>
    <w:p>
      <w:pPr>
        <w:spacing w:after="200"/>
      </w:pPr>
      <w:r>
        <w:t xml:space="preserve"/>
      </w:r>
    </w:p>
    <w:p>
      <w:pPr>
        <w:pStyle w:val="Heading3"/>
        <w:spacing w:after="80" w:before="180"/>
      </w:pPr>
      <w:r>
        <w:rPr>
          <w:rFonts w:ascii="Calibri" w:cs="Calibri" w:eastAsia="Calibri" w:hAnsi="Calibri"/>
          <w:b/>
          <w:bCs/>
          <w:color w:val="111111"/>
          <w:sz w:val="22"/>
          <w:szCs w:val="22"/>
        </w:rPr>
        <w:t xml:space="preserve">Open questions to settle before build kickoff</w:t>
      </w:r>
    </w:p>
    <w:p>
      <w:pPr>
        <w:pStyle w:val="ListParagraph"/>
        <w:numPr>
          <w:ilvl w:val="0"/>
          <w:numId w:val="2"/>
        </w:numPr>
        <w:spacing w:after="80" w:before="0" w:line="300"/>
      </w:pPr>
      <w:r>
        <w:rPr>
          <w:rFonts w:ascii="Calibri" w:cs="Calibri" w:eastAsia="Calibri" w:hAnsi="Calibri"/>
          <w:color w:val="111111"/>
          <w:sz w:val="22"/>
          <w:szCs w:val="22"/>
        </w:rPr>
        <w:t xml:space="preserve">Who is presenting the demo, and to whom? Operational leadership favours Plan B or C-with-defaults. Executive committee favours C-with-Autopsy.</w:t>
      </w:r>
    </w:p>
    <w:p>
      <w:pPr>
        <w:pStyle w:val="ListParagraph"/>
        <w:numPr>
          <w:ilvl w:val="0"/>
          <w:numId w:val="2"/>
        </w:numPr>
        <w:spacing w:after="80" w:before="0" w:line="300"/>
      </w:pPr>
      <w:r>
        <w:rPr>
          <w:rFonts w:ascii="Calibri" w:cs="Calibri" w:eastAsia="Calibri" w:hAnsi="Calibri"/>
          <w:color w:val="111111"/>
          <w:sz w:val="22"/>
          <w:szCs w:val="22"/>
        </w:rPr>
        <w:t xml:space="preserve">Is a technical evaluator in the room? If yes, Plan C's assessment thinness will be probed; Plan B is safer.</w:t>
      </w:r>
    </w:p>
    <w:p>
      <w:pPr>
        <w:pStyle w:val="ListParagraph"/>
        <w:numPr>
          <w:ilvl w:val="0"/>
          <w:numId w:val="2"/>
        </w:numPr>
        <w:spacing w:after="80" w:before="0" w:line="300"/>
      </w:pPr>
      <w:r>
        <w:rPr>
          <w:rFonts w:ascii="Calibri" w:cs="Calibri" w:eastAsia="Calibri" w:hAnsi="Calibri"/>
          <w:color w:val="111111"/>
          <w:sz w:val="22"/>
          <w:szCs w:val="22"/>
        </w:rPr>
        <w:t xml:space="preserve">What is the candidate pool the assessment must eventually screen — no AV background, BPO annotation experience, or mixed with a senior AV layer? This changes the scoring model for post-approval work.</w:t>
      </w:r>
    </w:p>
    <w:p>
      <w:pPr>
        <w:pStyle w:val="ListParagraph"/>
        <w:numPr>
          <w:ilvl w:val="0"/>
          <w:numId w:val="2"/>
        </w:numPr>
        <w:spacing w:after="80" w:before="0" w:line="300"/>
      </w:pPr>
      <w:r>
        <w:rPr>
          <w:rFonts w:ascii="Calibri" w:cs="Calibri" w:eastAsia="Calibri" w:hAnsi="Calibri"/>
          <w:color w:val="111111"/>
          <w:sz w:val="22"/>
          <w:szCs w:val="22"/>
        </w:rPr>
        <w:t xml:space="preserve">Is the eventual assessment a hiring gate or a role-fit allocator? Threshold and scoring designs differ substantially.</w:t>
      </w:r>
    </w:p>
    <w:p>
      <w:pPr>
        <w:pStyle w:val="ListParagraph"/>
        <w:numPr>
          <w:ilvl w:val="0"/>
          <w:numId w:val="2"/>
        </w:numPr>
        <w:spacing w:after="80" w:before="0" w:line="300"/>
      </w:pPr>
      <w:r>
        <w:rPr>
          <w:rFonts w:ascii="Calibri" w:cs="Calibri" w:eastAsia="Calibri" w:hAnsi="Calibri"/>
          <w:color w:val="111111"/>
          <w:sz w:val="22"/>
          <w:szCs w:val="22"/>
        </w:rPr>
        <w:t xml:space="preserve">Visual fidelity for the demo — illustrated schematics, or something resembling real sensor playback? This is the single largest cost fork.</w:t>
      </w:r>
    </w:p>
    <w:p>
      <w:pPr>
        <w:pStyle w:val="ListParagraph"/>
        <w:numPr>
          <w:ilvl w:val="0"/>
          <w:numId w:val="2"/>
        </w:numPr>
        <w:spacing w:after="80" w:before="0" w:line="300"/>
      </w:pPr>
      <w:r>
        <w:rPr>
          <w:rFonts w:ascii="Calibri" w:cs="Calibri" w:eastAsia="Calibri" w:hAnsi="Calibri"/>
          <w:color w:val="111111"/>
          <w:sz w:val="22"/>
          <w:szCs w:val="22"/>
        </w:rPr>
        <w:t xml:space="preserve">English calibration for the offshore cohort — the assessment must not accidentally become a language comprehension test.</w:t>
      </w:r>
    </w:p>
    <w:sectPr>
      <w:footerReference w:type="default" r:id="rId7"/>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A5A5A"/>
        <w:sz w:val="18"/>
        <w:szCs w:val="18"/>
      </w:rPr>
      <w:t xml:space="preserve">AV Support Program — Build Options   ·   </w:t>
    </w:r>
    <w:r>
      <w:rPr>
        <w:rFonts w:ascii="Calibri" w:cs="Calibri" w:eastAsia="Calibri" w:hAnsi="Calibri"/>
        <w:color w:val="5A5A5A"/>
        <w:sz w:val="18"/>
        <w:szCs w:val="18"/>
      </w:rPr>
      <w:fldChar w:fldCharType="begin"/>
      <w:instrText xml:space="preserve">PAGE</w:instrText>
      <w:fldChar w:fldCharType="separate"/>
      <w:fldChar w:fldCharType="end"/>
    </w:r>
    <w:r>
      <w:rPr>
        <w:rFonts w:ascii="Calibri" w:cs="Calibri" w:eastAsia="Calibri" w:hAnsi="Calibri"/>
        <w:color w:val="5A5A5A"/>
        <w:sz w:val="18"/>
        <w:szCs w:val="18"/>
      </w:rPr>
      <w:t xml:space="preserve"> / </w:t>
    </w:r>
    <w:r>
      <w:rPr>
        <w:rFonts w:ascii="Calibri" w:cs="Calibri" w:eastAsia="Calibri" w:hAnsi="Calibri"/>
        <w:color w:val="5A5A5A"/>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rPr>
        <w:rFonts w:ascii="Calibri" w:cs="Calibri" w:eastAsia="Calibri" w:hAnsi="Calibri"/>
        <w:sz w:val="22"/>
        <w:szCs w:val="22"/>
      </w:rPr>
    </w:lvl>
    <w:lvl w:ilvl="1" w15:tentative="1">
      <w:start w:val="1"/>
      <w:numFmt w:val="bullet"/>
      <w:lvlText w:val="–"/>
      <w:lvlJc w:val="left"/>
      <w:pPr>
        <w:ind w:left="720" w:hanging="260"/>
      </w:pPr>
      <w:rPr>
        <w:rFonts w:ascii="Calibri" w:cs="Calibri" w:eastAsia="Calibri" w:hAnsi="Calibri"/>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AV Support Program — Training and Assessment Build Options</dc:title>
  <dc:creator>AV Program Design</dc:creator>
  <cp:lastModifiedBy>Un-named</cp:lastModifiedBy>
  <cp:revision>1</cp:revision>
  <dcterms:created xsi:type="dcterms:W3CDTF">2026-08-04T14:46:58.200Z</dcterms:created>
  <dcterms:modified xsi:type="dcterms:W3CDTF">2026-08-04T14:46:58.212Z</dcterms:modified>
</cp:coreProperties>
</file>

<file path=docProps/custom.xml><?xml version="1.0" encoding="utf-8"?>
<Properties xmlns="http://schemas.openxmlformats.org/officeDocument/2006/custom-properties" xmlns:vt="http://schemas.openxmlformats.org/officeDocument/2006/docPropsVTypes"/>
</file>