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b1gks8gb6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Forecast Visualization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94fdmrpsc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Date: 04/05/2026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2ild6628r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diversified services company with three divisions — </w:t>
      </w:r>
      <w:r w:rsidDel="00000000" w:rsidR="00000000" w:rsidRPr="00000000">
        <w:rPr>
          <w:b w:val="1"/>
          <w:bCs w:val="1"/>
          <w:rtl w:val="0"/>
        </w:rPr>
        <w:t xml:space="preserve">professional services, managed services, and technology licensing</w:t>
      </w:r>
      <w:r w:rsidDel="00000000" w:rsidR="00000000" w:rsidRPr="00000000">
        <w:rPr>
          <w:rtl w:val="0"/>
        </w:rPr>
        <w:t xml:space="preserve"> — faces significant challenges in its revenue forecasting process: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Manual, fragmented forecasting</w:t>
      </w:r>
      <w:r w:rsidDel="00000000" w:rsidR="00000000" w:rsidRPr="00000000">
        <w:rPr>
          <w:rtl w:val="0"/>
        </w:rPr>
        <w:t xml:space="preserve">: Each division maintains separate Excel-based models, requiring manual consolidation by corporate finance.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Time-consuming process</w:t>
      </w:r>
      <w:r w:rsidDel="00000000" w:rsidR="00000000" w:rsidRPr="00000000">
        <w:rPr>
          <w:rtl w:val="0"/>
        </w:rPr>
        <w:t xml:space="preserve">: Consolidation consumes ~40% of the quarterly planning cycle.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Error-prone outputs</w:t>
      </w:r>
      <w:r w:rsidDel="00000000" w:rsidR="00000000" w:rsidRPr="00000000">
        <w:rPr>
          <w:rtl w:val="0"/>
        </w:rPr>
        <w:t xml:space="preserve">: Transcription errors and inconsistent assumptions lead to inaccuracies.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Limited transparency</w:t>
      </w:r>
      <w:r w:rsidDel="00000000" w:rsidR="00000000" w:rsidRPr="00000000">
        <w:rPr>
          <w:rtl w:val="0"/>
        </w:rPr>
        <w:t xml:space="preserve">: Forecasts are presented as single-point projections with minimal visibility into assumptions or risk factors.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Declining accuracy</w:t>
      </w:r>
      <w:r w:rsidDel="00000000" w:rsidR="00000000" w:rsidRPr="00000000">
        <w:rPr>
          <w:rtl w:val="0"/>
        </w:rPr>
        <w:t xml:space="preserve">: Forecast variance has risen from 4.2% to 8.7% over six quarters.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Lagging updates</w:t>
      </w:r>
      <w:r w:rsidDel="00000000" w:rsidR="00000000" w:rsidRPr="00000000">
        <w:rPr>
          <w:rtl w:val="0"/>
        </w:rPr>
        <w:t xml:space="preserve">: Forecasts are refreshed only quarterly, ignoring mid-cycle changes in pipeline, renewals, or market signals.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systematic use of leading indicators</w:t>
      </w:r>
      <w:r w:rsidDel="00000000" w:rsidR="00000000" w:rsidRPr="00000000">
        <w:rPr>
          <w:rtl w:val="0"/>
        </w:rPr>
        <w:t xml:space="preserve">: CRM pipeline data, customer renewal scores, and market indices are not integrated into the forecasting process.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decision-making</w:t>
      </w:r>
      <w:r w:rsidDel="00000000" w:rsidR="00000000" w:rsidRPr="00000000">
        <w:rPr>
          <w:rtl w:val="0"/>
        </w:rPr>
        <w:t xml:space="preserve">: Division leaders lack rolling forecasts, forcing them to respond late to revenue variances.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vsem50mam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these issues, the company should implement a </w:t>
      </w:r>
      <w:r w:rsidDel="00000000" w:rsidR="00000000" w:rsidRPr="00000000">
        <w:rPr>
          <w:b w:val="1"/>
          <w:bCs w:val="1"/>
          <w:rtl w:val="0"/>
        </w:rPr>
        <w:t xml:space="preserve">Tableau-based Revenue Forecast Visualization System</w:t>
      </w:r>
      <w:r w:rsidDel="00000000" w:rsidR="00000000" w:rsidRPr="00000000">
        <w:rPr>
          <w:rtl w:val="0"/>
        </w:rPr>
        <w:t xml:space="preserve"> with the following features: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Forecasting Platform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fragmented Excel models with a unified Tableau dashboard.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data consolidation across divisions.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 Forecasts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continuous updates rather than quarterly-only cycles.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division leaders with real-time visibility into mid-quarter trends.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of Leading Indicators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CRM pipeline data, renewal probability scores, and external market indices directly into the forecasting model.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predictive analytics to adjust forecasts dynamically.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Scenario-Based Visualization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beyond single-point estimates to probabilistic forecasts.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ranges of outcomes with confidence intervals and risk drivers.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Transparency for Executives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interactive dashboards for the board and executive committee.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drill-down into divisional assumptions, risk factors, and sensitivity analyses.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Efficiency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manual consolidation time by 40%.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Minimize transcription errors through automation.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Accuracy &amp; Agility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Shorten lag between market signals and forecast updates.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forecast accuracy by systematically incorporating leading indicators.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nc291w9c3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transitioning from manual, static forecasting to </w:t>
      </w:r>
      <w:r w:rsidDel="00000000" w:rsidR="00000000" w:rsidRPr="00000000">
        <w:rPr>
          <w:b w:val="1"/>
          <w:bCs w:val="1"/>
          <w:rtl w:val="0"/>
        </w:rPr>
        <w:t xml:space="preserve">automated, scenario-rich Tableau visualizations</w:t>
      </w:r>
      <w:r w:rsidDel="00000000" w:rsidR="00000000" w:rsidRPr="00000000">
        <w:rPr>
          <w:rtl w:val="0"/>
        </w:rPr>
        <w:t xml:space="preserve">, the company can: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forecast accuracy and reduce variance.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Empower division leaders with rolling forecasts for proactive decision-making.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transparency and confidence for executives and investors.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resource allocation, reduce risk, and seize growth opportunities.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