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SECURITY POLICY REVIEW</w:t>
      </w:r>
    </w:p>
    <w:p>
      <w:pPr>
        <w:jc w:val="center"/>
      </w:pPr>
      <w:r>
        <w:rPr>
          <w:b/>
        </w:rPr>
        <w:t>YuvaIntern – Week 3 | Cyber Security Analyst</w:t>
      </w:r>
    </w:p>
    <w:p>
      <w:pPr>
        <w:jc w:val="center"/>
      </w:pPr>
      <w:r>
        <w:t>Name: KADARI MOHAN SANDHYA</w:t>
      </w:r>
    </w:p>
    <w:p>
      <w:pPr>
        <w:jc w:val="center"/>
      </w:pPr>
      <w:r>
        <w:t>Task: Security Policy Review</w:t>
      </w:r>
    </w:p>
    <w:p>
      <w:pPr>
        <w:jc w:val="center"/>
      </w:pPr>
      <w:r>
        <w:t>Organization: Hypothetical Medium-Sized Organization</w:t>
      </w:r>
    </w:p>
    <w:p>
      <w:pPr>
        <w:jc w:val="center"/>
      </w:pPr>
      <w:r>
        <w:t>Date: 22 August 2026</w:t>
      </w:r>
    </w:p>
    <w:p>
      <w:r>
        <w:br w:type="page"/>
      </w:r>
    </w:p>
    <w:p>
      <w:pPr>
        <w:pStyle w:val="Heading1"/>
      </w:pPr>
      <w:r>
        <w:t>Executive Summary</w:t>
      </w:r>
    </w:p>
    <w:p>
      <w:r>
        <w:t>This report reviews a hypothetical organization's security policy and identifies practical gaps that could increase cyber risk. Because the task instructions provided here do not include the separate policy text, this report explicitly uses a hypothetical baseline policy containing broad rules for passwords, acceptable use, remote access, data protection, incident reporting, third-party access, and employee responsibilities. The critique focuses on how those broad requirements can be made measurable, enforceable, and auditable.</w:t>
      </w:r>
    </w:p>
    <w:p>
      <w:r>
        <w:t>The recommendations are organized using NIST Cybersecurity Framework 2.0 concepts. NIST CSF 2.0 helps organizations manage cybersecurity risk and includes outcomes for governance, identity and access control, awareness and training, data security, risk assessment, incident management, and improvement. citeturn0search0turn0search25</w:t>
      </w:r>
    </w:p>
    <w:p>
      <w:r>
        <w:t>The highest priorities are MFA and privileged-access protection, formal access lifecycle management, incident reporting, vulnerability management, protected backups, and governance. The report also includes real-world case studies, concrete control improvements, owners, evidence of compliance, and a phased implementation roadmap.</w:t>
      </w:r>
    </w:p>
    <w:p>
      <w:pPr>
        <w:pStyle w:val="Heading1"/>
      </w:pPr>
      <w:r>
        <w:t>1. Review Method</w:t>
      </w:r>
    </w:p>
    <w:p>
      <w:r>
        <w:t>The review asks whether each policy area is clear, measurable, assigned to an owner, verifiable, and relevant to realistic threats. NIST CSF 2.0 is used as a reference framework because it provides outcomes that organizations can use to assess and prioritize cybersecurity improvements. citeturn0search0</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Area</w:t>
            </w:r>
          </w:p>
        </w:tc>
        <w:tc>
          <w:tcPr>
            <w:tcW w:type="dxa" w:w="3312"/>
          </w:tcPr>
          <w:p>
            <w:r>
              <w:t>Review Question</w:t>
            </w:r>
          </w:p>
        </w:tc>
        <w:tc>
          <w:tcPr>
            <w:tcW w:type="dxa" w:w="3312"/>
          </w:tcPr>
          <w:p>
            <w:r>
              <w:t>Desired Improvement</w:t>
            </w:r>
          </w:p>
        </w:tc>
      </w:tr>
      <w:tr>
        <w:tc>
          <w:tcPr>
            <w:tcW w:type="dxa" w:w="3312"/>
          </w:tcPr>
          <w:p>
            <w:r>
              <w:t>Governance</w:t>
            </w:r>
          </w:p>
        </w:tc>
        <w:tc>
          <w:tcPr>
            <w:tcW w:type="dxa" w:w="3312"/>
          </w:tcPr>
          <w:p>
            <w:r>
              <w:t>Who owns, approves and reviews the policy?</w:t>
            </w:r>
          </w:p>
        </w:tc>
        <w:tc>
          <w:tcPr>
            <w:tcW w:type="dxa" w:w="3312"/>
          </w:tcPr>
          <w:p>
            <w:r>
              <w:t>Named owner, approval authority and review cycle</w:t>
            </w:r>
          </w:p>
        </w:tc>
      </w:tr>
      <w:tr>
        <w:tc>
          <w:tcPr>
            <w:tcW w:type="dxa" w:w="3312"/>
          </w:tcPr>
          <w:p>
            <w:r>
              <w:t>Access</w:t>
            </w:r>
          </w:p>
        </w:tc>
        <w:tc>
          <w:tcPr>
            <w:tcW w:type="dxa" w:w="3312"/>
          </w:tcPr>
          <w:p>
            <w:r>
              <w:t>How is access granted, protected and removed?</w:t>
            </w:r>
          </w:p>
        </w:tc>
        <w:tc>
          <w:tcPr>
            <w:tcW w:type="dxa" w:w="3312"/>
          </w:tcPr>
          <w:p>
            <w:r>
              <w:t>MFA, least privilege and lifecycle controls</w:t>
            </w:r>
          </w:p>
        </w:tc>
      </w:tr>
      <w:tr>
        <w:tc>
          <w:tcPr>
            <w:tcW w:type="dxa" w:w="3312"/>
          </w:tcPr>
          <w:p>
            <w:r>
              <w:t>Data</w:t>
            </w:r>
          </w:p>
        </w:tc>
        <w:tc>
          <w:tcPr>
            <w:tcW w:type="dxa" w:w="3312"/>
          </w:tcPr>
          <w:p>
            <w:r>
              <w:t>How is sensitive information handled?</w:t>
            </w:r>
          </w:p>
        </w:tc>
        <w:tc>
          <w:tcPr>
            <w:tcW w:type="dxa" w:w="3312"/>
          </w:tcPr>
          <w:p>
            <w:r>
              <w:t>Classification, encryption, retention and disposal</w:t>
            </w:r>
          </w:p>
        </w:tc>
      </w:tr>
      <w:tr>
        <w:tc>
          <w:tcPr>
            <w:tcW w:type="dxa" w:w="3312"/>
          </w:tcPr>
          <w:p>
            <w:r>
              <w:t>Operations</w:t>
            </w:r>
          </w:p>
        </w:tc>
        <w:tc>
          <w:tcPr>
            <w:tcW w:type="dxa" w:w="3312"/>
          </w:tcPr>
          <w:p>
            <w:r>
              <w:t>How are systems maintained?</w:t>
            </w:r>
          </w:p>
        </w:tc>
        <w:tc>
          <w:tcPr>
            <w:tcW w:type="dxa" w:w="3312"/>
          </w:tcPr>
          <w:p>
            <w:r>
              <w:t>Patch, configuration, logging and monitoring rules</w:t>
            </w:r>
          </w:p>
        </w:tc>
      </w:tr>
      <w:tr>
        <w:tc>
          <w:tcPr>
            <w:tcW w:type="dxa" w:w="3312"/>
          </w:tcPr>
          <w:p>
            <w:r>
              <w:t>People</w:t>
            </w:r>
          </w:p>
        </w:tc>
        <w:tc>
          <w:tcPr>
            <w:tcW w:type="dxa" w:w="3312"/>
          </w:tcPr>
          <w:p>
            <w:r>
              <w:t>How are users trained?</w:t>
            </w:r>
          </w:p>
        </w:tc>
        <w:tc>
          <w:tcPr>
            <w:tcW w:type="dxa" w:w="3312"/>
          </w:tcPr>
          <w:p>
            <w:r>
              <w:t>Mandatory, measurable awareness training</w:t>
            </w:r>
          </w:p>
        </w:tc>
      </w:tr>
      <w:tr>
        <w:tc>
          <w:tcPr>
            <w:tcW w:type="dxa" w:w="3312"/>
          </w:tcPr>
          <w:p>
            <w:r>
              <w:t>Incidents</w:t>
            </w:r>
          </w:p>
        </w:tc>
        <w:tc>
          <w:tcPr>
            <w:tcW w:type="dxa" w:w="3312"/>
          </w:tcPr>
          <w:p>
            <w:r>
              <w:t>How are events reported and escalated?</w:t>
            </w:r>
          </w:p>
        </w:tc>
        <w:tc>
          <w:tcPr>
            <w:tcW w:type="dxa" w:w="3312"/>
          </w:tcPr>
          <w:p>
            <w:r>
              <w:t>Defined channel, priority and response process</w:t>
            </w:r>
          </w:p>
        </w:tc>
      </w:tr>
      <w:tr>
        <w:tc>
          <w:tcPr>
            <w:tcW w:type="dxa" w:w="3312"/>
          </w:tcPr>
          <w:p>
            <w:r>
              <w:t>Third Parties</w:t>
            </w:r>
          </w:p>
        </w:tc>
        <w:tc>
          <w:tcPr>
            <w:tcW w:type="dxa" w:w="3312"/>
          </w:tcPr>
          <w:p>
            <w:r>
              <w:t>How are vendors controlled?</w:t>
            </w:r>
          </w:p>
        </w:tc>
        <w:tc>
          <w:tcPr>
            <w:tcW w:type="dxa" w:w="3312"/>
          </w:tcPr>
          <w:p>
            <w:r>
              <w:t>Risk assessment, contractual controls and offboarding</w:t>
            </w:r>
          </w:p>
        </w:tc>
      </w:tr>
      <w:tr>
        <w:tc>
          <w:tcPr>
            <w:tcW w:type="dxa" w:w="3312"/>
          </w:tcPr>
          <w:p>
            <w:r>
              <w:t>Assurance</w:t>
            </w:r>
          </w:p>
        </w:tc>
        <w:tc>
          <w:tcPr>
            <w:tcW w:type="dxa" w:w="3312"/>
          </w:tcPr>
          <w:p>
            <w:r>
              <w:t>How is compliance checked?</w:t>
            </w:r>
          </w:p>
        </w:tc>
        <w:tc>
          <w:tcPr>
            <w:tcW w:type="dxa" w:w="3312"/>
          </w:tcPr>
          <w:p>
            <w:r>
              <w:t>Audits, metrics, exceptions and corrective actions</w:t>
            </w:r>
          </w:p>
        </w:tc>
      </w:tr>
    </w:tbl>
    <w:p>
      <w:pPr>
        <w:pStyle w:val="Heading1"/>
      </w:pPr>
      <w:r>
        <w:t>2. Hypothetical Policy Baseline</w:t>
      </w:r>
    </w:p>
    <w:p>
      <w:r>
        <w:t>For this academic review, the hypothetical policy is assumed to say that employees must use strong passwords, protect confidential information, use secure remote access, report suspicious activity, access only information needed for their work, and require third parties to follow security requirements. These statements establish good intent but are not detailed enough for consistent enforcement.</w:t>
      </w:r>
    </w:p>
    <w:p>
      <w:r>
        <w:t>A mature policy should specify what is required, who is responsible, how compliance is measured, what evidence is retained, how exceptions are approved, and when the requirement is reviewed.</w:t>
      </w:r>
    </w:p>
    <w:p>
      <w:pPr>
        <w:pStyle w:val="Heading1"/>
      </w:pPr>
      <w:r>
        <w:t>3. Key Findings and Recommendations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Priority</w:t>
            </w:r>
          </w:p>
        </w:tc>
        <w:tc>
          <w:tcPr>
            <w:tcW w:type="dxa" w:w="1987"/>
          </w:tcPr>
          <w:p>
            <w:r>
              <w:t>Weakness</w:t>
            </w:r>
          </w:p>
        </w:tc>
        <w:tc>
          <w:tcPr>
            <w:tcW w:type="dxa" w:w="1987"/>
          </w:tcPr>
          <w:p>
            <w:r>
              <w:t>Risk</w:t>
            </w:r>
          </w:p>
        </w:tc>
        <w:tc>
          <w:tcPr>
            <w:tcW w:type="dxa" w:w="1987"/>
          </w:tcPr>
          <w:p>
            <w:r>
              <w:t>Concrete Recommendation</w:t>
            </w:r>
          </w:p>
        </w:tc>
        <w:tc>
          <w:tcPr>
            <w:tcW w:type="dxa" w:w="1987"/>
          </w:tcPr>
          <w:p>
            <w:r>
              <w:t>Owner</w:t>
            </w:r>
          </w:p>
        </w:tc>
      </w:tr>
      <w:tr>
        <w:tc>
          <w:tcPr>
            <w:tcW w:type="dxa" w:w="1987"/>
          </w:tcPr>
          <w:p>
            <w:r>
              <w:t>HIGH</w:t>
            </w:r>
          </w:p>
        </w:tc>
        <w:tc>
          <w:tcPr>
            <w:tcW w:type="dxa" w:w="1987"/>
          </w:tcPr>
          <w:p>
            <w:r>
              <w:t>MFA is not mandatory or specific</w:t>
            </w:r>
          </w:p>
        </w:tc>
        <w:tc>
          <w:tcPr>
            <w:tcW w:type="dxa" w:w="1987"/>
          </w:tcPr>
          <w:p>
            <w:r>
              <w:t>Stolen passwords may provide access to high-value systems.</w:t>
            </w:r>
          </w:p>
        </w:tc>
        <w:tc>
          <w:tcPr>
            <w:tcW w:type="dxa" w:w="1987"/>
          </w:tcPr>
          <w:p>
            <w:r>
              <w:t>Require MFA for remote, privileged and other high-risk access; use stronger phishing-resistant methods where feasible.</w:t>
            </w:r>
          </w:p>
        </w:tc>
        <w:tc>
          <w:tcPr>
            <w:tcW w:type="dxa" w:w="1987"/>
          </w:tcPr>
          <w:p>
            <w:r>
              <w:t>CISO / IAM</w:t>
            </w:r>
          </w:p>
        </w:tc>
      </w:tr>
      <w:tr>
        <w:tc>
          <w:tcPr>
            <w:tcW w:type="dxa" w:w="1987"/>
          </w:tcPr>
          <w:p>
            <w:r>
              <w:t>HIGH</w:t>
            </w:r>
          </w:p>
        </w:tc>
        <w:tc>
          <w:tcPr>
            <w:tcW w:type="dxa" w:w="1987"/>
          </w:tcPr>
          <w:p>
            <w:r>
              <w:t>Access reviews and offboarding are undefined</w:t>
            </w:r>
          </w:p>
        </w:tc>
        <w:tc>
          <w:tcPr>
            <w:tcW w:type="dxa" w:w="1987"/>
          </w:tcPr>
          <w:p>
            <w:r>
              <w:t>Former or transferred users may retain unnecessary access.</w:t>
            </w:r>
          </w:p>
        </w:tc>
        <w:tc>
          <w:tcPr>
            <w:tcW w:type="dxa" w:w="1987"/>
          </w:tcPr>
          <w:p>
            <w:r>
              <w:t>Implement joiner-mover-leaver workflow and periodic access reviews.</w:t>
            </w:r>
          </w:p>
        </w:tc>
        <w:tc>
          <w:tcPr>
            <w:tcW w:type="dxa" w:w="1987"/>
          </w:tcPr>
          <w:p>
            <w:r>
              <w:t>IAM / HR / Managers</w:t>
            </w:r>
          </w:p>
        </w:tc>
      </w:tr>
      <w:tr>
        <w:tc>
          <w:tcPr>
            <w:tcW w:type="dxa" w:w="1987"/>
          </w:tcPr>
          <w:p>
            <w:r>
              <w:t>HIGH</w:t>
            </w:r>
          </w:p>
        </w:tc>
        <w:tc>
          <w:tcPr>
            <w:tcW w:type="dxa" w:w="1987"/>
          </w:tcPr>
          <w:p>
            <w:r>
              <w:t>Incident reporting has no clear deadline/channel</w:t>
            </w:r>
          </w:p>
        </w:tc>
        <w:tc>
          <w:tcPr>
            <w:tcW w:type="dxa" w:w="1987"/>
          </w:tcPr>
          <w:p>
            <w:r>
              <w:t>Delayed reporting can increase attacker impact.</w:t>
            </w:r>
          </w:p>
        </w:tc>
        <w:tc>
          <w:tcPr>
            <w:tcW w:type="dxa" w:w="1987"/>
          </w:tcPr>
          <w:p>
            <w:r>
              <w:t>Provide one reporting channel and require immediate reporting of suspected compromise, phishing and data exposure.</w:t>
            </w:r>
          </w:p>
        </w:tc>
        <w:tc>
          <w:tcPr>
            <w:tcW w:type="dxa" w:w="1987"/>
          </w:tcPr>
          <w:p>
            <w:r>
              <w:t>SOC</w:t>
            </w:r>
          </w:p>
        </w:tc>
      </w:tr>
      <w:tr>
        <w:tc>
          <w:tcPr>
            <w:tcW w:type="dxa" w:w="1987"/>
          </w:tcPr>
          <w:p>
            <w:r>
              <w:t>HIGH</w:t>
            </w:r>
          </w:p>
        </w:tc>
        <w:tc>
          <w:tcPr>
            <w:tcW w:type="dxa" w:w="1987"/>
          </w:tcPr>
          <w:p>
            <w:r>
              <w:t>Patch requirements have no targets</w:t>
            </w:r>
          </w:p>
        </w:tc>
        <w:tc>
          <w:tcPr>
            <w:tcW w:type="dxa" w:w="1987"/>
          </w:tcPr>
          <w:p>
            <w:r>
              <w:t>Known vulnerabilities may remain exploitable.</w:t>
            </w:r>
          </w:p>
        </w:tc>
        <w:tc>
          <w:tcPr>
            <w:tcW w:type="dxa" w:w="1987"/>
          </w:tcPr>
          <w:p>
            <w:r>
              <w:t>Set risk-based remediation targets and documented emergency procedures.</w:t>
            </w:r>
          </w:p>
        </w:tc>
        <w:tc>
          <w:tcPr>
            <w:tcW w:type="dxa" w:w="1987"/>
          </w:tcPr>
          <w:p>
            <w:r>
              <w:t>IT / Vulnerability Team</w:t>
            </w:r>
          </w:p>
        </w:tc>
      </w:tr>
      <w:tr>
        <w:tc>
          <w:tcPr>
            <w:tcW w:type="dxa" w:w="1987"/>
          </w:tcPr>
          <w:p>
            <w:r>
              <w:t>HIGH</w:t>
            </w:r>
          </w:p>
        </w:tc>
        <w:tc>
          <w:tcPr>
            <w:tcW w:type="dxa" w:w="1987"/>
          </w:tcPr>
          <w:p>
            <w:r>
              <w:t>Backup controls are vague</w:t>
            </w:r>
          </w:p>
        </w:tc>
        <w:tc>
          <w:tcPr>
            <w:tcW w:type="dxa" w:w="1987"/>
          </w:tcPr>
          <w:p>
            <w:r>
              <w:t>Ransomware may prevent recovery.</w:t>
            </w:r>
          </w:p>
        </w:tc>
        <w:tc>
          <w:tcPr>
            <w:tcW w:type="dxa" w:w="1987"/>
          </w:tcPr>
          <w:p>
            <w:r>
              <w:t>Define backup frequency, protected copies, access restrictions and restoration testing.</w:t>
            </w:r>
          </w:p>
        </w:tc>
        <w:tc>
          <w:tcPr>
            <w:tcW w:type="dxa" w:w="1987"/>
          </w:tcPr>
          <w:p>
            <w:r>
              <w:t>IT / Continuity</w:t>
            </w:r>
          </w:p>
        </w:tc>
      </w:tr>
      <w:tr>
        <w:tc>
          <w:tcPr>
            <w:tcW w:type="dxa" w:w="1987"/>
          </w:tcPr>
          <w:p>
            <w:r>
              <w:t>MEDIUM</w:t>
            </w:r>
          </w:p>
        </w:tc>
        <w:tc>
          <w:tcPr>
            <w:tcW w:type="dxa" w:w="1987"/>
          </w:tcPr>
          <w:p>
            <w:r>
              <w:t>Data classification is vague</w:t>
            </w:r>
          </w:p>
        </w:tc>
        <w:tc>
          <w:tcPr>
            <w:tcW w:type="dxa" w:w="1987"/>
          </w:tcPr>
          <w:p>
            <w:r>
              <w:t>Sensitive data may be mishandled.</w:t>
            </w:r>
          </w:p>
        </w:tc>
        <w:tc>
          <w:tcPr>
            <w:tcW w:type="dxa" w:w="1987"/>
          </w:tcPr>
          <w:p>
            <w:r>
              <w:t>Define Public, Internal, Confidential and Restricted categories and handling rules.</w:t>
            </w:r>
          </w:p>
        </w:tc>
        <w:tc>
          <w:tcPr>
            <w:tcW w:type="dxa" w:w="1987"/>
          </w:tcPr>
          <w:p>
            <w:r>
              <w:t>Data Owner</w:t>
            </w:r>
          </w:p>
        </w:tc>
      </w:tr>
      <w:tr>
        <w:tc>
          <w:tcPr>
            <w:tcW w:type="dxa" w:w="1987"/>
          </w:tcPr>
          <w:p>
            <w:r>
              <w:t>MEDIUM</w:t>
            </w:r>
          </w:p>
        </w:tc>
        <w:tc>
          <w:tcPr>
            <w:tcW w:type="dxa" w:w="1987"/>
          </w:tcPr>
          <w:p>
            <w:r>
              <w:t>Training is not measurable</w:t>
            </w:r>
          </w:p>
        </w:tc>
        <w:tc>
          <w:tcPr>
            <w:tcW w:type="dxa" w:w="1987"/>
          </w:tcPr>
          <w:p>
            <w:r>
              <w:t>Users may not recognize or report attacks.</w:t>
            </w:r>
          </w:p>
        </w:tc>
        <w:tc>
          <w:tcPr>
            <w:tcW w:type="dxa" w:w="1987"/>
          </w:tcPr>
          <w:p>
            <w:r>
              <w:t>Require onboarding and annual training; track completion and role-based training.</w:t>
            </w:r>
          </w:p>
        </w:tc>
        <w:tc>
          <w:tcPr>
            <w:tcW w:type="dxa" w:w="1987"/>
          </w:tcPr>
          <w:p>
            <w:r>
              <w:t>HR / Security</w:t>
            </w:r>
          </w:p>
        </w:tc>
      </w:tr>
      <w:tr>
        <w:tc>
          <w:tcPr>
            <w:tcW w:type="dxa" w:w="1987"/>
          </w:tcPr>
          <w:p>
            <w:r>
              <w:t>MEDIUM</w:t>
            </w:r>
          </w:p>
        </w:tc>
        <w:tc>
          <w:tcPr>
            <w:tcW w:type="dxa" w:w="1987"/>
          </w:tcPr>
          <w:p>
            <w:r>
              <w:t>Vendor security is broad</w:t>
            </w:r>
          </w:p>
        </w:tc>
        <w:tc>
          <w:tcPr>
            <w:tcW w:type="dxa" w:w="1987"/>
          </w:tcPr>
          <w:p>
            <w:r>
              <w:t>Third-party compromise may expose systems/data.</w:t>
            </w:r>
          </w:p>
        </w:tc>
        <w:tc>
          <w:tcPr>
            <w:tcW w:type="dxa" w:w="1987"/>
          </w:tcPr>
          <w:p>
            <w:r>
              <w:t>Add security clauses, assessment, breach notification, access controls and secure offboarding.</w:t>
            </w:r>
          </w:p>
        </w:tc>
        <w:tc>
          <w:tcPr>
            <w:tcW w:type="dxa" w:w="1987"/>
          </w:tcPr>
          <w:p>
            <w:r>
              <w:t>Procurement / Security</w:t>
            </w:r>
          </w:p>
        </w:tc>
      </w:tr>
      <w:tr>
        <w:tc>
          <w:tcPr>
            <w:tcW w:type="dxa" w:w="1987"/>
          </w:tcPr>
          <w:p>
            <w:r>
              <w:t>MEDIUM</w:t>
            </w:r>
          </w:p>
        </w:tc>
        <w:tc>
          <w:tcPr>
            <w:tcW w:type="dxa" w:w="1987"/>
          </w:tcPr>
          <w:p>
            <w:r>
              <w:t>Exceptions are not governed</w:t>
            </w:r>
          </w:p>
        </w:tc>
        <w:tc>
          <w:tcPr>
            <w:tcW w:type="dxa" w:w="1987"/>
          </w:tcPr>
          <w:p>
            <w:r>
              <w:t>Temporary weaknesses can become permanent.</w:t>
            </w:r>
          </w:p>
        </w:tc>
        <w:tc>
          <w:tcPr>
            <w:tcW w:type="dxa" w:w="1987"/>
          </w:tcPr>
          <w:p>
            <w:r>
              <w:t>Require justification, risk assessment, compensating control, approval and expiry.</w:t>
            </w:r>
          </w:p>
        </w:tc>
        <w:tc>
          <w:tcPr>
            <w:tcW w:type="dxa" w:w="1987"/>
          </w:tcPr>
          <w:p>
            <w:r>
              <w:t>Risk Owner</w:t>
            </w:r>
          </w:p>
        </w:tc>
      </w:tr>
      <w:tr>
        <w:tc>
          <w:tcPr>
            <w:tcW w:type="dxa" w:w="1987"/>
          </w:tcPr>
          <w:p>
            <w:r>
              <w:t>LOW</w:t>
            </w:r>
          </w:p>
        </w:tc>
        <w:tc>
          <w:tcPr>
            <w:tcW w:type="dxa" w:w="1987"/>
          </w:tcPr>
          <w:p>
            <w:r>
              <w:t>Review cycle is unclear</w:t>
            </w:r>
          </w:p>
        </w:tc>
        <w:tc>
          <w:tcPr>
            <w:tcW w:type="dxa" w:w="1987"/>
          </w:tcPr>
          <w:p>
            <w:r>
              <w:t>Policy can become outdated.</w:t>
            </w:r>
          </w:p>
        </w:tc>
        <w:tc>
          <w:tcPr>
            <w:tcW w:type="dxa" w:w="1987"/>
          </w:tcPr>
          <w:p>
            <w:r>
              <w:t>Review at least annually and after major incidents or major changes.</w:t>
            </w:r>
          </w:p>
        </w:tc>
        <w:tc>
          <w:tcPr>
            <w:tcW w:type="dxa" w:w="1987"/>
          </w:tcPr>
          <w:p>
            <w:r>
              <w:t>Policy Owner</w:t>
            </w:r>
          </w:p>
        </w:tc>
      </w:tr>
    </w:tbl>
    <w:p>
      <w:pPr>
        <w:pStyle w:val="Heading1"/>
      </w:pPr>
      <w:r>
        <w:t>4. Identity and Access Control</w:t>
      </w:r>
    </w:p>
    <w:p>
      <w:r>
        <w:t>A policy that only says 'use strong passwords' is incomplete. NIST CSF 2.0 states that access permissions and authorizations should be defined in policy, managed, enforced and reviewed using least privilege and separation of duties. citeturn0search26</w:t>
      </w:r>
    </w:p>
    <w:p>
      <w:pPr>
        <w:pStyle w:val="ListBullet"/>
      </w:pPr>
      <w:r>
        <w:t>Require unique user accounts and controlled administrative identities.</w:t>
      </w:r>
    </w:p>
    <w:p>
      <w:pPr>
        <w:pStyle w:val="ListBullet"/>
      </w:pPr>
      <w:r>
        <w:t>Require MFA for privileged, remote and high-value access.</w:t>
      </w:r>
    </w:p>
    <w:p>
      <w:pPr>
        <w:pStyle w:val="ListBullet"/>
      </w:pPr>
      <w:r>
        <w:t>Use least privilege and role-based access.</w:t>
      </w:r>
    </w:p>
    <w:p>
      <w:pPr>
        <w:pStyle w:val="ListBullet"/>
      </w:pPr>
      <w:r>
        <w:t>Review privileged access regularly.</w:t>
      </w:r>
    </w:p>
    <w:p>
      <w:pPr>
        <w:pStyle w:val="ListBullet"/>
      </w:pPr>
      <w:r>
        <w:t>Automate joiner-mover-leaver processes where possible.</w:t>
      </w:r>
    </w:p>
    <w:p>
      <w:pPr>
        <w:pStyle w:val="ListBullet"/>
      </w:pPr>
      <w:r>
        <w:t>Disable access promptly when employment or business need ends.</w:t>
      </w:r>
    </w:p>
    <w:p>
      <w:pPr>
        <w:pStyle w:val="ListBullet"/>
      </w:pPr>
      <w:r>
        <w:t>Record approvals and evidence for sensitive access reviews.</w:t>
      </w:r>
    </w:p>
    <w:p>
      <w:pPr>
        <w:pStyle w:val="Heading1"/>
      </w:pPr>
      <w:r>
        <w:t>5. Authentication Policy Improvements</w:t>
      </w:r>
    </w:p>
    <w:p>
      <w:r>
        <w:t>The policy should define authentication requirements instead of using only general language. CISA guidance recommends MFA for remote work and strong, unique passwords. citeturn0search28</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Weak Wording</w:t>
            </w:r>
          </w:p>
        </w:tc>
        <w:tc>
          <w:tcPr>
            <w:tcW w:type="dxa" w:w="3312"/>
          </w:tcPr>
          <w:p>
            <w:r>
              <w:t>Recommended Requirement</w:t>
            </w:r>
          </w:p>
        </w:tc>
        <w:tc>
          <w:tcPr>
            <w:tcW w:type="dxa" w:w="3312"/>
          </w:tcPr>
          <w:p>
            <w:r>
              <w:t>Evidence</w:t>
            </w:r>
          </w:p>
        </w:tc>
      </w:tr>
      <w:tr>
        <w:tc>
          <w:tcPr>
            <w:tcW w:type="dxa" w:w="3312"/>
          </w:tcPr>
          <w:p>
            <w:r>
              <w:t>Use strong passwords.</w:t>
            </w:r>
          </w:p>
        </w:tc>
        <w:tc>
          <w:tcPr>
            <w:tcW w:type="dxa" w:w="3312"/>
          </w:tcPr>
          <w:p>
            <w:r>
              <w:t>Use unique passwords and approved password-management controls; prohibit reuse of known compromised credentials where supported.</w:t>
            </w:r>
          </w:p>
        </w:tc>
        <w:tc>
          <w:tcPr>
            <w:tcW w:type="dxa" w:w="3312"/>
          </w:tcPr>
          <w:p>
            <w:r>
              <w:t>IAM configuration</w:t>
            </w:r>
          </w:p>
        </w:tc>
      </w:tr>
      <w:tr>
        <w:tc>
          <w:tcPr>
            <w:tcW w:type="dxa" w:w="3312"/>
          </w:tcPr>
          <w:p>
            <w:r>
              <w:t>Secure remote access.</w:t>
            </w:r>
          </w:p>
        </w:tc>
        <w:tc>
          <w:tcPr>
            <w:tcW w:type="dxa" w:w="3312"/>
          </w:tcPr>
          <w:p>
            <w:r>
              <w:t>Require MFA for remote access and privileged access.</w:t>
            </w:r>
          </w:p>
        </w:tc>
        <w:tc>
          <w:tcPr>
            <w:tcW w:type="dxa" w:w="3312"/>
          </w:tcPr>
          <w:p>
            <w:r>
              <w:t>Authentication logs</w:t>
            </w:r>
          </w:p>
        </w:tc>
      </w:tr>
      <w:tr>
        <w:tc>
          <w:tcPr>
            <w:tcW w:type="dxa" w:w="3312"/>
          </w:tcPr>
          <w:p>
            <w:r>
              <w:t>Protect admin accounts.</w:t>
            </w:r>
          </w:p>
        </w:tc>
        <w:tc>
          <w:tcPr>
            <w:tcW w:type="dxa" w:w="3312"/>
          </w:tcPr>
          <w:p>
            <w:r>
              <w:t>Use separate administrative identities and least privilege.</w:t>
            </w:r>
          </w:p>
        </w:tc>
        <w:tc>
          <w:tcPr>
            <w:tcW w:type="dxa" w:w="3312"/>
          </w:tcPr>
          <w:p>
            <w:r>
              <w:t>Access review records</w:t>
            </w:r>
          </w:p>
        </w:tc>
      </w:tr>
      <w:tr>
        <w:tc>
          <w:tcPr>
            <w:tcW w:type="dxa" w:w="3312"/>
          </w:tcPr>
          <w:p>
            <w:r>
              <w:t>Review access.</w:t>
            </w:r>
          </w:p>
        </w:tc>
        <w:tc>
          <w:tcPr>
            <w:tcW w:type="dxa" w:w="3312"/>
          </w:tcPr>
          <w:p>
            <w:r>
              <w:t>Managers/system owners approve periodic access reviews.</w:t>
            </w:r>
          </w:p>
        </w:tc>
        <w:tc>
          <w:tcPr>
            <w:tcW w:type="dxa" w:w="3312"/>
          </w:tcPr>
          <w:p>
            <w:r>
              <w:t>Review reports</w:t>
            </w:r>
          </w:p>
        </w:tc>
      </w:tr>
    </w:tbl>
    <w:p>
      <w:pPr>
        <w:pStyle w:val="Heading1"/>
      </w:pPr>
      <w:r>
        <w:t>6. Data Protection</w:t>
      </w:r>
    </w:p>
    <w:p>
      <w:r>
        <w:t>The policy should define what information is sensitive and how it must be handled. NIST CSF 2.0 includes Data Security as a protection outcome and emphasizes managing data consistently with organizational risk. citeturn0search26</w:t>
      </w:r>
    </w:p>
    <w:p>
      <w:pPr>
        <w:pStyle w:val="ListBullet"/>
      </w:pPr>
      <w:r>
        <w:t>Create Public, Internal, Confidential and Restricted classifications.</w:t>
      </w:r>
    </w:p>
    <w:p>
      <w:pPr>
        <w:pStyle w:val="ListBullet"/>
      </w:pPr>
      <w:r>
        <w:t>Define approved storage and sharing locations.</w:t>
      </w:r>
    </w:p>
    <w:p>
      <w:pPr>
        <w:pStyle w:val="ListBullet"/>
      </w:pPr>
      <w:r>
        <w:t>Encrypt sensitive data in transit and at rest where appropriate.</w:t>
      </w:r>
    </w:p>
    <w:p>
      <w:pPr>
        <w:pStyle w:val="ListBullet"/>
      </w:pPr>
      <w:r>
        <w:t>Define retention and secure disposal requirements.</w:t>
      </w:r>
    </w:p>
    <w:p>
      <w:pPr>
        <w:pStyle w:val="ListBullet"/>
      </w:pPr>
      <w:r>
        <w:t>Assign owners to sensitive datasets.</w:t>
      </w:r>
    </w:p>
    <w:p>
      <w:pPr>
        <w:pStyle w:val="ListBullet"/>
      </w:pPr>
      <w:r>
        <w:t>Review access when business purpose or ownership changes.</w:t>
      </w:r>
    </w:p>
    <w:p>
      <w:pPr>
        <w:pStyle w:val="Heading1"/>
      </w:pPr>
      <w:r>
        <w:t>7. Vulnerability and Patch Management</w:t>
      </w:r>
    </w:p>
    <w:p>
      <w:r>
        <w:t>A policy should turn the general goal of maintaining secure systems into measurable operational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Risk</w:t>
            </w:r>
          </w:p>
        </w:tc>
        <w:tc>
          <w:tcPr>
            <w:tcW w:type="dxa" w:w="3312"/>
          </w:tcPr>
          <w:p>
            <w:r>
              <w:t>Recommendation</w:t>
            </w:r>
          </w:p>
        </w:tc>
        <w:tc>
          <w:tcPr>
            <w:tcW w:type="dxa" w:w="3312"/>
          </w:tcPr>
          <w:p>
            <w:r>
              <w:t>Evidence</w:t>
            </w:r>
          </w:p>
        </w:tc>
      </w:tr>
      <w:tr>
        <w:tc>
          <w:tcPr>
            <w:tcW w:type="dxa" w:w="3312"/>
          </w:tcPr>
          <w:p>
            <w:r>
              <w:t>Critical vulnerability</w:t>
            </w:r>
          </w:p>
        </w:tc>
        <w:tc>
          <w:tcPr>
            <w:tcW w:type="dxa" w:w="3312"/>
          </w:tcPr>
          <w:p>
            <w:r>
              <w:t>Prioritize emergency remediation according to risk and exposure; document exceptions.</w:t>
            </w:r>
          </w:p>
        </w:tc>
        <w:tc>
          <w:tcPr>
            <w:tcW w:type="dxa" w:w="3312"/>
          </w:tcPr>
          <w:p>
            <w:r>
              <w:t>Scanner reports / tickets</w:t>
            </w:r>
          </w:p>
        </w:tc>
      </w:tr>
      <w:tr>
        <w:tc>
          <w:tcPr>
            <w:tcW w:type="dxa" w:w="3312"/>
          </w:tcPr>
          <w:p>
            <w:r>
              <w:t>Unsupported software</w:t>
            </w:r>
          </w:p>
        </w:tc>
        <w:tc>
          <w:tcPr>
            <w:tcW w:type="dxa" w:w="3312"/>
          </w:tcPr>
          <w:p>
            <w:r>
              <w:t>Prohibit it unless an approved exception and compensating control exists.</w:t>
            </w:r>
          </w:p>
        </w:tc>
        <w:tc>
          <w:tcPr>
            <w:tcW w:type="dxa" w:w="3312"/>
          </w:tcPr>
          <w:p>
            <w:r>
              <w:t>Asset inventory</w:t>
            </w:r>
          </w:p>
        </w:tc>
      </w:tr>
      <w:tr>
        <w:tc>
          <w:tcPr>
            <w:tcW w:type="dxa" w:w="3312"/>
          </w:tcPr>
          <w:p>
            <w:r>
              <w:t>Configuration drift</w:t>
            </w:r>
          </w:p>
        </w:tc>
        <w:tc>
          <w:tcPr>
            <w:tcW w:type="dxa" w:w="3312"/>
          </w:tcPr>
          <w:p>
            <w:r>
              <w:t>Use secure baselines and periodic compliance checks.</w:t>
            </w:r>
          </w:p>
        </w:tc>
        <w:tc>
          <w:tcPr>
            <w:tcW w:type="dxa" w:w="3312"/>
          </w:tcPr>
          <w:p>
            <w:r>
              <w:t>Configuration reports</w:t>
            </w:r>
          </w:p>
        </w:tc>
      </w:tr>
      <w:tr>
        <w:tc>
          <w:tcPr>
            <w:tcW w:type="dxa" w:w="3312"/>
          </w:tcPr>
          <w:p>
            <w:r>
              <w:t>Internet-facing systems</w:t>
            </w:r>
          </w:p>
        </w:tc>
        <w:tc>
          <w:tcPr>
            <w:tcW w:type="dxa" w:w="3312"/>
          </w:tcPr>
          <w:p>
            <w:r>
              <w:t>Prioritize exposed assets for monitoring and rapid remediation.</w:t>
            </w:r>
          </w:p>
        </w:tc>
        <w:tc>
          <w:tcPr>
            <w:tcW w:type="dxa" w:w="3312"/>
          </w:tcPr>
          <w:p>
            <w:r>
              <w:t>External scan results</w:t>
            </w:r>
          </w:p>
        </w:tc>
      </w:tr>
      <w:tr>
        <w:tc>
          <w:tcPr>
            <w:tcW w:type="dxa" w:w="3312"/>
          </w:tcPr>
          <w:p>
            <w:r>
              <w:t>Patch verification</w:t>
            </w:r>
          </w:p>
        </w:tc>
        <w:tc>
          <w:tcPr>
            <w:tcW w:type="dxa" w:w="3312"/>
          </w:tcPr>
          <w:p>
            <w:r>
              <w:t>Verify deployment before closing remediation tickets.</w:t>
            </w:r>
          </w:p>
        </w:tc>
        <w:tc>
          <w:tcPr>
            <w:tcW w:type="dxa" w:w="3312"/>
          </w:tcPr>
          <w:p>
            <w:r>
              <w:t>Patch records</w:t>
            </w:r>
          </w:p>
        </w:tc>
      </w:tr>
    </w:tbl>
    <w:p>
      <w:pPr>
        <w:pStyle w:val="Heading1"/>
      </w:pPr>
      <w:r>
        <w:t>8. Security Awareness</w:t>
      </w:r>
    </w:p>
    <w:p>
      <w:r>
        <w:t>NIST CSF 2.0 includes awareness and training outcomes so personnel have knowledge and skills to perform cybersecurity-related tasks. citeturn0search26</w:t>
      </w:r>
    </w:p>
    <w:p>
      <w:pPr>
        <w:pStyle w:val="ListBullet"/>
      </w:pPr>
      <w:r>
        <w:t>Provide training during onboarding and at least annually.</w:t>
      </w:r>
    </w:p>
    <w:p>
      <w:pPr>
        <w:pStyle w:val="ListBullet"/>
      </w:pPr>
      <w:r>
        <w:t>Provide role-based training for administrators, developers and other high-risk roles.</w:t>
      </w:r>
    </w:p>
    <w:p>
      <w:pPr>
        <w:pStyle w:val="ListBullet"/>
      </w:pPr>
      <w:r>
        <w:t>Cover phishing, passwords, MFA, data handling, remote work and incident reporting.</w:t>
      </w:r>
    </w:p>
    <w:p>
      <w:pPr>
        <w:pStyle w:val="ListBullet"/>
      </w:pPr>
      <w:r>
        <w:t>Track completion and follow up on overdue training.</w:t>
      </w:r>
    </w:p>
    <w:p>
      <w:pPr>
        <w:pStyle w:val="ListBullet"/>
      </w:pPr>
      <w:r>
        <w:t>Use authorized simulations or exercises to measure readiness.</w:t>
      </w:r>
    </w:p>
    <w:p>
      <w:pPr>
        <w:pStyle w:val="Heading1"/>
      </w:pPr>
      <w:r>
        <w:t>9. Incident Reporting</w:t>
      </w:r>
    </w:p>
    <w:p>
      <w:r>
        <w:t>Employees should report suspected phishing, malware, unauthorized access, lost devices and possible data exposure immediately through a defined channel. NIST CSF 2.0 emphasizes incident triage, validation, categorization, escalation, evidence preservation and incident management. citeturn0search25</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Incident</w:t>
            </w:r>
          </w:p>
        </w:tc>
        <w:tc>
          <w:tcPr>
            <w:tcW w:type="dxa" w:w="3312"/>
          </w:tcPr>
          <w:p>
            <w:r>
              <w:t>Employee Action</w:t>
            </w:r>
          </w:p>
        </w:tc>
        <w:tc>
          <w:tcPr>
            <w:tcW w:type="dxa" w:w="3312"/>
          </w:tcPr>
          <w:p>
            <w:r>
              <w:t>Security Action</w:t>
            </w:r>
          </w:p>
        </w:tc>
      </w:tr>
      <w:tr>
        <w:tc>
          <w:tcPr>
            <w:tcW w:type="dxa" w:w="3312"/>
          </w:tcPr>
          <w:p>
            <w:r>
              <w:t>Phishing</w:t>
            </w:r>
          </w:p>
        </w:tc>
        <w:tc>
          <w:tcPr>
            <w:tcW w:type="dxa" w:w="3312"/>
          </w:tcPr>
          <w:p>
            <w:r>
              <w:t>Report message and stop interacting with it.</w:t>
            </w:r>
          </w:p>
        </w:tc>
        <w:tc>
          <w:tcPr>
            <w:tcW w:type="dxa" w:w="3312"/>
          </w:tcPr>
          <w:p>
            <w:r>
              <w:t>Analyze indicators; secure affected accounts.</w:t>
            </w:r>
          </w:p>
        </w:tc>
      </w:tr>
      <w:tr>
        <w:tc>
          <w:tcPr>
            <w:tcW w:type="dxa" w:w="3312"/>
          </w:tcPr>
          <w:p>
            <w:r>
              <w:t>Lost device</w:t>
            </w:r>
          </w:p>
        </w:tc>
        <w:tc>
          <w:tcPr>
            <w:tcW w:type="dxa" w:w="3312"/>
          </w:tcPr>
          <w:p>
            <w:r>
              <w:t>Report immediately with device details.</w:t>
            </w:r>
          </w:p>
        </w:tc>
        <w:tc>
          <w:tcPr>
            <w:tcW w:type="dxa" w:w="3312"/>
          </w:tcPr>
          <w:p>
            <w:r>
              <w:t>Revoke access and assess data exposure.</w:t>
            </w:r>
          </w:p>
        </w:tc>
      </w:tr>
      <w:tr>
        <w:tc>
          <w:tcPr>
            <w:tcW w:type="dxa" w:w="3312"/>
          </w:tcPr>
          <w:p>
            <w:r>
              <w:t>Malware</w:t>
            </w:r>
          </w:p>
        </w:tc>
        <w:tc>
          <w:tcPr>
            <w:tcW w:type="dxa" w:w="3312"/>
          </w:tcPr>
          <w:p>
            <w:r>
              <w:t>Follow security instructions and report.</w:t>
            </w:r>
          </w:p>
        </w:tc>
        <w:tc>
          <w:tcPr>
            <w:tcW w:type="dxa" w:w="3312"/>
          </w:tcPr>
          <w:p>
            <w:r>
              <w:t>Isolate, investigate and preserve evidence.</w:t>
            </w:r>
          </w:p>
        </w:tc>
      </w:tr>
      <w:tr>
        <w:tc>
          <w:tcPr>
            <w:tcW w:type="dxa" w:w="3312"/>
          </w:tcPr>
          <w:p>
            <w:r>
              <w:t>Credential compromise</w:t>
            </w:r>
          </w:p>
        </w:tc>
        <w:tc>
          <w:tcPr>
            <w:tcW w:type="dxa" w:w="3312"/>
          </w:tcPr>
          <w:p>
            <w:r>
              <w:t>Report immediately; do not reuse password.</w:t>
            </w:r>
          </w:p>
        </w:tc>
        <w:tc>
          <w:tcPr>
            <w:tcW w:type="dxa" w:w="3312"/>
          </w:tcPr>
          <w:p>
            <w:r>
              <w:t>Reset/revoke, investigate sign-ins and scope.</w:t>
            </w:r>
          </w:p>
        </w:tc>
      </w:tr>
      <w:tr>
        <w:tc>
          <w:tcPr>
            <w:tcW w:type="dxa" w:w="3312"/>
          </w:tcPr>
          <w:p>
            <w:r>
              <w:t>Possible data breach</w:t>
            </w:r>
          </w:p>
        </w:tc>
        <w:tc>
          <w:tcPr>
            <w:tcW w:type="dxa" w:w="3312"/>
          </w:tcPr>
          <w:p>
            <w:r>
              <w:t>Report immediately; avoid unnecessary sharing.</w:t>
            </w:r>
          </w:p>
        </w:tc>
        <w:tc>
          <w:tcPr>
            <w:tcW w:type="dxa" w:w="3312"/>
          </w:tcPr>
          <w:p>
            <w:r>
              <w:t>Contain, investigate and coordinate legal/privacy response.</w:t>
            </w:r>
          </w:p>
        </w:tc>
      </w:tr>
    </w:tbl>
    <w:p>
      <w:pPr>
        <w:pStyle w:val="Heading1"/>
      </w:pPr>
      <w:r>
        <w:t>10. Third-Party Security</w:t>
      </w:r>
    </w:p>
    <w:p>
      <w:r>
        <w:t>Third-party access should be treated as a security dependency rather than automatically trusted.</w:t>
      </w:r>
    </w:p>
    <w:p>
      <w:pPr>
        <w:pStyle w:val="ListBullet"/>
      </w:pPr>
      <w:r>
        <w:t>Classify vendors by risk and access level.</w:t>
      </w:r>
    </w:p>
    <w:p>
      <w:pPr>
        <w:pStyle w:val="ListBullet"/>
      </w:pPr>
      <w:r>
        <w:t>Assess high-risk vendors before onboarding.</w:t>
      </w:r>
    </w:p>
    <w:p>
      <w:pPr>
        <w:pStyle w:val="ListBullet"/>
      </w:pPr>
      <w:r>
        <w:t>Include security, confidentiality, breach-notification and access-control requirements in contracts.</w:t>
      </w:r>
    </w:p>
    <w:p>
      <w:pPr>
        <w:pStyle w:val="ListBullet"/>
      </w:pPr>
      <w:r>
        <w:t>Limit vendor access to minimum necessary privileges.</w:t>
      </w:r>
    </w:p>
    <w:p>
      <w:pPr>
        <w:pStyle w:val="ListBullet"/>
      </w:pPr>
      <w:r>
        <w:t>Review vendor access periodically.</w:t>
      </w:r>
    </w:p>
    <w:p>
      <w:pPr>
        <w:pStyle w:val="ListBullet"/>
      </w:pPr>
      <w:r>
        <w:t>Require secure return/deletion of organizational data at termination.</w:t>
      </w:r>
    </w:p>
    <w:p>
      <w:pPr>
        <w:pStyle w:val="ListBullet"/>
      </w:pPr>
      <w:r>
        <w:t>Record and investigate vendor incidents.</w:t>
      </w:r>
    </w:p>
    <w:p>
      <w:r>
        <w:t>NIST CSF 2.0 includes supply-chain risk management outcomes and recommends assessing critical suppliers before acquisition. citeturn0search27</w:t>
      </w:r>
    </w:p>
    <w:p>
      <w:pPr>
        <w:pStyle w:val="Heading1"/>
      </w:pPr>
      <w:r>
        <w:t>11. Logging, Monitoring and Audit</w:t>
      </w:r>
    </w:p>
    <w:p>
      <w:pPr>
        <w:pStyle w:val="ListBullet"/>
      </w:pPr>
      <w:r>
        <w:t>Define critical systems that must produce security logs.</w:t>
      </w:r>
    </w:p>
    <w:p>
      <w:pPr>
        <w:pStyle w:val="ListBullet"/>
      </w:pPr>
      <w:r>
        <w:t>Synchronize system time for reliable event correlation.</w:t>
      </w:r>
    </w:p>
    <w:p>
      <w:pPr>
        <w:pStyle w:val="ListBullet"/>
      </w:pPr>
      <w:r>
        <w:t>Protect logs from unauthorized modification.</w:t>
      </w:r>
    </w:p>
    <w:p>
      <w:pPr>
        <w:pStyle w:val="ListBullet"/>
      </w:pPr>
      <w:r>
        <w:t>Define retention based on business and legal needs.</w:t>
      </w:r>
    </w:p>
    <w:p>
      <w:pPr>
        <w:pStyle w:val="ListBullet"/>
      </w:pPr>
      <w:r>
        <w:t>Monitor authentication, privileged activity, endpoint alerts, network anomalies and cloud events.</w:t>
      </w:r>
    </w:p>
    <w:p>
      <w:pPr>
        <w:pStyle w:val="ListBullet"/>
      </w:pPr>
      <w:r>
        <w:t>Investigate high-risk alerts promptly.</w:t>
      </w:r>
    </w:p>
    <w:p>
      <w:pPr>
        <w:pStyle w:val="ListBullet"/>
      </w:pPr>
      <w:r>
        <w:t>Conduct periodic compliance audits.</w:t>
      </w:r>
    </w:p>
    <w:p>
      <w:pPr>
        <w:pStyle w:val="Heading1"/>
      </w:pPr>
      <w:r>
        <w:t>12. Policy Exceptions</w:t>
      </w:r>
    </w:p>
    <w:p>
      <w:r>
        <w:t>Exceptions can be necessary for legacy systems, but they must be controlled so temporary weaknesses do not become permanent.</w:t>
      </w:r>
    </w:p>
    <w:tbl>
      <w:tblPr>
        <w:tblStyle w:val="TableGrid"/>
        <w:tblW w:type="auto" w:w="0"/>
        <w:jc w:val="center"/>
        <w:tblLook w:firstColumn="1" w:firstRow="1" w:lastColumn="0" w:lastRow="0" w:noHBand="0" w:noVBand="1" w:val="04A0"/>
      </w:tblPr>
      <w:tblGrid>
        <w:gridCol w:w="4968"/>
        <w:gridCol w:w="4968"/>
      </w:tblGrid>
      <w:tr>
        <w:tc>
          <w:tcPr>
            <w:tcW w:type="dxa" w:w="4968"/>
          </w:tcPr>
          <w:p>
            <w:r>
              <w:t>Required Item</w:t>
            </w:r>
          </w:p>
        </w:tc>
        <w:tc>
          <w:tcPr>
            <w:tcW w:type="dxa" w:w="4968"/>
          </w:tcPr>
          <w:p>
            <w:r>
              <w:t>Example</w:t>
            </w:r>
          </w:p>
        </w:tc>
      </w:tr>
      <w:tr>
        <w:tc>
          <w:tcPr>
            <w:tcW w:type="dxa" w:w="4968"/>
          </w:tcPr>
          <w:p>
            <w:r>
              <w:t>Business justification</w:t>
            </w:r>
          </w:p>
        </w:tc>
        <w:tc>
          <w:tcPr>
            <w:tcW w:type="dxa" w:w="4968"/>
          </w:tcPr>
          <w:p>
            <w:r>
              <w:t>Legacy application cannot support MFA yet.</w:t>
            </w:r>
          </w:p>
        </w:tc>
      </w:tr>
      <w:tr>
        <w:tc>
          <w:tcPr>
            <w:tcW w:type="dxa" w:w="4968"/>
          </w:tcPr>
          <w:p>
            <w:r>
              <w:t>Risk assessment</w:t>
            </w:r>
          </w:p>
        </w:tc>
        <w:tc>
          <w:tcPr>
            <w:tcW w:type="dxa" w:w="4968"/>
          </w:tcPr>
          <w:p>
            <w:r>
              <w:t>Compromise could expose internal records.</w:t>
            </w:r>
          </w:p>
        </w:tc>
      </w:tr>
      <w:tr>
        <w:tc>
          <w:tcPr>
            <w:tcW w:type="dxa" w:w="4968"/>
          </w:tcPr>
          <w:p>
            <w:r>
              <w:t>Compensating control</w:t>
            </w:r>
          </w:p>
        </w:tc>
        <w:tc>
          <w:tcPr>
            <w:tcW w:type="dxa" w:w="4968"/>
          </w:tcPr>
          <w:p>
            <w:r>
              <w:t>Restricted network access and additional monitoring.</w:t>
            </w:r>
          </w:p>
        </w:tc>
      </w:tr>
      <w:tr>
        <w:tc>
          <w:tcPr>
            <w:tcW w:type="dxa" w:w="4968"/>
          </w:tcPr>
          <w:p>
            <w:r>
              <w:t>Approver</w:t>
            </w:r>
          </w:p>
        </w:tc>
        <w:tc>
          <w:tcPr>
            <w:tcW w:type="dxa" w:w="4968"/>
          </w:tcPr>
          <w:p>
            <w:r>
              <w:t>System owner plus security/risk authority.</w:t>
            </w:r>
          </w:p>
        </w:tc>
      </w:tr>
      <w:tr>
        <w:tc>
          <w:tcPr>
            <w:tcW w:type="dxa" w:w="4968"/>
          </w:tcPr>
          <w:p>
            <w:r>
              <w:t>Expiry</w:t>
            </w:r>
          </w:p>
        </w:tc>
        <w:tc>
          <w:tcPr>
            <w:tcW w:type="dxa" w:w="4968"/>
          </w:tcPr>
          <w:p>
            <w:r>
              <w:t>Temporary exception with review date.</w:t>
            </w:r>
          </w:p>
        </w:tc>
      </w:tr>
      <w:tr>
        <w:tc>
          <w:tcPr>
            <w:tcW w:type="dxa" w:w="4968"/>
          </w:tcPr>
          <w:p>
            <w:r>
              <w:t>Remediation</w:t>
            </w:r>
          </w:p>
        </w:tc>
        <w:tc>
          <w:tcPr>
            <w:tcW w:type="dxa" w:w="4968"/>
          </w:tcPr>
          <w:p>
            <w:r>
              <w:t>Upgrade or replace system by target date.</w:t>
            </w:r>
          </w:p>
        </w:tc>
      </w:tr>
    </w:tbl>
    <w:p>
      <w:pPr>
        <w:pStyle w:val="Heading1"/>
      </w:pPr>
      <w:r>
        <w:t>13. Real-World Case Studies</w:t>
      </w:r>
    </w:p>
    <w:p>
      <w:pPr>
        <w:pStyle w:val="Heading2"/>
      </w:pPr>
      <w:r>
        <w:t>13.1 Colonial Pipeline – 2021</w:t>
      </w:r>
    </w:p>
    <w:p>
      <w:r>
        <w:t>The 2021 Colonial Pipeline ransomware incident is a useful example of why authentication, segmentation, business continuity and incident-response requirements should be explicit. The incident showed how a cyberattack against organizational IT can have major operational consequences. The policy lesson is that statements such as 'protect remote access' should be translated into enforceable requirements for MFA, privileged access, segmentation, protected backups and response escalation.</w:t>
      </w:r>
    </w:p>
    <w:p>
      <w:r>
        <w:t>Recommended policy connection: require strong identity controls, restrict privileged access, separate critical environments where appropriate, protect recovery assets, and define decision authority during an incident.</w:t>
      </w:r>
    </w:p>
    <w:p>
      <w:pPr>
        <w:pStyle w:val="Heading2"/>
      </w:pPr>
      <w:r>
        <w:t>13.2 Target Data Breach – 2013</w:t>
      </w:r>
    </w:p>
    <w:p>
      <w:r>
        <w:t>The Target breach is a widely studied example of third-party risk. Attackers used credentials associated with a third-party vendor to gain access to Target's environment. The case demonstrates why vendor access should be limited, monitored and reviewed instead of being automatically trusted.</w:t>
      </w:r>
    </w:p>
    <w:p>
      <w:r>
        <w:t>Recommended policy connection: require vendor risk assessment, least privilege, strong authentication, monitoring, periodic access review, contractual security requirements and rapid offboarding.</w:t>
      </w:r>
    </w:p>
    <w:p>
      <w:pPr>
        <w:pStyle w:val="Heading2"/>
      </w:pPr>
      <w:r>
        <w:t>13.3 Cross-Case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t>Lesson</w:t>
            </w:r>
          </w:p>
        </w:tc>
        <w:tc>
          <w:tcPr>
            <w:tcW w:type="dxa" w:w="4968"/>
          </w:tcPr>
          <w:p>
            <w:r>
              <w:t>Policy Improvement</w:t>
            </w:r>
          </w:p>
        </w:tc>
      </w:tr>
      <w:tr>
        <w:tc>
          <w:tcPr>
            <w:tcW w:type="dxa" w:w="4968"/>
          </w:tcPr>
          <w:p>
            <w:r>
              <w:t>Compromised credentials can be an entry point.</w:t>
            </w:r>
          </w:p>
        </w:tc>
        <w:tc>
          <w:tcPr>
            <w:tcW w:type="dxa" w:w="4968"/>
          </w:tcPr>
          <w:p>
            <w:r>
              <w:t>MFA, credential protection and access monitoring.</w:t>
            </w:r>
          </w:p>
        </w:tc>
      </w:tr>
      <w:tr>
        <w:tc>
          <w:tcPr>
            <w:tcW w:type="dxa" w:w="4968"/>
          </w:tcPr>
          <w:p>
            <w:r>
              <w:t>Third-party access expands attack surface.</w:t>
            </w:r>
          </w:p>
        </w:tc>
        <w:tc>
          <w:tcPr>
            <w:tcW w:type="dxa" w:w="4968"/>
          </w:tcPr>
          <w:p>
            <w:r>
              <w:t>Vendor assessment, least privilege and monitoring.</w:t>
            </w:r>
          </w:p>
        </w:tc>
      </w:tr>
      <w:tr>
        <w:tc>
          <w:tcPr>
            <w:tcW w:type="dxa" w:w="4968"/>
          </w:tcPr>
          <w:p>
            <w:r>
              <w:t>IT compromise can affect operations.</w:t>
            </w:r>
          </w:p>
        </w:tc>
        <w:tc>
          <w:tcPr>
            <w:tcW w:type="dxa" w:w="4968"/>
          </w:tcPr>
          <w:p>
            <w:r>
              <w:t>Business continuity and recovery requirements.</w:t>
            </w:r>
          </w:p>
        </w:tc>
      </w:tr>
      <w:tr>
        <w:tc>
          <w:tcPr>
            <w:tcW w:type="dxa" w:w="4968"/>
          </w:tcPr>
          <w:p>
            <w:r>
              <w:t>Broad wording is hard to audit.</w:t>
            </w:r>
          </w:p>
        </w:tc>
        <w:tc>
          <w:tcPr>
            <w:tcW w:type="dxa" w:w="4968"/>
          </w:tcPr>
          <w:p>
            <w:r>
              <w:t>Controls must have owners, evidence and deadlines.</w:t>
            </w:r>
          </w:p>
        </w:tc>
      </w:tr>
    </w:tbl>
    <w:p>
      <w:pPr>
        <w:pStyle w:val="Heading1"/>
      </w:pPr>
      <w:r>
        <w:t>14. Prioritized Implementation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Time</w:t>
            </w:r>
          </w:p>
        </w:tc>
        <w:tc>
          <w:tcPr>
            <w:tcW w:type="dxa" w:w="2484"/>
          </w:tcPr>
          <w:p>
            <w:r>
              <w:t>Action</w:t>
            </w:r>
          </w:p>
        </w:tc>
        <w:tc>
          <w:tcPr>
            <w:tcW w:type="dxa" w:w="2484"/>
          </w:tcPr>
          <w:p>
            <w:r>
              <w:t>Reason</w:t>
            </w:r>
          </w:p>
        </w:tc>
        <w:tc>
          <w:tcPr>
            <w:tcW w:type="dxa" w:w="2484"/>
          </w:tcPr>
          <w:p>
            <w:r>
              <w:t>Success Measure</w:t>
            </w:r>
          </w:p>
        </w:tc>
      </w:tr>
      <w:tr>
        <w:tc>
          <w:tcPr>
            <w:tcW w:type="dxa" w:w="2484"/>
          </w:tcPr>
          <w:p>
            <w:r>
              <w:t>0–30 days</w:t>
            </w:r>
          </w:p>
        </w:tc>
        <w:tc>
          <w:tcPr>
            <w:tcW w:type="dxa" w:w="2484"/>
          </w:tcPr>
          <w:p>
            <w:r>
              <w:t>MFA for privileged/remote access; publish reporting channel.</w:t>
            </w:r>
          </w:p>
        </w:tc>
        <w:tc>
          <w:tcPr>
            <w:tcW w:type="dxa" w:w="2484"/>
          </w:tcPr>
          <w:p>
            <w:r>
              <w:t>Reduce account compromise and reporting delays.</w:t>
            </w:r>
          </w:p>
        </w:tc>
        <w:tc>
          <w:tcPr>
            <w:tcW w:type="dxa" w:w="2484"/>
          </w:tcPr>
          <w:p>
            <w:r>
              <w:t>MFA coverage; reporting awareness</w:t>
            </w:r>
          </w:p>
        </w:tc>
      </w:tr>
      <w:tr>
        <w:tc>
          <w:tcPr>
            <w:tcW w:type="dxa" w:w="2484"/>
          </w:tcPr>
          <w:p>
            <w:r>
              <w:t>0–30 days</w:t>
            </w:r>
          </w:p>
        </w:tc>
        <w:tc>
          <w:tcPr>
            <w:tcW w:type="dxa" w:w="2484"/>
          </w:tcPr>
          <w:p>
            <w:r>
              <w:t>Inventory critical assets and privileged accounts.</w:t>
            </w:r>
          </w:p>
        </w:tc>
        <w:tc>
          <w:tcPr>
            <w:tcW w:type="dxa" w:w="2484"/>
          </w:tcPr>
          <w:p>
            <w:r>
              <w:t>Unknown assets cannot be adequately protected.</w:t>
            </w:r>
          </w:p>
        </w:tc>
        <w:tc>
          <w:tcPr>
            <w:tcW w:type="dxa" w:w="2484"/>
          </w:tcPr>
          <w:p>
            <w:r>
              <w:t>Inventory completeness</w:t>
            </w:r>
          </w:p>
        </w:tc>
      </w:tr>
      <w:tr>
        <w:tc>
          <w:tcPr>
            <w:tcW w:type="dxa" w:w="2484"/>
          </w:tcPr>
          <w:p>
            <w:r>
              <w:t>31–60 days</w:t>
            </w:r>
          </w:p>
        </w:tc>
        <w:tc>
          <w:tcPr>
            <w:tcW w:type="dxa" w:w="2484"/>
          </w:tcPr>
          <w:p>
            <w:r>
              <w:t>Joiner-mover-leaver and access reviews.</w:t>
            </w:r>
          </w:p>
        </w:tc>
        <w:tc>
          <w:tcPr>
            <w:tcW w:type="dxa" w:w="2484"/>
          </w:tcPr>
          <w:p>
            <w:r>
              <w:t>Reduce stale privileges.</w:t>
            </w:r>
          </w:p>
        </w:tc>
        <w:tc>
          <w:tcPr>
            <w:tcW w:type="dxa" w:w="2484"/>
          </w:tcPr>
          <w:p>
            <w:r>
              <w:t>Review completion and timely deprovisioning</w:t>
            </w:r>
          </w:p>
        </w:tc>
      </w:tr>
      <w:tr>
        <w:tc>
          <w:tcPr>
            <w:tcW w:type="dxa" w:w="2484"/>
          </w:tcPr>
          <w:p>
            <w:r>
              <w:t>31–60 days</w:t>
            </w:r>
          </w:p>
        </w:tc>
        <w:tc>
          <w:tcPr>
            <w:tcW w:type="dxa" w:w="2484"/>
          </w:tcPr>
          <w:p>
            <w:r>
              <w:t>Patch/vulnerability targets.</w:t>
            </w:r>
          </w:p>
        </w:tc>
        <w:tc>
          <w:tcPr>
            <w:tcW w:type="dxa" w:w="2484"/>
          </w:tcPr>
          <w:p>
            <w:r>
              <w:t>Reduce exposure to known vulnerabilities.</w:t>
            </w:r>
          </w:p>
        </w:tc>
        <w:tc>
          <w:tcPr>
            <w:tcW w:type="dxa" w:w="2484"/>
          </w:tcPr>
          <w:p>
            <w:r>
              <w:t>Risk-based remediation rate</w:t>
            </w:r>
          </w:p>
        </w:tc>
      </w:tr>
      <w:tr>
        <w:tc>
          <w:tcPr>
            <w:tcW w:type="dxa" w:w="2484"/>
          </w:tcPr>
          <w:p>
            <w:r>
              <w:t>61–90 days</w:t>
            </w:r>
          </w:p>
        </w:tc>
        <w:tc>
          <w:tcPr>
            <w:tcW w:type="dxa" w:w="2484"/>
          </w:tcPr>
          <w:p>
            <w:r>
              <w:t>Data classification and handling.</w:t>
            </w:r>
          </w:p>
        </w:tc>
        <w:tc>
          <w:tcPr>
            <w:tcW w:type="dxa" w:w="2484"/>
          </w:tcPr>
          <w:p>
            <w:r>
              <w:t>Protect sensitive information consistently.</w:t>
            </w:r>
          </w:p>
        </w:tc>
        <w:tc>
          <w:tcPr>
            <w:tcW w:type="dxa" w:w="2484"/>
          </w:tcPr>
          <w:p>
            <w:r>
              <w:t>Classification coverage</w:t>
            </w:r>
          </w:p>
        </w:tc>
      </w:tr>
      <w:tr>
        <w:tc>
          <w:tcPr>
            <w:tcW w:type="dxa" w:w="2484"/>
          </w:tcPr>
          <w:p>
            <w:r>
              <w:t>61–90 days</w:t>
            </w:r>
          </w:p>
        </w:tc>
        <w:tc>
          <w:tcPr>
            <w:tcW w:type="dxa" w:w="2484"/>
          </w:tcPr>
          <w:p>
            <w:r>
              <w:t>Vendor-security controls.</w:t>
            </w:r>
          </w:p>
        </w:tc>
        <w:tc>
          <w:tcPr>
            <w:tcW w:type="dxa" w:w="2484"/>
          </w:tcPr>
          <w:p>
            <w:r>
              <w:t>Reduce third-party risk.</w:t>
            </w:r>
          </w:p>
        </w:tc>
        <w:tc>
          <w:tcPr>
            <w:tcW w:type="dxa" w:w="2484"/>
          </w:tcPr>
          <w:p>
            <w:r>
              <w:t>High-risk vendors assessed</w:t>
            </w:r>
          </w:p>
        </w:tc>
      </w:tr>
      <w:tr>
        <w:tc>
          <w:tcPr>
            <w:tcW w:type="dxa" w:w="2484"/>
          </w:tcPr>
          <w:p>
            <w:r>
              <w:t>90+ days</w:t>
            </w:r>
          </w:p>
        </w:tc>
        <w:tc>
          <w:tcPr>
            <w:tcW w:type="dxa" w:w="2484"/>
          </w:tcPr>
          <w:p>
            <w:r>
              <w:t>Tabletop exercise and policy update.</w:t>
            </w:r>
          </w:p>
        </w:tc>
        <w:tc>
          <w:tcPr>
            <w:tcW w:type="dxa" w:w="2484"/>
          </w:tcPr>
          <w:p>
            <w:r>
              <w:t>Test whether policy works in practice.</w:t>
            </w:r>
          </w:p>
        </w:tc>
        <w:tc>
          <w:tcPr>
            <w:tcW w:type="dxa" w:w="2484"/>
          </w:tcPr>
          <w:p>
            <w:r>
              <w:t>Findings closed</w:t>
            </w:r>
          </w:p>
        </w:tc>
      </w:tr>
      <w:tr>
        <w:tc>
          <w:tcPr>
            <w:tcW w:type="dxa" w:w="2484"/>
          </w:tcPr>
          <w:p>
            <w:r>
              <w:t>Annual</w:t>
            </w:r>
          </w:p>
        </w:tc>
        <w:tc>
          <w:tcPr>
            <w:tcW w:type="dxa" w:w="2484"/>
          </w:tcPr>
          <w:p>
            <w:r>
              <w:t>Formal policy review.</w:t>
            </w:r>
          </w:p>
        </w:tc>
        <w:tc>
          <w:tcPr>
            <w:tcW w:type="dxa" w:w="2484"/>
          </w:tcPr>
          <w:p>
            <w:r>
              <w:t>Keep requirements current.</w:t>
            </w:r>
          </w:p>
        </w:tc>
        <w:tc>
          <w:tcPr>
            <w:tcW w:type="dxa" w:w="2484"/>
          </w:tcPr>
          <w:p>
            <w:r>
              <w:t>Approved review completed</w:t>
            </w:r>
          </w:p>
        </w:tc>
      </w:tr>
    </w:tbl>
    <w:p>
      <w:pPr>
        <w:pStyle w:val="Heading1"/>
      </w:pPr>
      <w:r>
        <w:t>15. Overall Assessment</w:t>
      </w:r>
    </w:p>
    <w:p>
      <w:r>
        <w:t>The hypothetical policy has a useful foundation because it recognizes major topics such as passwords, acceptable use, data protection, remote access and incident reporting. Its main weakness is insufficient operational detail. Broad statements without ownership, measurable controls, evidence, deadlines, exceptions and review mechanisms are difficult to enforce consistently.</w:t>
      </w:r>
    </w:p>
    <w:p>
      <w:r>
        <w:t>The highest priorities are identity and access management, incident reporting, vulnerability management, backups and governance. Medium priorities include data classification, awareness training, vendor security, logging and exception management. A phased roadmap makes the recommendations practical for a medium-sized organization.</w:t>
      </w:r>
    </w:p>
    <w:p>
      <w:pPr>
        <w:pStyle w:val="Heading1"/>
      </w:pPr>
      <w:r>
        <w:t>16. Conclusion</w:t>
      </w:r>
    </w:p>
    <w:p>
      <w:r>
        <w:t>A security policy is effective only when employees and technical teams can translate it into consistent actions. This review found that a hypothetical policy based mainly on broad security statements would benefit from specific controls, assigned owners, measurable requirements, evidence of compliance and defined exception processes. NIST CSF 2.0 provides a useful structure for organizing improvements across governance, identification, protection, detection, response and recovery. citeturn0search0turn0search3</w:t>
      </w:r>
    </w:p>
    <w:p>
      <w:r>
        <w:t>The recommended approach starts with high-impact identity, access, incident-reporting, asset-inventory and vulnerability controls, then expands into data governance, supplier security, exercises and continuous improvement. Real-world cases show why these controls should be practical and enforceable rather than merely descriptive.</w:t>
      </w:r>
    </w:p>
    <w:p>
      <w:pPr>
        <w:pStyle w:val="Heading1"/>
      </w:pPr>
      <w:r>
        <w:t>17. References</w:t>
      </w:r>
    </w:p>
    <w:p>
      <w:pPr>
        <w:pStyle w:val="ListBullet"/>
      </w:pPr>
      <w:r>
        <w:t>NIST. (2024). The NIST Cybersecurity Framework (CSF) 2.0. https://www.nist.gov/publications/nist-cybersecurity-framework-csf-20</w:t>
      </w:r>
    </w:p>
    <w:p>
      <w:pPr>
        <w:pStyle w:val="ListBullet"/>
      </w:pPr>
      <w:r>
        <w:t>NIST. (2024). Cybersecurity Framework 2.0. https://www.nist.gov/cyberframework</w:t>
      </w:r>
    </w:p>
    <w:p>
      <w:pPr>
        <w:pStyle w:val="ListBullet"/>
      </w:pPr>
      <w:r>
        <w:t>NIST. (2025). SP 800-61 Rev. 3: Incident Response Recommendations and Considerations for Cybersecurity Risk Management. https://csrc.nist.gov/pubs/sp/800/61/r3/final</w:t>
      </w:r>
    </w:p>
    <w:p>
      <w:pPr>
        <w:pStyle w:val="ListBullet"/>
      </w:pPr>
      <w:r>
        <w:t>CISA. Cybersecurity guidance and resources. https://www.cisa.gov/</w:t>
      </w:r>
    </w:p>
    <w:p>
      <w:pPr>
        <w:pStyle w:val="ListBullet"/>
      </w:pPr>
      <w:r>
        <w:t>Verizon. (2025). Data Breach Investigations Report. https://www.verizon.com/business/resources/reports/dbir/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YuvaIntern – Week 3 Security Policy Review | KADARI MOHAN SANDHYA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