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12E81"/>
          <w:sz w:val="54"/>
        </w:rPr>
        <w:t>Unified Rewards Platform</w:t>
      </w:r>
    </w:p>
    <w:p>
      <w:pPr>
        <w:jc w:val="center"/>
      </w:pPr>
      <w:r>
        <w:rPr>
          <w:i/>
          <w:sz w:val="30"/>
        </w:rPr>
        <w:t>Production-Readiness &amp; Non-Functional Requirements (NFR) Hardening Plan</w:t>
      </w:r>
    </w:p>
    <w:p>
      <w:pPr>
        <w:jc w:val="center"/>
      </w:pPr>
      <w:r>
        <w:rPr>
          <w:sz w:val="22"/>
        </w:rPr>
        <w:t>Preparing the platform to run as a real-time application for an enterprise of CTS / TCS scale (hundreds of thousands of employees): load-balanced, auto-scaling, high-performance, secure, observable, and resilient — without breaking under load.</w:t>
      </w:r>
    </w:p>
    <w:p/>
    <w:p>
      <w:pPr>
        <w:jc w:val="center"/>
      </w:pPr>
      <w:r>
        <w:rPr>
          <w:i/>
        </w:rPr>
        <w:t>Cognizant — Upgrade to Architect, Phase 3 Case Study</w:t>
      </w:r>
    </w:p>
    <w:p>
      <w:r>
        <w:br w:type="page"/>
      </w:r>
    </w:p>
    <w:p>
      <w:pPr>
        <w:pStyle w:val="Heading1"/>
      </w:pPr>
      <w:r>
        <w:rPr>
          <w:color w:val="312E81"/>
        </w:rPr>
        <w:t>1. Purpose &amp; context</w:t>
      </w:r>
    </w:p>
    <w:p>
      <w:r>
        <w:rPr>
          <w:b w:val="0"/>
          <w:i w:val="0"/>
        </w:rPr>
        <w:t>This document is a practical plan to take the Unified Rewards Platform from a working, verified reference build to a system that can run in production for a very large enterprise — the kind with hundreds of thousands of employees and bursty peaks (payroll runs, benefit-enrolment windows, appraisal cycles). It assumes no prior knowledge: each item explains the current state, the risk at scale, the target solution on Microsoft Azure, and how we will know it is done (acceptance criteria).</w:t>
      </w:r>
    </w:p>
    <w:p>
      <w:r>
        <w:rPr>
          <w:b w:val="0"/>
          <w:i w:val="0"/>
        </w:rPr>
        <w:t>The honest headline:</w:t>
      </w:r>
    </w:p>
    <w:p>
      <w:pPr>
        <w:pStyle w:val="ListBullet"/>
      </w:pPr>
      <w:r>
        <w:rPr>
          <w:b/>
        </w:rPr>
        <w:t xml:space="preserve">The architecture style is right. </w:t>
      </w:r>
      <w:r>
        <w:t xml:space="preserve"> The platform is a stateless, fully-asynchronous, cleanly-modularised application. That foundation scales horizontally and does not need re-architecting.</w:t>
      </w:r>
    </w:p>
    <w:p>
      <w:pPr>
        <w:pStyle w:val="ListBullet"/>
      </w:pPr>
      <w:r>
        <w:rPr>
          <w:b/>
        </w:rPr>
        <w:t xml:space="preserve">The current implementation is not yet production-ready at this scale. </w:t>
      </w:r>
      <w:r>
        <w:t xml:space="preserve"> It was tuned for zero-install local development. A specific set of changes (below) is required before it can serve enterprise load reliably. Most of them are hardening within the existing modular monolith — not a rewrite.</w:t>
      </w:r>
    </w:p>
    <w:p>
      <w:r>
        <w:rPr>
          <w:b w:val="0"/>
          <w:i/>
        </w:rPr>
        <w:t>Scale assumptions (to be confirmed by load testing): ~350,000 named users; tens of thousands of concurrent users at seasonal peaks; the application tier scaling from a small baseline to many instances on demand. All numeric targets in this document are proposed starting points to validate, not contractual figures.</w:t>
      </w:r>
    </w:p>
    <w:p>
      <w:pPr>
        <w:pStyle w:val="Heading1"/>
      </w:pPr>
      <w:r>
        <w:rPr>
          <w:color w:val="312E81"/>
        </w:rPr>
        <w:t>2. How to read this plan — priority legend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color="auto" w:fill="312E81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7488"/>
            <w:shd w:val="clear" w:color="auto" w:fill="312E81"/>
          </w:tcPr>
          <w:p>
            <w:r/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P0 — Critical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Will break or fail at enterprise scale as currently coded. Must fix before production.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P1 — Performance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Efficiency and speed improvements; needed for a good experience at scale.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P2 — Resilience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Correctness and 'never breaks anywhere' robustness under load and failure.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P3 — Security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Enterprise security &amp; compliance; non-negotiable for sensitive HR/payroll data.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P4 — Operations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Observability, deployment, and run-time operations at scale.</w:t>
            </w:r>
          </w:p>
        </w:tc>
      </w:tr>
    </w:tbl>
    <w:p/>
    <w:p>
      <w:pPr>
        <w:pStyle w:val="Heading1"/>
      </w:pPr>
      <w:r>
        <w:rPr>
          <w:color w:val="312E81"/>
        </w:rPr>
        <w:t>3. What is already production-aligned</w:t>
      </w:r>
    </w:p>
    <w:p>
      <w:r>
        <w:rPr>
          <w:b w:val="0"/>
          <w:i w:val="0"/>
        </w:rPr>
        <w:t>These existing properties are exactly what a scalable system needs and should be preserved:</w:t>
      </w:r>
    </w:p>
    <w:p>
      <w:pPr>
        <w:pStyle w:val="ListBullet"/>
      </w:pPr>
      <w:r>
        <w:rPr>
          <w:b/>
        </w:rPr>
        <w:t xml:space="preserve">Stateless API (JWT). </w:t>
      </w:r>
      <w:r>
        <w:t xml:space="preserve"> No server-side session memory, so any instance can serve any request — the prerequisite for load balancing and horizontal scaling.</w:t>
      </w:r>
    </w:p>
    <w:p>
      <w:pPr>
        <w:pStyle w:val="ListBullet"/>
      </w:pPr>
      <w:r>
        <w:rPr>
          <w:b/>
        </w:rPr>
        <w:t xml:space="preserve">Fully asynchronous (async/await). </w:t>
      </w:r>
      <w:r>
        <w:t xml:space="preserve"> A single instance handles many concurrent users efficiently while waiting on the database or network.</w:t>
      </w:r>
    </w:p>
    <w:p>
      <w:pPr>
        <w:pStyle w:val="ListBullet"/>
      </w:pPr>
      <w:r>
        <w:rPr>
          <w:b/>
        </w:rPr>
        <w:t xml:space="preserve">Clean Architecture + integration 'seams'. </w:t>
      </w:r>
      <w:r>
        <w:t xml:space="preserve"> External dependencies sit behind interfaces, so infrastructure can be swapped (local → Azure) and hotspots extracted without rewrites.</w:t>
      </w:r>
    </w:p>
    <w:p>
      <w:pPr>
        <w:pStyle w:val="ListBullet"/>
      </w:pPr>
      <w:r>
        <w:rPr>
          <w:b/>
        </w:rPr>
        <w:t xml:space="preserve">CQRS, validation, RBAC, and an audit pipeline. </w:t>
      </w:r>
      <w:r>
        <w:t xml:space="preserve"> Predictable structure, automatic input validation, role-based security, and a built-in audit trail.</w:t>
      </w:r>
    </w:p>
    <w:p>
      <w:pPr>
        <w:pStyle w:val="ListBullet"/>
      </w:pPr>
      <w:r>
        <w:rPr>
          <w:b/>
        </w:rPr>
        <w:t xml:space="preserve">Resilience already proven on the payroll integration (Polly). </w:t>
      </w:r>
      <w:r>
        <w:t xml:space="preserve"> The retry / circuit-breaker / timeout pattern is in place and can be applied to every external call.</w:t>
      </w:r>
    </w:p>
    <w:p>
      <w:pPr>
        <w:pStyle w:val="Heading1"/>
      </w:pPr>
      <w:r>
        <w:rPr>
          <w:color w:val="312E81"/>
        </w:rPr>
        <w:t>4. Target production architecture (Azure)</w:t>
      </w:r>
    </w:p>
    <w:p>
      <w:r>
        <w:rPr>
          <w:b w:val="0"/>
          <w:i w:val="0"/>
        </w:rPr>
        <w:t>The diagram below shows the production shape: users arrive through a global edge (Front Door + CDN); the four portals are served as static content; API traffic passes through API Management (rate limiting) and a load balancer to an auto-scaling pool of identical API instances. Behind the seams sit managed Azure services, with heavy and slow work pushed onto a durable queue and processed by separate background workers.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7107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rget_production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710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1 — Target production deployment. The stateless modular-monolith API runs as many auto-scaling instances behind a load balancer; the database, cache, storage, and durable messaging are managed Azure services; identity, secrets, and monitoring are cross-cutting.</w:t>
      </w:r>
    </w:p>
    <w:p>
      <w:pPr>
        <w:pStyle w:val="Heading2"/>
      </w:pPr>
      <w:r>
        <w:rPr>
          <w:color w:val="312E81"/>
        </w:rPr>
        <w:t>Load balancing &amp; auto-scaling, in plain terms</w:t>
      </w:r>
    </w:p>
    <w:p>
      <w:pPr>
        <w:pStyle w:val="ListBullet"/>
      </w:pPr>
      <w:r>
        <w:rPr>
          <w:b/>
        </w:rPr>
        <w:t xml:space="preserve">Load balancing </w:t>
      </w:r>
      <w:r>
        <w:t xml:space="preserve"> means many identical copies of the API run at once, and incoming requests are spread evenly across them. Because the API is stateless, this 'just works'.</w:t>
      </w:r>
    </w:p>
    <w:p>
      <w:pPr>
        <w:pStyle w:val="ListBullet"/>
      </w:pPr>
      <w:r>
        <w:rPr>
          <w:b/>
        </w:rPr>
        <w:t xml:space="preserve">Auto-scaling </w:t>
      </w:r>
      <w:r>
        <w:t xml:space="preserve"> means Azure automatically adds more copies when traffic (CPU, request rate, or queue length) rises, and removes them when it falls — so the system stays fast at peak and cheap off-peak.</w:t>
      </w:r>
    </w:p>
    <w:p>
      <w:pPr>
        <w:pStyle w:val="ListBullet"/>
      </w:pPr>
      <w:r>
        <w:rPr>
          <w:b/>
        </w:rPr>
        <w:t xml:space="preserve">The real limit is the database, not the app tier. </w:t>
      </w:r>
      <w:r>
        <w:t xml:space="preserve"> So the plan invests heavily in database scaling, caching, read replicas, and offloading heavy work — that is where capacity is won or lost.</w:t>
      </w:r>
    </w:p>
    <w:p>
      <w:pPr>
        <w:pStyle w:val="Heading1"/>
      </w:pPr>
      <w:r>
        <w:rPr>
          <w:color w:val="312E81"/>
        </w:rPr>
        <w:t>5. Prioritised hardening backlog</w:t>
      </w:r>
    </w:p>
    <w:p>
      <w:pPr>
        <w:pStyle w:val="Heading2"/>
      </w:pPr>
      <w:r>
        <w:rPr>
          <w:color w:val="312E81"/>
        </w:rPr>
        <w:t>P0 — Critical (will break at scale as currently coded)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72"/>
            <w:shd w:val="clear" w:color="auto" w:fill="312E81"/>
          </w:tcPr>
          <w:p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2016"/>
            <w:shd w:val="clear" w:color="auto" w:fill="312E81"/>
          </w:tcPr>
          <w:p>
            <w:r/>
            <w:r>
              <w:rPr>
                <w:b/>
                <w:color w:val="FFFFFF"/>
                <w:sz w:val="16"/>
              </w:rPr>
              <w:t>Current state</w:t>
            </w:r>
          </w:p>
        </w:tc>
        <w:tc>
          <w:tcPr>
            <w:tcW w:type="dxa" w:w="2160"/>
            <w:shd w:val="clear" w:color="auto" w:fill="312E81"/>
          </w:tcPr>
          <w:p>
            <w:r/>
            <w:r>
              <w:rPr>
                <w:b/>
                <w:color w:val="FFFFFF"/>
                <w:sz w:val="16"/>
              </w:rPr>
              <w:t>Risk at scale</w:t>
            </w:r>
          </w:p>
        </w:tc>
        <w:tc>
          <w:tcPr>
            <w:tcW w:type="dxa" w:w="2160"/>
            <w:shd w:val="clear" w:color="auto" w:fill="312E81"/>
          </w:tcPr>
          <w:p>
            <w:r/>
            <w:r>
              <w:rPr>
                <w:b/>
                <w:color w:val="FFFFFF"/>
                <w:sz w:val="16"/>
              </w:rPr>
              <w:t>Target solution</w:t>
            </w:r>
          </w:p>
        </w:tc>
        <w:tc>
          <w:tcPr>
            <w:tcW w:type="dxa" w:w="2016"/>
            <w:shd w:val="clear" w:color="auto" w:fill="312E81"/>
          </w:tcPr>
          <w:p>
            <w:r/>
            <w:r>
              <w:rPr>
                <w:b/>
                <w:color w:val="FFFFFF"/>
                <w:sz w:val="16"/>
              </w:rPr>
              <w:t>Done when…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Pagination on all list endpoints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Endpoints return whole tables (audit caps at 500)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 single call loads 100,000s of rows → timeouts &amp; out-of-memory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Server-side paging + filtering + sorting; keyset paging for large tables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No endpoint can return an unbounded result set; verified by load test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Reporting aggregation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Dashboard pulls full tables into memory and sums in C# (a SQLite limitation)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Instant out-of-memory / multi-minute queries on large data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Aggregate inside Azure SQL; run reports off a read replica or materialized views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Reports computed in the database; no full-table loads into app memory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Async settlement queue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In-memory Channel + in-process worker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Not durable and not shared across instances → lost or duplicated work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Azure Service Bus + competing-consumer workers + idempotency keys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Messages survive restarts; exactly-once effect; many instances safe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File storage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Local file system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Files saved on one instance are invisible to others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Azure Blob Storage (seam already defined)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Receipts readable from any instance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Database engine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SQLite (single file)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Single-node; no concurrency at scale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Azure SQL with retry-on-transient + connection pooling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Running on Azure SQL with tuned pooling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Schema migrations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Auto-applied on every app startup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Instances race to migrate; risky on a live DB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Run migrations as a separate, gated deployment step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App startup never alters the schema</w:t>
            </w:r>
          </w:p>
        </w:tc>
      </w:tr>
    </w:tbl>
    <w:p/>
    <w:p>
      <w:pPr>
        <w:pStyle w:val="Heading2"/>
      </w:pPr>
      <w:r>
        <w:rPr>
          <w:color w:val="312E81"/>
        </w:rPr>
        <w:t>P1 — Performance &amp; efficiency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312E81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3168"/>
            <w:shd w:val="clear" w:color="auto" w:fill="312E81"/>
          </w:tcPr>
          <w:p>
            <w:r/>
            <w:r>
              <w:rPr>
                <w:b/>
                <w:color w:val="FFFFFF"/>
                <w:sz w:val="18"/>
              </w:rPr>
              <w:t>Current</w:t>
            </w:r>
          </w:p>
        </w:tc>
        <w:tc>
          <w:tcPr>
            <w:tcW w:type="dxa" w:w="4320"/>
            <w:shd w:val="clear" w:color="auto" w:fill="312E81"/>
          </w:tcPr>
          <w:p>
            <w:r/>
            <w:r>
              <w:rPr>
                <w:b/>
                <w:color w:val="FFFFFF"/>
                <w:sz w:val="18"/>
              </w:rPr>
              <w:t>Target solution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Caching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Every read hits the database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Azure Cache for Redis for hot reads (plans, user directory, dashboards) with sensible TTLs and invalidation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Audit write cost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Extra SaveChanges per command (2× DB writes)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Buffer/▶offload audit via Service Bus or a lightweight append store; batch writes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EF Core read efficiency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Some tracked reads; heavy Includes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AsNoTracking everywhere for reads, DTO projections, split queries, compiled queries, AddDbContextPool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HTTP efficiency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No compression/caching headers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Brotli/Gzip compression, output caching, ETags/Cache-Control, CDN for static assets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Connection resilience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Default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EnableRetryOnFailure, tuned pool sizes, command timeouts</w:t>
            </w:r>
          </w:p>
        </w:tc>
      </w:tr>
    </w:tbl>
    <w:p/>
    <w:p>
      <w:pPr>
        <w:pStyle w:val="Heading2"/>
      </w:pPr>
      <w:r>
        <w:rPr>
          <w:color w:val="312E81"/>
        </w:rPr>
        <w:t>P2 — Resilience &amp; correctness (‘must not break anywhere’)</w:t>
      </w:r>
    </w:p>
    <w:p>
      <w:pPr>
        <w:pStyle w:val="ListBullet"/>
      </w:pPr>
      <w:r>
        <w:rPr>
          <w:b/>
        </w:rPr>
        <w:t xml:space="preserve">Health checks </w:t>
      </w:r>
      <w:r>
        <w:t xml:space="preserve"> — add liveness &amp; readiness probes so the load balancer routes only to healthy instances and restarts sick ones.</w:t>
      </w:r>
    </w:p>
    <w:p>
      <w:pPr>
        <w:pStyle w:val="ListBullet"/>
      </w:pPr>
      <w:r>
        <w:rPr>
          <w:b/>
        </w:rPr>
        <w:t xml:space="preserve">Resilience on every external call </w:t>
      </w:r>
      <w:r>
        <w:t xml:space="preserve"> — apply Polly timeouts/retries/circuit-breakers to email, OCR, blob, and database, not just payroll.</w:t>
      </w:r>
    </w:p>
    <w:p>
      <w:pPr>
        <w:pStyle w:val="ListBullet"/>
      </w:pPr>
      <w:r>
        <w:rPr>
          <w:b/>
        </w:rPr>
        <w:t xml:space="preserve">Optimistic concurrency </w:t>
      </w:r>
      <w:r>
        <w:t xml:space="preserve"> — add rowversion concurrency tokens so two users acting on the same record cannot silently overwrite each other.</w:t>
      </w:r>
    </w:p>
    <w:p>
      <w:pPr>
        <w:pStyle w:val="ListBullet"/>
      </w:pPr>
      <w:r>
        <w:rPr>
          <w:b/>
        </w:rPr>
        <w:t xml:space="preserve">Transactional outbox </w:t>
      </w:r>
      <w:r>
        <w:t xml:space="preserve"> — persist domain events (e.g. ‘promotion approved → email’) in the same transaction and publish via Service Bus, so events are never lost or double-sent.</w:t>
      </w:r>
    </w:p>
    <w:p>
      <w:pPr>
        <w:pStyle w:val="ListBullet"/>
      </w:pPr>
      <w:r>
        <w:rPr>
          <w:b/>
        </w:rPr>
        <w:t xml:space="preserve">Rate limiting / throttling </w:t>
      </w:r>
      <w:r>
        <w:t xml:space="preserve"> — protect against spikes and abuse (built-in .NET rate limiter and/or API Management policies).</w:t>
      </w:r>
    </w:p>
    <w:p>
      <w:pPr>
        <w:pStyle w:val="ListBullet"/>
      </w:pPr>
      <w:r>
        <w:rPr>
          <w:b/>
        </w:rPr>
        <w:t xml:space="preserve">Graceful shutdown </w:t>
      </w:r>
      <w:r>
        <w:t xml:space="preserve"> — drain in-flight background work on scale-in/deploy so nothing is dropped.</w:t>
      </w:r>
    </w:p>
    <w:p>
      <w:pPr>
        <w:pStyle w:val="Heading2"/>
      </w:pPr>
      <w:r>
        <w:rPr>
          <w:color w:val="312E81"/>
        </w:rPr>
        <w:t>P3 — Security &amp; compliance (non-negotiable for HR/payroll data)</w:t>
      </w:r>
    </w:p>
    <w:p>
      <w:pPr>
        <w:pStyle w:val="ListBullet"/>
      </w:pPr>
      <w:r>
        <w:rPr>
          <w:b/>
        </w:rPr>
        <w:t xml:space="preserve">Enterprise identity </w:t>
      </w:r>
      <w:r>
        <w:t xml:space="preserve"> — replace self-issued symmetric JWT with Microsoft Entra ID (OIDC, asymmetric RS256, key rotation) for corporate SSO + MFA.</w:t>
      </w:r>
    </w:p>
    <w:p>
      <w:pPr>
        <w:pStyle w:val="ListBullet"/>
      </w:pPr>
      <w:r>
        <w:rPr>
          <w:b/>
        </w:rPr>
        <w:t xml:space="preserve">Secrets management </w:t>
      </w:r>
      <w:r>
        <w:t xml:space="preserve"> — move signing keys and connection strings to Azure Key Vault, accessed via Managed Identity (no secrets in code/config).</w:t>
      </w:r>
    </w:p>
    <w:p>
      <w:pPr>
        <w:pStyle w:val="ListBullet"/>
      </w:pPr>
      <w:r>
        <w:rPr>
          <w:b/>
        </w:rPr>
        <w:t xml:space="preserve">Data protection </w:t>
      </w:r>
      <w:r>
        <w:t xml:space="preserve"> — TLS 1.2+ in transit, Transparent Data Encryption at rest, consider field-level encryption for salary data; enforce HTTPS and security headers (CSP, HSTS).</w:t>
      </w:r>
    </w:p>
    <w:p>
      <w:pPr>
        <w:pStyle w:val="ListBullet"/>
      </w:pPr>
      <w:r>
        <w:rPr>
          <w:b/>
        </w:rPr>
        <w:t xml:space="preserve">Privacy &amp; compliance </w:t>
      </w:r>
      <w:r>
        <w:t xml:space="preserve"> — GDPR/PII handling, data-residency, immutable audit, and a data-retention/archival policy.</w:t>
      </w:r>
    </w:p>
    <w:p>
      <w:pPr>
        <w:pStyle w:val="ListBullet"/>
      </w:pPr>
      <w:r>
        <w:rPr>
          <w:b/>
        </w:rPr>
        <w:t xml:space="preserve">Frontend token safety </w:t>
      </w:r>
      <w:r>
        <w:t xml:space="preserve"> — reconsider storing the token in localStorage (XSS exposure); evaluate httpOnly cookies / Backend-for-Frontend pattern and a strict Content-Security-Policy.</w:t>
      </w:r>
    </w:p>
    <w:p>
      <w:pPr>
        <w:pStyle w:val="ListBullet"/>
      </w:pPr>
      <w:r>
        <w:rPr>
          <w:b/>
        </w:rPr>
        <w:t xml:space="preserve">Lock down CORS </w:t>
      </w:r>
      <w:r>
        <w:t xml:space="preserve"> — restrict to the real production origins.</w:t>
      </w:r>
    </w:p>
    <w:p>
      <w:pPr>
        <w:pStyle w:val="Heading2"/>
      </w:pPr>
      <w:r>
        <w:rPr>
          <w:color w:val="312E81"/>
        </w:rPr>
        <w:t>P4 — Observability &amp; operations</w:t>
      </w:r>
    </w:p>
    <w:p>
      <w:pPr>
        <w:pStyle w:val="ListBullet"/>
      </w:pPr>
      <w:r>
        <w:rPr>
          <w:b/>
        </w:rPr>
        <w:t xml:space="preserve">Centralised telemetry </w:t>
      </w:r>
      <w:r>
        <w:t xml:space="preserve"> — ship logs/metrics/traces to Application Insights (OpenTelemetry): per-endpoint latency, error rates, and distributed tracing with correlation IDs across the async workers.</w:t>
      </w:r>
    </w:p>
    <w:p>
      <w:pPr>
        <w:pStyle w:val="ListBullet"/>
      </w:pPr>
      <w:r>
        <w:rPr>
          <w:b/>
        </w:rPr>
        <w:t xml:space="preserve">Alerting &amp; dashboards </w:t>
      </w:r>
      <w:r>
        <w:t xml:space="preserve"> — alert on SLO breaches (latency, error rate, queue backlog).</w:t>
      </w:r>
    </w:p>
    <w:p>
      <w:pPr>
        <w:pStyle w:val="ListBullet"/>
      </w:pPr>
      <w:r>
        <w:rPr>
          <w:b/>
        </w:rPr>
        <w:t xml:space="preserve">CI/CD with zero-downtime </w:t>
      </w:r>
      <w:r>
        <w:t xml:space="preserve"> — blue-green or canary deployments; migrations as a pipeline gate.</w:t>
      </w:r>
    </w:p>
    <w:p>
      <w:pPr>
        <w:pStyle w:val="ListBullet"/>
      </w:pPr>
      <w:r>
        <w:rPr>
          <w:b/>
        </w:rPr>
        <w:t xml:space="preserve">Infrastructure as Code </w:t>
      </w:r>
      <w:r>
        <w:t xml:space="preserve"> — Bicep/Terraform for repeatable, reviewable environments; explicit autoscale rules.</w:t>
      </w:r>
    </w:p>
    <w:p>
      <w:pPr>
        <w:pStyle w:val="ListBullet"/>
      </w:pPr>
      <w:r>
        <w:rPr>
          <w:b/>
        </w:rPr>
        <w:t xml:space="preserve">Data lifecycle </w:t>
      </w:r>
      <w:r>
        <w:t xml:space="preserve"> — partition and archive ever-growing tables (audit, payslips) with a retention policy.</w:t>
      </w:r>
    </w:p>
    <w:p>
      <w:pPr>
        <w:pStyle w:val="ListBullet"/>
      </w:pPr>
      <w:r>
        <w:rPr>
          <w:b/>
        </w:rPr>
        <w:t xml:space="preserve">Disaster recovery </w:t>
      </w:r>
      <w:r>
        <w:t xml:space="preserve"> — geo-replication and a tested failover plan if the RTO/RPO targets require it.</w:t>
      </w:r>
    </w:p>
    <w:p>
      <w:pPr>
        <w:pStyle w:val="Heading2"/>
      </w:pPr>
      <w:r>
        <w:rPr>
          <w:color w:val="312E81"/>
        </w:rPr>
        <w:t>Frontend performance (page load &amp; overall experience)</w:t>
      </w:r>
    </w:p>
    <w:p>
      <w:pPr>
        <w:pStyle w:val="ListBullet"/>
      </w:pPr>
      <w:r>
        <w:rPr>
          <w:b/>
        </w:rPr>
        <w:t xml:space="preserve">Production build optimisation </w:t>
      </w:r>
      <w:r>
        <w:t xml:space="preserve"> — minification, tree-shaking, content-hashed assets, Brotli, served via CDN over HTTP/2.</w:t>
      </w:r>
    </w:p>
    <w:p>
      <w:pPr>
        <w:pStyle w:val="ListBullet"/>
      </w:pPr>
      <w:r>
        <w:rPr>
          <w:b/>
        </w:rPr>
        <w:t xml:space="preserve">Client-side data caching </w:t>
      </w:r>
      <w:r>
        <w:t xml:space="preserve"> — adopt React Query / SWR for caching, request de-duplication, and background refresh (large perceived-speed gain).</w:t>
      </w:r>
    </w:p>
    <w:p>
      <w:pPr>
        <w:pStyle w:val="ListBullet"/>
      </w:pPr>
      <w:r>
        <w:rPr>
          <w:b/>
        </w:rPr>
        <w:t xml:space="preserve">Lazy loading </w:t>
      </w:r>
      <w:r>
        <w:t xml:space="preserve"> — load each portal’s heavy sections on demand and preload the federation entry points.</w:t>
      </w:r>
    </w:p>
    <w:p>
      <w:pPr>
        <w:pStyle w:val="ListBullet"/>
      </w:pPr>
      <w:r>
        <w:rPr>
          <w:b/>
        </w:rPr>
        <w:t xml:space="preserve">Environment configuration </w:t>
      </w:r>
      <w:r>
        <w:t xml:space="preserve"> — the API base URL must be configured per environment (currently hard-coded).</w:t>
      </w:r>
    </w:p>
    <w:p>
      <w:pPr>
        <w:pStyle w:val="ListBullet"/>
      </w:pPr>
      <w:r>
        <w:rPr>
          <w:b/>
        </w:rPr>
        <w:t xml:space="preserve">Global readiness </w:t>
      </w:r>
      <w:r>
        <w:t xml:space="preserve"> — localisation (i18n) and accessibility (WCAG 2.1 AA) for a multi-country workforce.</w:t>
      </w:r>
    </w:p>
    <w:p>
      <w:pPr>
        <w:pStyle w:val="Heading1"/>
      </w:pPr>
      <w:r>
        <w:rPr>
          <w:color w:val="312E81"/>
        </w:rPr>
        <w:t>6. Non-functional requirements — measurable targets</w:t>
      </w:r>
    </w:p>
    <w:p>
      <w:r>
        <w:rPr>
          <w:b w:val="0"/>
          <w:i w:val="0"/>
        </w:rPr>
        <w:t>Proposed, testable targets (validate and adjust during load testing):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312E81"/>
          </w:tcPr>
          <w:p>
            <w:r/>
            <w:r>
              <w:rPr>
                <w:b/>
                <w:color w:val="FFFFFF"/>
                <w:sz w:val="17"/>
              </w:rPr>
              <w:t>Quality</w:t>
            </w:r>
          </w:p>
        </w:tc>
        <w:tc>
          <w:tcPr>
            <w:tcW w:type="dxa" w:w="3456"/>
            <w:shd w:val="clear" w:color="auto" w:fill="312E81"/>
          </w:tcPr>
          <w:p>
            <w:r/>
            <w:r>
              <w:rPr>
                <w:b/>
                <w:color w:val="FFFFFF"/>
                <w:sz w:val="17"/>
              </w:rPr>
              <w:t>Target (proposed)</w:t>
            </w:r>
          </w:p>
        </w:tc>
        <w:tc>
          <w:tcPr>
            <w:tcW w:type="dxa" w:w="4176"/>
            <w:shd w:val="clear" w:color="auto" w:fill="312E81"/>
          </w:tcPr>
          <w:p>
            <w:r/>
            <w:r>
              <w:rPr>
                <w:b/>
                <w:color w:val="FFFFFF"/>
                <w:sz w:val="17"/>
              </w:rPr>
              <w:t>How it is achieved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Scalability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~350k users; tens of thousands concurrent at peak; API tier scales 2 → 20+ instances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Stateless API + load balancer + auto-scale; DB scale-up + read replica; Redis; async offload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Performance (latency)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Reads p95 &lt; 300 ms; writes p95 &lt; 800 ms (excl. external calls); first page load &lt; 2.5 s, subsequent &lt; 1 s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Caching, pagination, query tuning, CDN, compression, client data-cache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Throughput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Sustain peak request rate with headroom; large reports run asynchronously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Horizontal scale; Service Bus for heavy work; read replica for reporting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Availability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99.9% initially (multi-AZ), path to 99.95%+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Multiple instances/zones; health checks; managed services; graceful deploys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Reliability / data integrity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No lost or double-processed work; RPO ≤ 5 min; RTO ≤ 1 h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Durable queue + idempotency + outbox; optimistic concurrency; geo-replication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Security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SSO+MFA; encryption in transit &amp; at rest; OWASP Top-10 clean; pen-tested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Entra ID, Key Vault, TDE/TLS, rate limiting, security headers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Compliance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GDPR/PII compliant; immutable audit; defined retention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Audit pipeline, data classification, retention/archival policies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Observability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100% of requests traced; alert on SLO breach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Application Insights + OpenTelemetry + dashboards/alerts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Maintainability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Fast, safe change; ≥ 70% test coverage of Application layer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Modular monolith + clean seams + CQRS + CI/CD + IaC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Accessibility &amp; i18n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WCAG 2.1 AA; multi-language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Accessible components; localisation framework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Cost efficiency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Scale down off-peak; reduce DB load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Auto-scale in/out; caching; right-sized tiers</w:t>
            </w:r>
          </w:p>
        </w:tc>
      </w:tr>
    </w:tbl>
    <w:p/>
    <w:p>
      <w:pPr>
        <w:pStyle w:val="Heading1"/>
      </w:pPr>
      <w:r>
        <w:rPr>
          <w:color w:val="312E81"/>
        </w:rPr>
        <w:t>7. Implementation roadmap (suggested sequencing)</w:t>
      </w:r>
    </w:p>
    <w:p>
      <w:r>
        <w:rPr>
          <w:b w:val="0"/>
          <w:i w:val="0"/>
        </w:rPr>
        <w:t>Ordered so that the things which fail first are fixed first, and each phase leaves the system in a shippable state.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96"/>
            <w:shd w:val="clear" w:color="auto" w:fill="312E81"/>
          </w:tcPr>
          <w:p>
            <w:r/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592"/>
            <w:shd w:val="clear" w:color="auto" w:fill="312E81"/>
          </w:tcPr>
          <w:p>
            <w:r/>
            <w:r>
              <w:rPr>
                <w:b/>
                <w:color w:val="FFFFFF"/>
                <w:sz w:val="18"/>
              </w:rPr>
              <w:t>Focus</w:t>
            </w:r>
          </w:p>
        </w:tc>
        <w:tc>
          <w:tcPr>
            <w:tcW w:type="dxa" w:w="5904"/>
            <w:shd w:val="clear" w:color="auto" w:fill="312E81"/>
          </w:tcPr>
          <w:p>
            <w:r/>
            <w:r>
              <w:rPr>
                <w:b/>
                <w:color w:val="FFFFFF"/>
                <w:sz w:val="18"/>
              </w:rPr>
              <w:t>Key work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Phase 1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P0 scale foundation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Azure SQL + push aggregation to SQL; pagination everywhere; Blob storage; Service Bus + idempotent workers; migrations as a deploy step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Phase 2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P1 performance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Redis caching; EF read tuning + DbContext pooling; compression/output caching; CDN; client data-cache (React Query)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Phase 3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P2 + P3 resilience &amp; security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Health checks; resilience on all seams; optimistic concurrency; outbox; rate limiting; Entra ID; Key Vault; data protection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Phase 4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P4 operations &amp; validation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App Insights + tracing + alerts; CI/CD blue-green; IaC + autoscale rules; load + chaos + security testing; DR drill</w:t>
            </w:r>
          </w:p>
        </w:tc>
      </w:tr>
    </w:tbl>
    <w:p/>
    <w:p>
      <w:pPr>
        <w:pStyle w:val="Heading1"/>
      </w:pPr>
      <w:r>
        <w:rPr>
          <w:color w:val="312E81"/>
        </w:rPr>
        <w:t>8. Risk register — what breaks first if ignored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56"/>
            <w:shd w:val="clear" w:color="auto" w:fill="312E81"/>
          </w:tcPr>
          <w:p>
            <w:r/>
            <w:r>
              <w:rPr>
                <w:b/>
                <w:color w:val="FFFFFF"/>
                <w:sz w:val="17"/>
              </w:rPr>
              <w:t>Risk</w:t>
            </w:r>
          </w:p>
        </w:tc>
        <w:tc>
          <w:tcPr>
            <w:tcW w:type="dxa" w:w="1440"/>
            <w:shd w:val="clear" w:color="auto" w:fill="312E81"/>
          </w:tcPr>
          <w:p>
            <w:r/>
            <w:r>
              <w:rPr>
                <w:b/>
                <w:color w:val="FFFFFF"/>
                <w:sz w:val="17"/>
              </w:rPr>
              <w:t>Likelihood</w:t>
            </w:r>
          </w:p>
        </w:tc>
        <w:tc>
          <w:tcPr>
            <w:tcW w:type="dxa" w:w="1872"/>
            <w:shd w:val="clear" w:color="auto" w:fill="312E81"/>
          </w:tcPr>
          <w:p>
            <w:r/>
            <w:r>
              <w:rPr>
                <w:b/>
                <w:color w:val="FFFFFF"/>
                <w:sz w:val="17"/>
              </w:rPr>
              <w:t>Impact</w:t>
            </w:r>
          </w:p>
        </w:tc>
        <w:tc>
          <w:tcPr>
            <w:tcW w:type="dxa" w:w="3024"/>
            <w:shd w:val="clear" w:color="auto" w:fill="312E81"/>
          </w:tcPr>
          <w:p>
            <w:r/>
            <w:r>
              <w:rPr>
                <w:b/>
                <w:color w:val="FFFFFF"/>
                <w:sz w:val="17"/>
              </w:rPr>
              <w:t>Mitigation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7"/>
              </w:rPr>
              <w:t>List endpoint returns 100,000s of rows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Severe (outage/OOM)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Pagination (P0)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7"/>
              </w:rPr>
              <w:t>Reporting query exhausts memory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Severe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SQL-side aggregation + read replica (P0)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7"/>
              </w:rPr>
              <w:t>Settlements lost/duplicated across instances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Severe (financial)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Service Bus + idempotency (P0)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7"/>
              </w:rPr>
              <w:t>Receipts unreadable on other instances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Major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Blob Storage (P0)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7"/>
              </w:rPr>
              <w:t>Concurrent edits overwrite each other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Medium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Major (data integrity)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Optimistic concurrency (P2)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7"/>
              </w:rPr>
              <w:t>Credential/secret exposure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Medium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Severe (security)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Entra ID + Key Vault (P3)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7"/>
              </w:rPr>
              <w:t>No visibility when slow/failing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Major (MTTR)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App Insights + alerts (P4)</w:t>
            </w:r>
          </w:p>
        </w:tc>
      </w:tr>
    </w:tbl>
    <w:p/>
    <w:p>
      <w:pPr>
        <w:pStyle w:val="Heading1"/>
      </w:pPr>
      <w:r>
        <w:rPr>
          <w:color w:val="312E81"/>
        </w:rPr>
        <w:t>9. Testing &amp; validation strategy</w:t>
      </w:r>
    </w:p>
    <w:p>
      <w:pPr>
        <w:pStyle w:val="ListBullet"/>
      </w:pPr>
      <w:r>
        <w:rPr>
          <w:b/>
        </w:rPr>
        <w:t xml:space="preserve">Load &amp; soak testing </w:t>
      </w:r>
      <w:r>
        <w:t xml:space="preserve"> — simulate peak concurrent users (e.g. payroll-run profile) to validate latency/throughput targets and tune autoscale.</w:t>
      </w:r>
    </w:p>
    <w:p>
      <w:pPr>
        <w:pStyle w:val="ListBullet"/>
      </w:pPr>
      <w:r>
        <w:rPr>
          <w:b/>
        </w:rPr>
        <w:t xml:space="preserve">Spike &amp; stress testing </w:t>
      </w:r>
      <w:r>
        <w:t xml:space="preserve"> — confirm graceful behaviour (rate limiting, queueing) beyond expected peaks rather than collapse.</w:t>
      </w:r>
    </w:p>
    <w:p>
      <w:pPr>
        <w:pStyle w:val="ListBullet"/>
      </w:pPr>
      <w:r>
        <w:rPr>
          <w:b/>
        </w:rPr>
        <w:t xml:space="preserve">Chaos / failure injection </w:t>
      </w:r>
      <w:r>
        <w:t xml:space="preserve"> — kill instances, fail the DB/queue, and confirm health checks, retries, and circuit breakers behave.</w:t>
      </w:r>
    </w:p>
    <w:p>
      <w:pPr>
        <w:pStyle w:val="ListBullet"/>
      </w:pPr>
      <w:r>
        <w:rPr>
          <w:b/>
        </w:rPr>
        <w:t xml:space="preserve">Security testing </w:t>
      </w:r>
      <w:r>
        <w:t xml:space="preserve"> — SAST/DAST, dependency scanning, and a penetration test before go-live.</w:t>
      </w:r>
    </w:p>
    <w:p>
      <w:pPr>
        <w:pStyle w:val="ListBullet"/>
      </w:pPr>
      <w:r>
        <w:rPr>
          <w:b/>
        </w:rPr>
        <w:t xml:space="preserve">Data-scale testing </w:t>
      </w:r>
      <w:r>
        <w:t xml:space="preserve"> — run with production-like data volumes (millions of rows) to catch query and index issues early.</w:t>
      </w:r>
    </w:p>
    <w:p>
      <w:pPr>
        <w:pStyle w:val="Heading1"/>
      </w:pPr>
      <w:r>
        <w:rPr>
          <w:color w:val="312E81"/>
        </w:rPr>
        <w:t>10. Summary</w:t>
      </w:r>
    </w:p>
    <w:p>
      <w:r>
        <w:rPr>
          <w:b w:val="0"/>
          <w:i w:val="0"/>
        </w:rPr>
        <w:t>The Unified Rewards Platform is built on the correct architectural foundation for enterprise scale: stateless, asynchronous, cleanly modular, with swappable infrastructure seams. To run as a real-time application for a CTS/TCS-scale organisation it needs targeted hardening — most urgently the P0 items (pagination, database-side reporting, durable queuing, shared storage, managed database, and safe migrations), followed by performance, resilience, security, and operations work.</w:t>
      </w:r>
    </w:p>
    <w:p>
      <w:r>
        <w:rPr>
          <w:b w:val="0"/>
          <w:i w:val="0"/>
        </w:rPr>
        <w:t>Crucially, every item in this plan can be delivered within the modular monolith using managed Azure services — horizontal auto-scaling, Azure SQL with a read replica, Redis, Blob, Service Bus, Entra ID, Key Vault, and Application Insights. Microservices remain an optional, later, selective step for a specific proven hotspot, not a prerequisite for serving this scale.</w:t>
      </w:r>
    </w:p>
    <w:p>
      <w:pPr>
        <w:pStyle w:val="Heading1"/>
      </w:pPr>
      <w:r>
        <w:rPr>
          <w:color w:val="312E81"/>
        </w:rPr>
        <w:t>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312E81"/>
          </w:tcPr>
          <w:p>
            <w:r/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7200"/>
            <w:shd w:val="clear" w:color="auto" w:fill="312E81"/>
          </w:tcPr>
          <w:p>
            <w:r/>
            <w:r>
              <w:rPr>
                <w:b/>
                <w:color w:val="FFFFFF"/>
                <w:sz w:val="18"/>
              </w:rPr>
              <w:t>Plain meaning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Load balancing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Spreading incoming requests evenly across many running copies of the app.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Horizontal scaling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Adding more copies (instances) of the app to handle more users.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Auto-scaling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Automatically adding/removing instances based on load.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Stateless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The app keeps no per-user memory between requests, so any instance can serve anyone.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Throughput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How many requests the system handles per second.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Latency / p95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How long a request takes; p95 = 95% of requests are faster than this.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Read replica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A read-only copy of the database used to offload reporting/queries.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Cache (Redis)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A fast in-memory store for frequently-read data to avoid hitting the database.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Durable queue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A reliable message line (Service Bus) that survives restarts.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Idempotency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Doing the same operation twice has the same effect as once (prevents double-pay).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Competing consumers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Several workers reading one queue, each item handled by exactly one.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Optimistic concurrency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Detecting and rejecting conflicting simultaneous edits.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Transactional outbox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Saving an event with its data in one transaction so it is never lost.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Circuit breaker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Temporarily stops calling a failing service to let it recover.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Health check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An endpoint that reports whether an instance is alive and ready for traffic.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CDN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A global network that serves static content from close to the user.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RPO / RTO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Max acceptable data loss / downtime during a disaster.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NFR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Non-functional requirement — how well the system performs, not what it does.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