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r>
        <w:t xml:space="preserve"/>
      </w:r>
    </w:p>
    <w:p>
      <w:pPr>
        <w:spacing w:after="360"/>
        <w:jc w:val="center"/>
      </w:pPr>
      <w:r>
        <w:rPr>
          <w:b/>
          <w:bCs/>
          <w:sz w:val="44"/>
          <w:szCs w:val="44"/>
        </w:rPr>
        <w:t xml:space="preserve">Optimal Joint Radar-Communication Waveform Design and Performance Trade-Offs in 6G Networks</w:t>
      </w:r>
    </w:p>
    <w:p>
      <w:pPr>
        <w:spacing w:after="1200"/>
        <w:jc w:val="center"/>
      </w:pPr>
      <w:r>
        <w:rPr>
          <w:i/>
          <w:iCs/>
          <w:sz w:val="28"/>
          <w:szCs w:val="28"/>
        </w:rPr>
        <w:t xml:space="preserve">An Integrated Sensing and Communication (ISAC) Framework</w:t>
      </w:r>
    </w:p>
    <w:p>
      <w:pPr>
        <w:spacing w:after="240"/>
        <w:jc w:val="center"/>
      </w:pPr>
      <w:r>
        <w:rPr>
          <w:sz w:val="28"/>
          <w:szCs w:val="28"/>
        </w:rPr>
        <w:t xml:space="preserve">A Project Report</w:t>
      </w:r>
    </w:p>
    <w:p>
      <w:pPr>
        <w:spacing w:after="120"/>
        <w:jc w:val="center"/>
      </w:pPr>
      <w:r>
        <w:rPr>
          <w:sz w:val="24"/>
          <w:szCs w:val="24"/>
        </w:rPr>
        <w:t xml:space="preserve">Submitted in partial fulfillment of the requirements</w:t>
      </w:r>
    </w:p>
    <w:p>
      <w:pPr>
        <w:spacing w:after="1800"/>
        <w:jc w:val="center"/>
      </w:pPr>
      <w:r>
        <w:rPr>
          <w:sz w:val="24"/>
          <w:szCs w:val="24"/>
        </w:rPr>
        <w:t xml:space="preserve">Department of Electronics and Communication Engineering</w:t>
      </w:r>
    </w:p>
    <w:p>
      <w:pPr>
        <w:spacing w:after="240"/>
        <w:jc w:val="center"/>
      </w:pPr>
      <w:r>
        <w:rPr>
          <w:b/>
          <w:bCs/>
          <w:sz w:val="26"/>
          <w:szCs w:val="26"/>
        </w:rPr>
        <w:t xml:space="preserve">Year: 2025–2026</w:t>
      </w:r>
    </w:p>
    <w:p>
      <w:r>
        <w:br w:type="page"/>
      </w:r>
    </w:p>
    <w:p>
      <w:pPr>
        <w:pStyle w:val="Heading1"/>
        <w:spacing w:after="240" w:before="360"/>
      </w:pPr>
      <w:r>
        <w:rPr>
          <w:b/>
          <w:bCs/>
          <w:sz w:val="32"/>
          <w:szCs w:val="32"/>
        </w:rPr>
        <w:t xml:space="preserve">Abstract</w:t>
      </w:r>
    </w:p>
    <w:p>
      <w:pPr>
        <w:spacing w:after="120" w:line="360"/>
        <w:jc w:val="both"/>
      </w:pPr>
      <w:r>
        <w:t xml:space="preserve">Integrated Sensing and Communication (ISAC) is a key enabling technology for sixth-generation (6G) wireless networks, where a single waveform simultaneously delivers high-rate communication and high-resolution radar sensing using shared spectrum, hardware, and antenna arrays. This project presents a complete end-to-end simulation framework for an OFDM-based ISAC system operating in the 28 GHz millimeter-wave band with 100 MHz bandwidth and 8×4 MIMO configuration.</w:t>
      </w:r>
    </w:p>
    <w:p>
      <w:pPr>
        <w:spacing w:after="120" w:line="360"/>
        <w:jc w:val="both"/>
      </w:pPr>
      <w:r>
        <w:t xml:space="preserve">The framework is decomposed into nine modular sections covering system parameters, MIMO beamforming, OFDM-ISAC transmitter design, dual-path channel modeling, radar receiver with range-Doppler processing and CA-CFAR detection, communication receiver with least-squares channel estimation and zero-forcing equalization, Cramér-Rao Bound analysis with Swerling detection probability models, Pareto-optimal trade-off surface optimization, and final integrated visualization.</w:t>
      </w:r>
    </w:p>
    <w:p>
      <w:pPr>
        <w:spacing w:after="120" w:line="360"/>
        <w:jc w:val="both"/>
      </w:pPr>
      <w:r>
        <w:t xml:space="preserve">Key results obtained at 15 dB operating SNR include a radar SINR of 18.5 dB with successful detection of all three targets at ranges 80 m, 150 m, and 280 m with sub-2 m RMSE; communication spectral efficiency of 5.03 bps/Hz; CRB of 0.22 m for range estimation and 0.86 m/s for velocity; and a Pareto knee point at α* = 0.20 (pilot ratio) and λ* = 0.50 (ISAC weight). The framework demonstrates that joint waveform design achieves a tunable balance between sensing accuracy and communication throughput, validating the feasibility of OFDM-ISAC for 6G applications.</w:t>
      </w:r>
    </w:p>
    <w:p>
      <w:pPr>
        <w:spacing w:after="100"/>
      </w:pPr>
      <w:r>
        <w:t xml:space="preserve"/>
      </w:r>
    </w:p>
    <w:p>
      <w:pPr>
        <w:spacing w:after="120" w:line="360"/>
        <w:jc w:val="both"/>
      </w:pPr>
      <w:r>
        <w:rPr>
          <w:b/>
          <w:bCs/>
        </w:rPr>
        <w:t xml:space="preserve">Keywords: </w:t>
      </w:r>
      <w:r>
        <w:t xml:space="preserve">Integrated Sensing and Communication (ISAC), 6G, OFDM, MIMO Beamforming, mmWave, Cramér-Rao Bound, CA-CFAR, Range-Doppler Processing, Pareto Optimization, Joint Radar-Communication Design.</w:t>
      </w:r>
    </w:p>
    <w:p>
      <w:r>
        <w:br w:type="page"/>
      </w:r>
    </w:p>
    <w:p>
      <w:pPr>
        <w:pStyle w:val="Heading1"/>
        <w:spacing w:after="240" w:before="360"/>
      </w:pPr>
      <w:r>
        <w:rPr>
          <w:b/>
          <w:bCs/>
          <w:sz w:val="32"/>
          <w:szCs w:val="32"/>
        </w:rPr>
        <w:t xml:space="preserve">Table of Contents</w:t>
      </w:r>
    </w:p>
    <w:p>
      <w:pPr>
        <w:tabs>
          <w:tab w:val="right" w:pos="9026" w:leader="dot"/>
        </w:tabs>
        <w:spacing w:after="80"/>
      </w:pPr>
      <w:r>
        <w:rPr>
          <w:sz w:val="24"/>
          <w:szCs w:val="24"/>
        </w:rPr>
        <w:t xml:space="preserve">1. Introduction</w:t>
      </w:r>
      <w:r>
        <w:rPr>
          <w:sz w:val="24"/>
          <w:szCs w:val="24"/>
        </w:rPr>
        <w:t xml:space="preserve">	5</w:t>
      </w:r>
    </w:p>
    <w:p>
      <w:pPr>
        <w:tabs>
          <w:tab w:val="right" w:pos="9026" w:leader="dot"/>
        </w:tabs>
        <w:spacing w:after="80"/>
      </w:pPr>
      <w:r>
        <w:rPr>
          <w:sz w:val="24"/>
          <w:szCs w:val="24"/>
        </w:rPr>
        <w:t xml:space="preserve">    1.1  Background and Motivation</w:t>
      </w:r>
      <w:r>
        <w:rPr>
          <w:sz w:val="24"/>
          <w:szCs w:val="24"/>
        </w:rPr>
        <w:t xml:space="preserve">	5</w:t>
      </w:r>
    </w:p>
    <w:p>
      <w:pPr>
        <w:tabs>
          <w:tab w:val="right" w:pos="9026" w:leader="dot"/>
        </w:tabs>
        <w:spacing w:after="80"/>
      </w:pPr>
      <w:r>
        <w:rPr>
          <w:sz w:val="24"/>
          <w:szCs w:val="24"/>
        </w:rPr>
        <w:t xml:space="preserve">    1.2  Problem Statement</w:t>
      </w:r>
      <w:r>
        <w:rPr>
          <w:sz w:val="24"/>
          <w:szCs w:val="24"/>
        </w:rPr>
        <w:t xml:space="preserve">	6</w:t>
      </w:r>
    </w:p>
    <w:p>
      <w:pPr>
        <w:tabs>
          <w:tab w:val="right" w:pos="9026" w:leader="dot"/>
        </w:tabs>
        <w:spacing w:after="80"/>
      </w:pPr>
      <w:r>
        <w:rPr>
          <w:sz w:val="24"/>
          <w:szCs w:val="24"/>
        </w:rPr>
        <w:t xml:space="preserve">    1.3  Project Objectives</w:t>
      </w:r>
      <w:r>
        <w:rPr>
          <w:sz w:val="24"/>
          <w:szCs w:val="24"/>
        </w:rPr>
        <w:t xml:space="preserve">	6</w:t>
      </w:r>
    </w:p>
    <w:p>
      <w:pPr>
        <w:tabs>
          <w:tab w:val="right" w:pos="9026" w:leader="dot"/>
        </w:tabs>
        <w:spacing w:after="80"/>
      </w:pPr>
      <w:r>
        <w:rPr>
          <w:sz w:val="24"/>
          <w:szCs w:val="24"/>
        </w:rPr>
        <w:t xml:space="preserve">    1.4  Report Organization</w:t>
      </w:r>
      <w:r>
        <w:rPr>
          <w:sz w:val="24"/>
          <w:szCs w:val="24"/>
        </w:rPr>
        <w:t xml:space="preserve">	7</w:t>
      </w:r>
    </w:p>
    <w:p>
      <w:pPr>
        <w:tabs>
          <w:tab w:val="right" w:pos="9026" w:leader="dot"/>
        </w:tabs>
        <w:spacing w:after="80"/>
      </w:pPr>
      <w:r>
        <w:rPr>
          <w:sz w:val="24"/>
          <w:szCs w:val="24"/>
        </w:rPr>
        <w:t xml:space="preserve">2. Literature Survey</w:t>
      </w:r>
      <w:r>
        <w:rPr>
          <w:sz w:val="24"/>
          <w:szCs w:val="24"/>
        </w:rPr>
        <w:t xml:space="preserve">	8</w:t>
      </w:r>
    </w:p>
    <w:p>
      <w:pPr>
        <w:tabs>
          <w:tab w:val="right" w:pos="9026" w:leader="dot"/>
        </w:tabs>
        <w:spacing w:after="80"/>
      </w:pPr>
      <w:r>
        <w:rPr>
          <w:sz w:val="24"/>
          <w:szCs w:val="24"/>
        </w:rPr>
        <w:t xml:space="preserve">3. System Model</w:t>
      </w:r>
      <w:r>
        <w:rPr>
          <w:sz w:val="24"/>
          <w:szCs w:val="24"/>
        </w:rPr>
        <w:t xml:space="preserve">	10</w:t>
      </w:r>
    </w:p>
    <w:p>
      <w:pPr>
        <w:tabs>
          <w:tab w:val="right" w:pos="9026" w:leader="dot"/>
        </w:tabs>
        <w:spacing w:after="80"/>
      </w:pPr>
      <w:r>
        <w:rPr>
          <w:sz w:val="24"/>
          <w:szCs w:val="24"/>
        </w:rPr>
        <w:t xml:space="preserve">    3.1  System Parameters</w:t>
      </w:r>
      <w:r>
        <w:rPr>
          <w:sz w:val="24"/>
          <w:szCs w:val="24"/>
        </w:rPr>
        <w:t xml:space="preserve">	10</w:t>
      </w:r>
    </w:p>
    <w:p>
      <w:pPr>
        <w:tabs>
          <w:tab w:val="right" w:pos="9026" w:leader="dot"/>
        </w:tabs>
        <w:spacing w:after="80"/>
      </w:pPr>
      <w:r>
        <w:rPr>
          <w:sz w:val="24"/>
          <w:szCs w:val="24"/>
        </w:rPr>
        <w:t xml:space="preserve">    3.2  MIMO Beamforming Architecture</w:t>
      </w:r>
      <w:r>
        <w:rPr>
          <w:sz w:val="24"/>
          <w:szCs w:val="24"/>
        </w:rPr>
        <w:t xml:space="preserve">	12</w:t>
      </w:r>
    </w:p>
    <w:p>
      <w:pPr>
        <w:tabs>
          <w:tab w:val="right" w:pos="9026" w:leader="dot"/>
        </w:tabs>
        <w:spacing w:after="80"/>
      </w:pPr>
      <w:r>
        <w:rPr>
          <w:sz w:val="24"/>
          <w:szCs w:val="24"/>
        </w:rPr>
        <w:t xml:space="preserve">    3.3  OFDM-ISAC Transmitter</w:t>
      </w:r>
      <w:r>
        <w:rPr>
          <w:sz w:val="24"/>
          <w:szCs w:val="24"/>
        </w:rPr>
        <w:t xml:space="preserve">	13</w:t>
      </w:r>
    </w:p>
    <w:p>
      <w:pPr>
        <w:tabs>
          <w:tab w:val="right" w:pos="9026" w:leader="dot"/>
        </w:tabs>
        <w:spacing w:after="80"/>
      </w:pPr>
      <w:r>
        <w:rPr>
          <w:sz w:val="24"/>
          <w:szCs w:val="24"/>
        </w:rPr>
        <w:t xml:space="preserve">    3.4  Dual-Path Channel Model</w:t>
      </w:r>
      <w:r>
        <w:rPr>
          <w:sz w:val="24"/>
          <w:szCs w:val="24"/>
        </w:rPr>
        <w:t xml:space="preserve">	14</w:t>
      </w:r>
    </w:p>
    <w:p>
      <w:pPr>
        <w:tabs>
          <w:tab w:val="right" w:pos="9026" w:leader="dot"/>
        </w:tabs>
        <w:spacing w:after="80"/>
      </w:pPr>
      <w:r>
        <w:rPr>
          <w:sz w:val="24"/>
          <w:szCs w:val="24"/>
        </w:rPr>
        <w:t xml:space="preserve">4. Receiver Design and Signal Processing</w:t>
      </w:r>
      <w:r>
        <w:rPr>
          <w:sz w:val="24"/>
          <w:szCs w:val="24"/>
        </w:rPr>
        <w:t xml:space="preserve">	16</w:t>
      </w:r>
    </w:p>
    <w:p>
      <w:pPr>
        <w:tabs>
          <w:tab w:val="right" w:pos="9026" w:leader="dot"/>
        </w:tabs>
        <w:spacing w:after="80"/>
      </w:pPr>
      <w:r>
        <w:rPr>
          <w:sz w:val="24"/>
          <w:szCs w:val="24"/>
        </w:rPr>
        <w:t xml:space="preserve">    4.1  Radar Receiver</w:t>
      </w:r>
      <w:r>
        <w:rPr>
          <w:sz w:val="24"/>
          <w:szCs w:val="24"/>
        </w:rPr>
        <w:t xml:space="preserve">	16</w:t>
      </w:r>
    </w:p>
    <w:p>
      <w:pPr>
        <w:tabs>
          <w:tab w:val="right" w:pos="9026" w:leader="dot"/>
        </w:tabs>
        <w:spacing w:after="80"/>
      </w:pPr>
      <w:r>
        <w:rPr>
          <w:sz w:val="24"/>
          <w:szCs w:val="24"/>
        </w:rPr>
        <w:t xml:space="preserve">    4.2  Communication Receiver</w:t>
      </w:r>
      <w:r>
        <w:rPr>
          <w:sz w:val="24"/>
          <w:szCs w:val="24"/>
        </w:rPr>
        <w:t xml:space="preserve">	18</w:t>
      </w:r>
    </w:p>
    <w:p>
      <w:pPr>
        <w:tabs>
          <w:tab w:val="right" w:pos="9026" w:leader="dot"/>
        </w:tabs>
        <w:spacing w:after="80"/>
      </w:pPr>
      <w:r>
        <w:rPr>
          <w:sz w:val="24"/>
          <w:szCs w:val="24"/>
        </w:rPr>
        <w:t xml:space="preserve">5. Performance Analysis</w:t>
      </w:r>
      <w:r>
        <w:rPr>
          <w:sz w:val="24"/>
          <w:szCs w:val="24"/>
        </w:rPr>
        <w:t xml:space="preserve">	20</w:t>
      </w:r>
    </w:p>
    <w:p>
      <w:pPr>
        <w:tabs>
          <w:tab w:val="right" w:pos="9026" w:leader="dot"/>
        </w:tabs>
        <w:spacing w:after="80"/>
      </w:pPr>
      <w:r>
        <w:rPr>
          <w:sz w:val="24"/>
          <w:szCs w:val="24"/>
        </w:rPr>
        <w:t xml:space="preserve">    5.1  Cramér-Rao Bound Analysis</w:t>
      </w:r>
      <w:r>
        <w:rPr>
          <w:sz w:val="24"/>
          <w:szCs w:val="24"/>
        </w:rPr>
        <w:t xml:space="preserve">	20</w:t>
      </w:r>
    </w:p>
    <w:p>
      <w:pPr>
        <w:tabs>
          <w:tab w:val="right" w:pos="9026" w:leader="dot"/>
        </w:tabs>
        <w:spacing w:after="80"/>
      </w:pPr>
      <w:r>
        <w:rPr>
          <w:sz w:val="24"/>
          <w:szCs w:val="24"/>
        </w:rPr>
        <w:t xml:space="preserve">    5.2  Detection Probability Models</w:t>
      </w:r>
      <w:r>
        <w:rPr>
          <w:sz w:val="24"/>
          <w:szCs w:val="24"/>
        </w:rPr>
        <w:t xml:space="preserve">	21</w:t>
      </w:r>
    </w:p>
    <w:p>
      <w:pPr>
        <w:tabs>
          <w:tab w:val="right" w:pos="9026" w:leader="dot"/>
        </w:tabs>
        <w:spacing w:after="80"/>
      </w:pPr>
      <w:r>
        <w:rPr>
          <w:sz w:val="24"/>
          <w:szCs w:val="24"/>
        </w:rPr>
        <w:t xml:space="preserve">    5.3  Pareto Trade-off Optimization</w:t>
      </w:r>
      <w:r>
        <w:rPr>
          <w:sz w:val="24"/>
          <w:szCs w:val="24"/>
        </w:rPr>
        <w:t xml:space="preserve">	22</w:t>
      </w:r>
    </w:p>
    <w:p>
      <w:pPr>
        <w:tabs>
          <w:tab w:val="right" w:pos="9026" w:leader="dot"/>
        </w:tabs>
        <w:spacing w:after="80"/>
      </w:pPr>
      <w:r>
        <w:rPr>
          <w:sz w:val="24"/>
          <w:szCs w:val="24"/>
        </w:rPr>
        <w:t xml:space="preserve">6. Implementation and Methodology</w:t>
      </w:r>
      <w:r>
        <w:rPr>
          <w:sz w:val="24"/>
          <w:szCs w:val="24"/>
        </w:rPr>
        <w:t xml:space="preserve">	24</w:t>
      </w:r>
    </w:p>
    <w:p>
      <w:pPr>
        <w:tabs>
          <w:tab w:val="right" w:pos="9026" w:leader="dot"/>
        </w:tabs>
        <w:spacing w:after="80"/>
      </w:pPr>
      <w:r>
        <w:rPr>
          <w:sz w:val="24"/>
          <w:szCs w:val="24"/>
        </w:rPr>
        <w:t xml:space="preserve">7. Results and Discussion</w:t>
      </w:r>
      <w:r>
        <w:rPr>
          <w:sz w:val="24"/>
          <w:szCs w:val="24"/>
        </w:rPr>
        <w:t xml:space="preserve">	26</w:t>
      </w:r>
    </w:p>
    <w:p>
      <w:pPr>
        <w:tabs>
          <w:tab w:val="right" w:pos="9026" w:leader="dot"/>
        </w:tabs>
        <w:spacing w:after="80"/>
      </w:pPr>
      <w:r>
        <w:rPr>
          <w:sz w:val="24"/>
          <w:szCs w:val="24"/>
        </w:rPr>
        <w:t xml:space="preserve">8. Conclusion and Future Work</w:t>
      </w:r>
      <w:r>
        <w:rPr>
          <w:sz w:val="24"/>
          <w:szCs w:val="24"/>
        </w:rPr>
        <w:t xml:space="preserve">	30</w:t>
      </w:r>
    </w:p>
    <w:p>
      <w:pPr>
        <w:tabs>
          <w:tab w:val="right" w:pos="9026" w:leader="dot"/>
        </w:tabs>
        <w:spacing w:after="80"/>
      </w:pPr>
      <w:r>
        <w:rPr>
          <w:sz w:val="24"/>
          <w:szCs w:val="24"/>
        </w:rPr>
        <w:t xml:space="preserve">References</w:t>
      </w:r>
      <w:r>
        <w:rPr>
          <w:sz w:val="24"/>
          <w:szCs w:val="24"/>
        </w:rPr>
        <w:t xml:space="preserve">	32</w:t>
      </w:r>
    </w:p>
    <w:p>
      <w:r>
        <w:br w:type="page"/>
      </w:r>
    </w:p>
    <w:p>
      <w:pPr>
        <w:pStyle w:val="Heading1"/>
        <w:spacing w:after="240" w:before="360"/>
      </w:pPr>
      <w:r>
        <w:rPr>
          <w:b/>
          <w:bCs/>
          <w:sz w:val="32"/>
          <w:szCs w:val="32"/>
        </w:rPr>
        <w:t xml:space="preserve">List of Figures</w:t>
      </w:r>
    </w:p>
    <w:p>
      <w:pPr>
        <w:spacing w:after="60"/>
      </w:pPr>
      <w:r>
        <w:rPr>
          <w:sz w:val="22"/>
          <w:szCs w:val="22"/>
        </w:rPr>
        <w:t xml:space="preserve">Figure 3.1: OFDM-ISAC System Architecture</w:t>
      </w:r>
    </w:p>
    <w:p>
      <w:pPr>
        <w:spacing w:after="60"/>
      </w:pPr>
      <w:r>
        <w:rPr>
          <w:sz w:val="22"/>
          <w:szCs w:val="22"/>
        </w:rPr>
        <w:t xml:space="preserve">Figure 3.2: MIMO Beamforming Configuration (8×4 ULA)</w:t>
      </w:r>
    </w:p>
    <w:p>
      <w:pPr>
        <w:spacing w:after="60"/>
      </w:pPr>
      <w:r>
        <w:rPr>
          <w:sz w:val="22"/>
          <w:szCs w:val="22"/>
        </w:rPr>
        <w:t xml:space="preserve">Figure 3.3: OFDM-ISAC Transmitter Block Diagram</w:t>
      </w:r>
    </w:p>
    <w:p>
      <w:pPr>
        <w:spacing w:after="60"/>
      </w:pPr>
      <w:r>
        <w:rPr>
          <w:sz w:val="22"/>
          <w:szCs w:val="22"/>
        </w:rPr>
        <w:t xml:space="preserve">Figure 3.4: Dual-Path Channel Model</w:t>
      </w:r>
    </w:p>
    <w:p>
      <w:pPr>
        <w:spacing w:after="60"/>
      </w:pPr>
      <w:r>
        <w:rPr>
          <w:sz w:val="22"/>
          <w:szCs w:val="22"/>
        </w:rPr>
        <w:t xml:space="preserve">Figure 4.1: Radar Receiver: Range-Doppler Processing Chain</w:t>
      </w:r>
    </w:p>
    <w:p>
      <w:pPr>
        <w:spacing w:after="60"/>
      </w:pPr>
      <w:r>
        <w:rPr>
          <w:sz w:val="22"/>
          <w:szCs w:val="22"/>
        </w:rPr>
        <w:t xml:space="preserve">Figure 4.2: Communication Receiver Block Diagram</w:t>
      </w:r>
    </w:p>
    <w:p>
      <w:pPr>
        <w:spacing w:after="60"/>
      </w:pPr>
      <w:r>
        <w:rPr>
          <w:sz w:val="22"/>
          <w:szCs w:val="22"/>
        </w:rPr>
        <w:t xml:space="preserve">Figure 7.1: ISAC Beampattern at 28 GHz</w:t>
      </w:r>
    </w:p>
    <w:p>
      <w:pPr>
        <w:spacing w:after="60"/>
      </w:pPr>
      <w:r>
        <w:rPr>
          <w:sz w:val="22"/>
          <w:szCs w:val="22"/>
        </w:rPr>
        <w:t xml:space="preserve">Figure 7.2: Range-Doppler Map with Detected Targets</w:t>
      </w:r>
    </w:p>
    <w:p>
      <w:pPr>
        <w:spacing w:after="60"/>
      </w:pPr>
      <w:r>
        <w:rPr>
          <w:sz w:val="22"/>
          <w:szCs w:val="22"/>
        </w:rPr>
        <w:t xml:space="preserve">Figure 7.3: CRB vs RMSE for Range and Velocity</w:t>
      </w:r>
    </w:p>
    <w:p>
      <w:pPr>
        <w:spacing w:after="60"/>
      </w:pPr>
      <w:r>
        <w:rPr>
          <w:sz w:val="22"/>
          <w:szCs w:val="22"/>
        </w:rPr>
        <w:t xml:space="preserve">Figure 7.4: BER vs SNR Performance</w:t>
      </w:r>
    </w:p>
    <w:p>
      <w:pPr>
        <w:spacing w:after="60"/>
      </w:pPr>
      <w:r>
        <w:rPr>
          <w:sz w:val="22"/>
          <w:szCs w:val="22"/>
        </w:rPr>
        <w:t xml:space="preserve">Figure 7.5: Detection Probability — Swerling Models</w:t>
      </w:r>
    </w:p>
    <w:p>
      <w:pPr>
        <w:spacing w:after="60"/>
      </w:pPr>
      <w:r>
        <w:rPr>
          <w:sz w:val="22"/>
          <w:szCs w:val="22"/>
        </w:rPr>
        <w:t xml:space="preserve">Figure 7.6: Pareto Surface U(λ, α)</w:t>
      </w:r>
    </w:p>
    <w:p>
      <w:pPr>
        <w:spacing w:after="100"/>
      </w:pPr>
      <w:r>
        <w:t xml:space="preserve"/>
      </w:r>
    </w:p>
    <w:p>
      <w:pPr>
        <w:pStyle w:val="Heading1"/>
        <w:spacing w:after="240" w:before="360"/>
      </w:pPr>
      <w:r>
        <w:rPr>
          <w:b/>
          <w:bCs/>
          <w:sz w:val="32"/>
          <w:szCs w:val="32"/>
        </w:rPr>
        <w:t xml:space="preserve">List of Tables</w:t>
      </w:r>
    </w:p>
    <w:p>
      <w:pPr>
        <w:spacing w:after="60"/>
      </w:pPr>
      <w:r>
        <w:rPr>
          <w:sz w:val="22"/>
          <w:szCs w:val="22"/>
        </w:rPr>
        <w:t xml:space="preserve">Table 3.1: OFDM and MIMO System Parameters</w:t>
      </w:r>
    </w:p>
    <w:p>
      <w:pPr>
        <w:spacing w:after="60"/>
      </w:pPr>
      <w:r>
        <w:rPr>
          <w:sz w:val="22"/>
          <w:szCs w:val="22"/>
        </w:rPr>
        <w:t xml:space="preserve">Table 3.2: Radar Target Configuration</w:t>
      </w:r>
    </w:p>
    <w:p>
      <w:pPr>
        <w:spacing w:after="60"/>
      </w:pPr>
      <w:r>
        <w:rPr>
          <w:sz w:val="22"/>
          <w:szCs w:val="22"/>
        </w:rPr>
        <w:t xml:space="preserve">Table 7.1: Beamforming Gains per Target</w:t>
      </w:r>
    </w:p>
    <w:p>
      <w:pPr>
        <w:spacing w:after="60"/>
      </w:pPr>
      <w:r>
        <w:rPr>
          <w:sz w:val="22"/>
          <w:szCs w:val="22"/>
        </w:rPr>
        <w:t xml:space="preserve">Table 7.2: Radar Detection Results</w:t>
      </w:r>
    </w:p>
    <w:p>
      <w:pPr>
        <w:spacing w:after="60"/>
      </w:pPr>
      <w:r>
        <w:rPr>
          <w:sz w:val="22"/>
          <w:szCs w:val="22"/>
        </w:rPr>
        <w:t xml:space="preserve">Table 7.3: Communication Receiver Metrics</w:t>
      </w:r>
    </w:p>
    <w:p>
      <w:pPr>
        <w:spacing w:after="60"/>
      </w:pPr>
      <w:r>
        <w:rPr>
          <w:sz w:val="22"/>
          <w:szCs w:val="22"/>
        </w:rPr>
        <w:t xml:space="preserve">Table 7.4: CRB Values at 15 dB SNR</w:t>
      </w:r>
    </w:p>
    <w:p>
      <w:pPr>
        <w:spacing w:after="60"/>
      </w:pPr>
      <w:r>
        <w:rPr>
          <w:sz w:val="22"/>
          <w:szCs w:val="22"/>
        </w:rPr>
        <w:t xml:space="preserve">Table 7.5: Pareto Optimal Operating Points</w:t>
      </w:r>
    </w:p>
    <w:p>
      <w:r>
        <w:br w:type="page"/>
      </w:r>
    </w:p>
    <w:p>
      <w:pPr>
        <w:pStyle w:val="Heading1"/>
        <w:spacing w:after="240" w:before="360"/>
      </w:pPr>
      <w:r>
        <w:rPr>
          <w:b/>
          <w:bCs/>
          <w:sz w:val="32"/>
          <w:szCs w:val="32"/>
        </w:rPr>
        <w:t xml:space="preserve">Chapter 1: Introduction</w:t>
      </w:r>
    </w:p>
    <w:p>
      <w:pPr>
        <w:pStyle w:val="Heading2"/>
        <w:spacing w:after="180" w:before="240"/>
      </w:pPr>
      <w:r>
        <w:rPr>
          <w:b/>
          <w:bCs/>
          <w:sz w:val="28"/>
          <w:szCs w:val="28"/>
        </w:rPr>
        <w:t xml:space="preserve">1.1 Background and Motivation</w:t>
      </w:r>
    </w:p>
    <w:p>
      <w:pPr>
        <w:spacing w:after="120" w:line="360"/>
        <w:jc w:val="both"/>
      </w:pPr>
      <w:r>
        <w:t xml:space="preserve">The sixth generation (6G) of wireless communication networks is envisioned to support a diverse range of emerging applications including autonomous vehicles, smart cities, extended reality, digital twins, and intelligent industrial automation. These applications demand not only ultra-high data rates and ultra-reliable low-latency communication, but also high-precision environmental sensing capabilities. Traditionally, communication and radar sensing systems have been developed as separate technologies, each operating with dedicated hardware and spectrum resources.</w:t>
      </w:r>
    </w:p>
    <w:p>
      <w:pPr>
        <w:spacing w:after="120" w:line="360"/>
        <w:jc w:val="both"/>
      </w:pPr>
      <w:r>
        <w:t xml:space="preserve">Integrated Sensing and Communication (ISAC) has emerged as a transformative paradigm that unifies these two functions into a single system, enabling simultaneous communication and sensing through a shared waveform, hardware platform, and frequency spectrum. The benefits of ISAC are substantial: improved spectrum efficiency due to shared bandwidth, reduced device size, lower power consumption, decreased hardware cost, and the potential for sensing-assisted communication and communication-assisted sensing capabilities.</w:t>
      </w:r>
    </w:p>
    <w:p>
      <w:pPr>
        <w:spacing w:after="120" w:line="360"/>
        <w:jc w:val="both"/>
      </w:pPr>
      <w:r>
        <w:t xml:space="preserve">Among the various waveform candidates for ISAC, Orthogonal Frequency Division Multiplexing (OFDM) has gained significant attention due to its inherent compatibility with existing 4G LTE and 5G NR standards, its tolerance to multipath fading, and its straightforward range-Doppler processing for radar sensing. However, designing an optimal OFDM-ISAC waveform requires careful joint consideration of communication metrics (bit error rate, spectral efficiency) and sensing metrics (Cramér-Rao Bound, detection probability, range and velocity resolution).</w:t>
      </w:r>
    </w:p>
    <w:p>
      <w:pPr>
        <w:spacing w:after="120" w:line="360"/>
        <w:jc w:val="both"/>
      </w:pPr>
      <w:r>
        <w:t xml:space="preserve">The millimeter-wave (mmWave) frequency band, particularly around 28 GHz, has been identified as a key enabler for 6G ISAC due to the availability of large contiguous bandwidth (100 MHz and beyond), short wavelengths that enable compact MIMO antenna arrays with high directivity, and improved spatial resolution for radar sensing. The combination of OFDM, MIMO beamforming, and mmWave frequencies forms the foundation of modern ISAC research.</w:t>
      </w:r>
    </w:p>
    <w:p>
      <w:pPr>
        <w:pStyle w:val="Heading2"/>
        <w:spacing w:after="180" w:before="240"/>
      </w:pPr>
      <w:r>
        <w:rPr>
          <w:b/>
          <w:bCs/>
          <w:sz w:val="28"/>
          <w:szCs w:val="28"/>
        </w:rPr>
        <w:t xml:space="preserve">1.2 Problem Statement</w:t>
      </w:r>
    </w:p>
    <w:p>
      <w:pPr>
        <w:spacing w:after="120" w:line="360"/>
        <w:jc w:val="both"/>
      </w:pPr>
      <w:r>
        <w:t xml:space="preserve">The central problem addressed in this project is the fundamental performance trade-off between communication and sensing functionalities in an OFDM-based ISAC system. Since both functions share the same waveform, hardware, time-frequency resources, and transmit power, any design choice that improves one function tends to degrade the other. Specifically:</w:t>
      </w:r>
    </w:p>
    <w:p>
      <w:pPr>
        <w:spacing w:after="120" w:line="360"/>
        <w:jc w:val="both"/>
      </w:pPr>
      <w:r>
        <w:t xml:space="preserve">Allocating more subcarriers as pilots improves radar sensing accuracy (by raising the radar signal-to-noise ratio at the receiver and lowering the Cramér-Rao Bound on range and velocity estimation) but simultaneously reduces the number of data subcarriers available for communication, thereby reducing the spectral efficiency. Similarly, allocating a larger fraction of transmit power to the sensing waveform improves target detection probability while degrading the communication signal-to-noise ratio and increasing the bit error rate.</w:t>
      </w:r>
    </w:p>
    <w:p>
      <w:pPr>
        <w:spacing w:after="120" w:line="360"/>
        <w:jc w:val="both"/>
      </w:pPr>
      <w:r>
        <w:t xml:space="preserve">This trade-off is governed by two key design parameters: the pilot subcarrier ratio α, and the ISAC weight λ that controls the relative emphasis between sensing and communication objectives in a joint utility function. The problem is therefore to characterize this trade-off quantitatively across the (λ, α) parameter space, identify Pareto-optimal operating points, and determine the best balanced operating point (knee point) that achieves acceptable performance for both functions simultaneously. Without such a characterization, system designers cannot make informed decisions about how to provision an OFDM-ISAC system for a given application.</w:t>
      </w:r>
    </w:p>
    <w:p>
      <w:pPr>
        <w:pStyle w:val="Heading2"/>
        <w:spacing w:after="180" w:before="240"/>
      </w:pPr>
      <w:r>
        <w:rPr>
          <w:b/>
          <w:bCs/>
          <w:sz w:val="28"/>
          <w:szCs w:val="28"/>
        </w:rPr>
        <w:t xml:space="preserve">1.3 Project Objectives</w:t>
      </w:r>
    </w:p>
    <w:p>
      <w:pPr>
        <w:spacing w:after="120" w:line="360"/>
        <w:jc w:val="both"/>
      </w:pPr>
      <w:r>
        <w:t xml:space="preserve">The primary objective of this project is to characterize and optimize the communication-sensing performance trade-off in an OFDM-ISAC system. To achieve this, the following specific objectives are pursued, each contributing to the trade-off characterization:</w:t>
      </w:r>
    </w:p>
    <w:p>
      <w:pPr>
        <w:pStyle w:val="ListParagraph"/>
        <w:numPr>
          <w:ilvl w:val="0"/>
          <w:numId w:val="2"/>
        </w:numPr>
        <w:spacing w:after="100" w:line="320"/>
      </w:pPr>
      <w:r>
        <w:t xml:space="preserve">Build a complete OFDM-ISAC simulation testbed at 28 GHz mmWave with 100 MHz bandwidth and 8×4 MIMO that produces measurable communication and sensing metrics (BER, spectral efficiency, radar SINR, detection probability, RMSE) under controllable parameters α (pilot ratio) and β (power split).</w:t>
      </w:r>
    </w:p>
    <w:p>
      <w:pPr>
        <w:pStyle w:val="ListParagraph"/>
        <w:numPr>
          <w:ilvl w:val="0"/>
          <w:numId w:val="2"/>
        </w:numPr>
        <w:spacing w:after="100" w:line="320"/>
      </w:pPr>
      <w:r>
        <w:t xml:space="preserve">Implement transmitter, dual-path channel, and receivers (radar and communication) so that the system delivers concrete numerical values for the two competing objectives that define the trade-off.</w:t>
      </w:r>
    </w:p>
    <w:p>
      <w:pPr>
        <w:pStyle w:val="ListParagraph"/>
        <w:numPr>
          <w:ilvl w:val="0"/>
          <w:numId w:val="2"/>
        </w:numPr>
        <w:spacing w:after="100" w:line="320"/>
      </w:pPr>
      <w:r>
        <w:t xml:space="preserve">Derive and evaluate the Cramér-Rao Bound for range and velocity estimation as the theoretical sensing metric, and use spectral efficiency as the theoretical communication metric, providing both ends of the trade-off curve.</w:t>
      </w:r>
    </w:p>
    <w:p>
      <w:pPr>
        <w:pStyle w:val="ListParagraph"/>
        <w:numPr>
          <w:ilvl w:val="0"/>
          <w:numId w:val="2"/>
        </w:numPr>
        <w:spacing w:after="100" w:line="320"/>
      </w:pPr>
      <w:r>
        <w:t xml:space="preserve">Construct a two-dimensional Pareto trade-off surface U(λ, α) by sweeping the ISAC weight λ ∈ [0, 1] and pilot ratio α ∈ [0.05, 0.95], where the surface explicitly visualizes the achievable region of joint communication-sensing performance.</w:t>
      </w:r>
    </w:p>
    <w:p>
      <w:pPr>
        <w:pStyle w:val="ListParagraph"/>
        <w:numPr>
          <w:ilvl w:val="0"/>
          <w:numId w:val="2"/>
        </w:numPr>
        <w:spacing w:after="100" w:line="320"/>
      </w:pPr>
      <w:r>
        <w:t xml:space="preserve">Identify the Pareto-optimal boundary, the global utility maximum, and the practical knee point that recommends the best balanced operating values of α* and λ* for deployment.</w:t>
      </w:r>
    </w:p>
    <w:p>
      <w:pPr>
        <w:pStyle w:val="Heading2"/>
        <w:spacing w:after="180" w:before="240"/>
      </w:pPr>
      <w:r>
        <w:rPr>
          <w:b/>
          <w:bCs/>
          <w:sz w:val="28"/>
          <w:szCs w:val="28"/>
        </w:rPr>
        <w:t xml:space="preserve">1.4 Report Organization</w:t>
      </w:r>
    </w:p>
    <w:p>
      <w:pPr>
        <w:spacing w:after="120" w:line="360"/>
        <w:jc w:val="both"/>
      </w:pPr>
      <w:r>
        <w:t xml:space="preserve">The remainder of this report is organized as follows. Chapter 2 presents a literature survey of recent ISAC research. Chapter 3 details the system model including OFDM parameters, MIMO beamforming, transmitter design, and channel modeling. Chapter 4 describes the radar and communication receivers. Chapter 5 develops the performance analysis framework including CRB derivation, detection probability, and Pareto optimization. Chapter 6 documents the implementation methodology, while Chapter 7 presents simulation results and discussion. Chapter 8 concludes the report and outlines directions for future work.</w:t>
      </w:r>
    </w:p>
    <w:p>
      <w:r>
        <w:br w:type="page"/>
      </w:r>
    </w:p>
    <w:p>
      <w:pPr>
        <w:pStyle w:val="Heading1"/>
        <w:spacing w:after="240" w:before="360"/>
      </w:pPr>
      <w:r>
        <w:rPr>
          <w:b/>
          <w:bCs/>
          <w:sz w:val="32"/>
          <w:szCs w:val="32"/>
        </w:rPr>
        <w:t xml:space="preserve">Chapter 2: Literature Survey</w:t>
      </w:r>
    </w:p>
    <w:p>
      <w:pPr>
        <w:spacing w:after="120" w:line="360"/>
        <w:jc w:val="both"/>
      </w:pPr>
      <w:r>
        <w:t xml:space="preserve">Research on integrated sensing and communication has progressed significantly over the past decade. This chapter reviews five key references that establish the theoretical foundation and design principles employed in this project.</w:t>
      </w:r>
    </w:p>
    <w:p>
      <w:pPr>
        <w:pStyle w:val="Heading2"/>
        <w:spacing w:after="180" w:before="240"/>
      </w:pPr>
      <w:r>
        <w:rPr>
          <w:b/>
          <w:bCs/>
          <w:sz w:val="28"/>
          <w:szCs w:val="28"/>
        </w:rPr>
        <w:t xml:space="preserve">2.1 OFDM-Based Joint Radar and Communication</w:t>
      </w:r>
    </w:p>
    <w:p>
      <w:pPr>
        <w:spacing w:after="120" w:line="360"/>
        <w:jc w:val="both"/>
      </w:pPr>
      <w:r>
        <w:t xml:space="preserve">The seminal work by Sturm and Wiesbeck [1] in the Proceedings of the IEEE introduced the foundational concept of OFDM-based joint radar and communication. Their approach demonstrated that OFDM signals, originally designed for high-rate data transmission, could be effectively repurposed for radar sensing through element-wise division of the received frequency-domain signal by the transmitted symbols. This processing produces a clean range-Doppler response while simultaneously enabling data demodulation. Their range-Doppler processing technique, based on IFFT for range estimation and FFT across OFDM symbols for Doppler estimation, forms the algorithmic backbone of modern OFDM-ISAC systems and is implemented in Section S5 of this project.</w:t>
      </w:r>
    </w:p>
    <w:p>
      <w:pPr>
        <w:pStyle w:val="Heading2"/>
        <w:spacing w:after="180" w:before="240"/>
      </w:pPr>
      <w:r>
        <w:rPr>
          <w:b/>
          <w:bCs/>
          <w:sz w:val="28"/>
          <w:szCs w:val="28"/>
        </w:rPr>
        <w:t xml:space="preserve">2.2 Signal Processing Techniques for ISAC</w:t>
      </w:r>
    </w:p>
    <w:p>
      <w:pPr>
        <w:spacing w:after="120" w:line="360"/>
        <w:jc w:val="both"/>
      </w:pPr>
      <w:r>
        <w:t xml:space="preserve">Zhang, Liu, Masouros, Heath, Feng, Zheng, and Petropulu [2] published a comprehensive overview in IEEE Journal of Selected Topics in Signal Processing covering signal processing techniques for joint communication and radar sensing. Their paper established the unified beam-space channel model used for both communication and radar in MIMO-OFDM systems, and detailed least-squares channel estimation, MIMO equalization, and sensing parameter estimation algorithms. The mathematical framework describing the OFDM signal model x̃ₙ,ₖ = Pₙ,ₖsₙ,ₖ and the received signal ỹₙ,ₖ = H̃ₙ,ₖx̃ₙ,ₖ + z̃ₙ,ₖ provides the theoretical basis for Sections S3, S4, and S6 of this project.</w:t>
      </w:r>
    </w:p>
    <w:p>
      <w:pPr>
        <w:pStyle w:val="Heading2"/>
        <w:spacing w:after="180" w:before="240"/>
      </w:pPr>
      <w:r>
        <w:rPr>
          <w:b/>
          <w:bCs/>
          <w:sz w:val="28"/>
          <w:szCs w:val="28"/>
        </w:rPr>
        <w:t xml:space="preserve">2.3 Cramér-Rao Bound Optimization for ISAC Beamforming</w:t>
      </w:r>
    </w:p>
    <w:p>
      <w:pPr>
        <w:spacing w:after="120" w:line="360"/>
        <w:jc w:val="both"/>
      </w:pPr>
      <w:r>
        <w:t xml:space="preserve">Liu, Liu, Li, Masouros, and Eldar [3] in IEEE Transactions on Signal Processing presented an award-winning paper on Cramér-Rao Bound optimization for joint radar-communication beamforming. Their formulation derives the CRB for target parameter estimation in MIMO-ISAC systems and demonstrates that the optimal beamforming design achieves the Pareto-optimal boundary between communication signal-to-interference-plus-noise ratio and sensing CRB. This paper directly motivates the CRB analysis in Section S7 and the Pareto surface optimization in Section S8 of this project.</w:t>
      </w:r>
    </w:p>
    <w:p>
      <w:pPr>
        <w:pStyle w:val="Heading2"/>
        <w:spacing w:after="180" w:before="240"/>
      </w:pPr>
      <w:r>
        <w:rPr>
          <w:b/>
          <w:bCs/>
          <w:sz w:val="28"/>
          <w:szCs w:val="28"/>
        </w:rPr>
        <w:t xml:space="preserve">2.4 Pareto Optimal Hybrid Beamforming for mmWave ISAC</w:t>
      </w:r>
    </w:p>
    <w:p>
      <w:pPr>
        <w:spacing w:after="120" w:line="360"/>
        <w:jc w:val="both"/>
      </w:pPr>
      <w:r>
        <w:t xml:space="preserve">Singh, Naveen, Srivastava, Jagannatham, and Hanzo [4] developed a Pareto-optimal hybrid beamforming framework for short-packet millimeter-wave ISAC. Their work formalizes the radar beamforming error metric E = ‖F_RF F_BB − F_r U‖² and characterizes the complete RBE-rate region. The Pareto-optimal trade-off boundary they derive, parameterized by the weight λ between sensing and communication objectives, is the direct theoretical basis for the Pareto surface U(λ, α) computed in Section S8 of this project.</w:t>
      </w:r>
    </w:p>
    <w:p>
      <w:pPr>
        <w:pStyle w:val="Heading2"/>
        <w:spacing w:after="180" w:before="240"/>
      </w:pPr>
      <w:r>
        <w:rPr>
          <w:b/>
          <w:bCs/>
          <w:sz w:val="28"/>
          <w:szCs w:val="28"/>
        </w:rPr>
        <w:t xml:space="preserve">2.5 OFDM-ISAC Waveform Design under Resource Occupancy</w:t>
      </w:r>
    </w:p>
    <w:p>
      <w:pPr>
        <w:spacing w:after="120" w:line="360"/>
        <w:jc w:val="both"/>
      </w:pPr>
      <w:r>
        <w:t xml:space="preserve">Mura, Tagliaferri, Mizmizi, Spagnolini, and Petropulu [5] proposed an optimized waveform design for OFDM-based ISAC systems under limited resource occupancy. Their work addresses the practical case where pilots and data symbols compete for the same time-frequency resources, and derives the optimal pilot ratio α that minimizes the CRB on delay and Doppler estimation while preserving communication quality. This pilot ratio optimization is precisely what is swept in the α dimension of the Pareto surface in Section S8.</w:t>
      </w:r>
    </w:p>
    <w:p>
      <w:pPr>
        <w:pStyle w:val="Heading2"/>
        <w:spacing w:after="180" w:before="240"/>
      </w:pPr>
      <w:r>
        <w:rPr>
          <w:b/>
          <w:bCs/>
          <w:sz w:val="28"/>
          <w:szCs w:val="28"/>
        </w:rPr>
        <w:t xml:space="preserve">2.6 Research Gap</w:t>
      </w:r>
    </w:p>
    <w:p>
      <w:pPr>
        <w:spacing w:after="120" w:line="360"/>
        <w:jc w:val="both"/>
      </w:pPr>
      <w:r>
        <w:t xml:space="preserve">While the above references address individual aspects of ISAC design, no single work provides a complete end-to-end implementation that integrates: (i) realistic mmWave parameters at 28 GHz with 100 MHz bandwidth, (ii) MIMO beamforming with simultaneous communication and multi-target sensing, (iii) full transmitter and receiver chains with channel modeling, (iv) joint CRB analysis with detection probability under multiple Swerling models, and (v) a two-dimensional Pareto surface sweeping both pilot ratio α and ISAC weight λ. This project bridges this gap by providing a modular, viva-defensible simulation framework that demonstrates all of these components working together.</w:t>
      </w:r>
    </w:p>
    <w:p>
      <w:r>
        <w:br w:type="page"/>
      </w:r>
    </w:p>
    <w:p>
      <w:pPr>
        <w:pStyle w:val="Heading1"/>
        <w:spacing w:after="240" w:before="360"/>
      </w:pPr>
      <w:r>
        <w:rPr>
          <w:b/>
          <w:bCs/>
          <w:sz w:val="32"/>
          <w:szCs w:val="32"/>
        </w:rPr>
        <w:t xml:space="preserve">Chapter 3: System Model</w:t>
      </w:r>
    </w:p>
    <w:p>
      <w:pPr>
        <w:pStyle w:val="Heading2"/>
        <w:spacing w:after="180" w:before="240"/>
      </w:pPr>
      <w:r>
        <w:rPr>
          <w:b/>
          <w:bCs/>
          <w:sz w:val="28"/>
          <w:szCs w:val="28"/>
        </w:rPr>
        <w:t xml:space="preserve">3.1 System Parameters</w:t>
      </w:r>
    </w:p>
    <w:p>
      <w:pPr>
        <w:spacing w:after="120" w:line="360"/>
        <w:jc w:val="both"/>
      </w:pPr>
      <w:r>
        <w:t xml:space="preserve">The OFDM-ISAC system operates in the 28 GHz mmWave band with 100 MHz bandwidth. Table 3.1 summarizes the complete set of system parameters. The 256 total subcarriers are divided into 200 active subcarriers (for data and pilots) and 56 guard subcarriers (28 on each edge) to mitigate spectral leakage. A coherent processing interval of 128 OFDM symbols is used, of which 4 symbols carry dense pilots for both radar sensing and channel estimation.</w:t>
      </w:r>
    </w:p>
    <w:p>
      <w:pPr>
        <w:spacing w:after="100"/>
      </w:pPr>
      <w:r>
        <w:t xml:space="preserve"/>
      </w:r>
    </w:p>
    <w:p>
      <w:pPr>
        <w:rPr>
          <w:b/>
          <w:bCs/>
          <w:sz w:val="22"/>
          <w:szCs w:val="22"/>
        </w:rPr>
      </w:pPr>
      <w:r>
        <w:rPr>
          <w:b/>
          <w:bCs/>
          <w:sz w:val="22"/>
          <w:szCs w:val="22"/>
        </w:rPr>
        <w:t xml:space="preserve">Table 3.1: OFDM and MIMO System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4060"/>
      </w:tblGrid>
      <w:tr>
        <w:trPr>
          <w:tblHeader/>
        </w:trPr>
        <w:tc>
          <w:tcPr>
            <w:tcW w:type="dxa" w:w="3500"/>
            <w:tcBorders>
              <w:top w:val="single" w:color="999999" w:sz="4"/>
              <w:left w:val="single" w:color="999999" w:sz="4"/>
              <w:bottom w:val="single" w:color="999999" w:sz="4"/>
              <w:right w:val="single" w:color="999999" w:sz="4"/>
            </w:tcBorders>
            <w:shd w:fill="2E75B6" w:val="clear"/>
            <w:tcMar>
              <w:top w:type="dxa" w:w="100"/>
              <w:left w:type="dxa" w:w="120"/>
              <w:bottom w:type="dxa" w:w="100"/>
              <w:right w:type="dxa" w:w="120"/>
            </w:tcMar>
          </w:tcPr>
          <w:p>
            <w:r>
              <w:rPr>
                <w:b/>
                <w:bCs/>
                <w:color w:val="FFFFFF"/>
                <w:sz w:val="22"/>
                <w:szCs w:val="22"/>
              </w:rPr>
              <w:t xml:space="preserve">Parameter</w:t>
            </w:r>
          </w:p>
        </w:tc>
        <w:tc>
          <w:tcPr>
            <w:tcW w:type="dxa" w:w="1800"/>
            <w:tcBorders>
              <w:top w:val="single" w:color="999999" w:sz="4"/>
              <w:left w:val="single" w:color="999999" w:sz="4"/>
              <w:bottom w:val="single" w:color="999999" w:sz="4"/>
              <w:right w:val="single" w:color="999999" w:sz="4"/>
            </w:tcBorders>
            <w:shd w:fill="2E75B6" w:val="clear"/>
            <w:tcMar>
              <w:top w:type="dxa" w:w="100"/>
              <w:left w:type="dxa" w:w="120"/>
              <w:bottom w:type="dxa" w:w="100"/>
              <w:right w:type="dxa" w:w="120"/>
            </w:tcMar>
          </w:tcPr>
          <w:p>
            <w:r>
              <w:rPr>
                <w:b/>
                <w:bCs/>
                <w:color w:val="FFFFFF"/>
                <w:sz w:val="22"/>
                <w:szCs w:val="22"/>
              </w:rPr>
              <w:t xml:space="preserve">Symbol</w:t>
            </w:r>
          </w:p>
        </w:tc>
        <w:tc>
          <w:tcPr>
            <w:tcW w:type="dxa" w:w="4060"/>
            <w:tcBorders>
              <w:top w:val="single" w:color="999999" w:sz="4"/>
              <w:left w:val="single" w:color="999999" w:sz="4"/>
              <w:bottom w:val="single" w:color="999999" w:sz="4"/>
              <w:right w:val="single" w:color="999999" w:sz="4"/>
            </w:tcBorders>
            <w:shd w:fill="2E75B6" w:val="clear"/>
            <w:tcMar>
              <w:top w:type="dxa" w:w="100"/>
              <w:left w:type="dxa" w:w="120"/>
              <w:bottom w:type="dxa" w:w="100"/>
              <w:right w:type="dxa" w:w="120"/>
            </w:tcMar>
          </w:tcPr>
          <w:p>
            <w:r>
              <w:rPr>
                <w:b/>
                <w:bCs/>
                <w:color w:val="FFFFFF"/>
                <w:sz w:val="22"/>
                <w:szCs w:val="22"/>
              </w:rPr>
              <w:t xml:space="preserve">Value</w:t>
            </w:r>
          </w:p>
        </w:tc>
      </w:tr>
      <w:tr>
        <w:tc>
          <w:tcPr>
            <w:tcW w:type="dxa" w:w="3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sz w:val="20"/>
                <w:szCs w:val="20"/>
              </w:rPr>
              <w:t xml:space="preserve">Carrier frequency</w:t>
            </w:r>
          </w:p>
        </w:tc>
        <w:tc>
          <w:tcPr>
            <w:tcW w:type="dxa" w:w="18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sz w:val="20"/>
                <w:szCs w:val="20"/>
              </w:rPr>
              <w:t xml:space="preserve">f_c</w:t>
            </w:r>
          </w:p>
        </w:tc>
        <w:tc>
          <w:tcPr>
            <w:tcW w:type="dxa" w:w="40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sz w:val="20"/>
                <w:szCs w:val="20"/>
              </w:rPr>
              <w:t xml:space="preserve">28 GHz</w:t>
            </w:r>
          </w:p>
        </w:tc>
      </w:tr>
      <w:tr>
        <w:tc>
          <w:tcPr>
            <w:tcW w:type="dxa" w:w="3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sz w:val="20"/>
                <w:szCs w:val="20"/>
              </w:rPr>
              <w:t xml:space="preserve">Bandwidth</w:t>
            </w:r>
          </w:p>
        </w:tc>
        <w:tc>
          <w:tcPr>
            <w:tcW w:type="dxa" w:w="1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sz w:val="20"/>
                <w:szCs w:val="20"/>
              </w:rPr>
              <w:t xml:space="preserve">BW</w:t>
            </w:r>
          </w:p>
        </w:tc>
        <w:tc>
          <w:tcPr>
            <w:tcW w:type="dxa" w:w="40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sz w:val="20"/>
                <w:szCs w:val="20"/>
              </w:rPr>
              <w:t xml:space="preserve">100 MHz</w:t>
            </w:r>
          </w:p>
        </w:tc>
      </w:tr>
      <w:tr>
        <w:tc>
          <w:tcPr>
            <w:tcW w:type="dxa" w:w="3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sz w:val="20"/>
                <w:szCs w:val="20"/>
              </w:rPr>
              <w:t xml:space="preserve">Wavelength</w:t>
            </w:r>
          </w:p>
        </w:tc>
        <w:tc>
          <w:tcPr>
            <w:tcW w:type="dxa" w:w="18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sz w:val="20"/>
                <w:szCs w:val="20"/>
              </w:rPr>
              <w:t xml:space="preserve">λ</w:t>
            </w:r>
          </w:p>
        </w:tc>
        <w:tc>
          <w:tcPr>
            <w:tcW w:type="dxa" w:w="40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sz w:val="20"/>
                <w:szCs w:val="20"/>
              </w:rPr>
              <w:t xml:space="preserve">10.71 mm</w:t>
            </w:r>
          </w:p>
        </w:tc>
      </w:tr>
      <w:tr>
        <w:tc>
          <w:tcPr>
            <w:tcW w:type="dxa" w:w="3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sz w:val="20"/>
                <w:szCs w:val="20"/>
              </w:rPr>
              <w:t xml:space="preserve">Total subcarriers</w:t>
            </w:r>
          </w:p>
        </w:tc>
        <w:tc>
          <w:tcPr>
            <w:tcW w:type="dxa" w:w="1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sz w:val="20"/>
                <w:szCs w:val="20"/>
              </w:rPr>
              <w:t xml:space="preserve">N_sc</w:t>
            </w:r>
          </w:p>
        </w:tc>
        <w:tc>
          <w:tcPr>
            <w:tcW w:type="dxa" w:w="40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sz w:val="20"/>
                <w:szCs w:val="20"/>
              </w:rPr>
              <w:t xml:space="preserve">256</w:t>
            </w:r>
          </w:p>
        </w:tc>
      </w:tr>
      <w:tr>
        <w:tc>
          <w:tcPr>
            <w:tcW w:type="dxa" w:w="3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sz w:val="20"/>
                <w:szCs w:val="20"/>
              </w:rPr>
              <w:t xml:space="preserve">Active subcarriers</w:t>
            </w:r>
          </w:p>
        </w:tc>
        <w:tc>
          <w:tcPr>
            <w:tcW w:type="dxa" w:w="18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sz w:val="20"/>
                <w:szCs w:val="20"/>
              </w:rPr>
              <w:t xml:space="preserve">N_active</w:t>
            </w:r>
          </w:p>
        </w:tc>
        <w:tc>
          <w:tcPr>
            <w:tcW w:type="dxa" w:w="40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sz w:val="20"/>
                <w:szCs w:val="20"/>
              </w:rPr>
              <w:t xml:space="preserve">200</w:t>
            </w:r>
          </w:p>
        </w:tc>
      </w:tr>
      <w:tr>
        <w:tc>
          <w:tcPr>
            <w:tcW w:type="dxa" w:w="3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sz w:val="20"/>
                <w:szCs w:val="20"/>
              </w:rPr>
              <w:t xml:space="preserve">Guard subcarriers</w:t>
            </w:r>
          </w:p>
        </w:tc>
        <w:tc>
          <w:tcPr>
            <w:tcW w:type="dxa" w:w="1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sz w:val="20"/>
                <w:szCs w:val="20"/>
              </w:rPr>
              <w:t xml:space="preserve">N_guard</w:t>
            </w:r>
          </w:p>
        </w:tc>
        <w:tc>
          <w:tcPr>
            <w:tcW w:type="dxa" w:w="40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sz w:val="20"/>
                <w:szCs w:val="20"/>
              </w:rPr>
              <w:t xml:space="preserve">56</w:t>
            </w:r>
          </w:p>
        </w:tc>
      </w:tr>
      <w:tr>
        <w:tc>
          <w:tcPr>
            <w:tcW w:type="dxa" w:w="3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sz w:val="20"/>
                <w:szCs w:val="20"/>
              </w:rPr>
              <w:t xml:space="preserve">OFDM symbols per CPI</w:t>
            </w:r>
          </w:p>
        </w:tc>
        <w:tc>
          <w:tcPr>
            <w:tcW w:type="dxa" w:w="18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sz w:val="20"/>
                <w:szCs w:val="20"/>
              </w:rPr>
              <w:t xml:space="preserve">N_sym</w:t>
            </w:r>
          </w:p>
        </w:tc>
        <w:tc>
          <w:tcPr>
            <w:tcW w:type="dxa" w:w="40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sz w:val="20"/>
                <w:szCs w:val="20"/>
              </w:rPr>
              <w:t xml:space="preserve">128</w:t>
            </w:r>
          </w:p>
        </w:tc>
      </w:tr>
      <w:tr>
        <w:tc>
          <w:tcPr>
            <w:tcW w:type="dxa" w:w="3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sz w:val="20"/>
                <w:szCs w:val="20"/>
              </w:rPr>
              <w:t xml:space="preserve">Pilot OFDM symbols</w:t>
            </w:r>
          </w:p>
        </w:tc>
        <w:tc>
          <w:tcPr>
            <w:tcW w:type="dxa" w:w="1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sz w:val="20"/>
                <w:szCs w:val="20"/>
              </w:rPr>
              <w:t xml:space="preserve">N_pilot_sym</w:t>
            </w:r>
          </w:p>
        </w:tc>
        <w:tc>
          <w:tcPr>
            <w:tcW w:type="dxa" w:w="40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sz w:val="20"/>
                <w:szCs w:val="20"/>
              </w:rPr>
              <w:t xml:space="preserve">4</w:t>
            </w:r>
          </w:p>
        </w:tc>
      </w:tr>
      <w:tr>
        <w:tc>
          <w:tcPr>
            <w:tcW w:type="dxa" w:w="3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sz w:val="20"/>
                <w:szCs w:val="20"/>
              </w:rPr>
              <w:t xml:space="preserve">Cyclic prefix length</w:t>
            </w:r>
          </w:p>
        </w:tc>
        <w:tc>
          <w:tcPr>
            <w:tcW w:type="dxa" w:w="18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sz w:val="20"/>
                <w:szCs w:val="20"/>
              </w:rPr>
              <w:t xml:space="preserve">N_cp</w:t>
            </w:r>
          </w:p>
        </w:tc>
        <w:tc>
          <w:tcPr>
            <w:tcW w:type="dxa" w:w="40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sz w:val="20"/>
                <w:szCs w:val="20"/>
              </w:rPr>
              <w:t xml:space="preserve">32</w:t>
            </w:r>
          </w:p>
        </w:tc>
      </w:tr>
      <w:tr>
        <w:tc>
          <w:tcPr>
            <w:tcW w:type="dxa" w:w="3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sz w:val="20"/>
                <w:szCs w:val="20"/>
              </w:rPr>
              <w:t xml:space="preserve">Subcarrier spacing</w:t>
            </w:r>
          </w:p>
        </w:tc>
        <w:tc>
          <w:tcPr>
            <w:tcW w:type="dxa" w:w="1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sz w:val="20"/>
                <w:szCs w:val="20"/>
              </w:rPr>
              <w:t xml:space="preserve">Δf</w:t>
            </w:r>
          </w:p>
        </w:tc>
        <w:tc>
          <w:tcPr>
            <w:tcW w:type="dxa" w:w="40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sz w:val="20"/>
                <w:szCs w:val="20"/>
              </w:rPr>
              <w:t xml:space="preserve">390.625 kHz</w:t>
            </w:r>
          </w:p>
        </w:tc>
      </w:tr>
      <w:tr>
        <w:tc>
          <w:tcPr>
            <w:tcW w:type="dxa" w:w="3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sz w:val="20"/>
                <w:szCs w:val="20"/>
              </w:rPr>
              <w:t xml:space="preserve">Symbol duration (with CP)</w:t>
            </w:r>
          </w:p>
        </w:tc>
        <w:tc>
          <w:tcPr>
            <w:tcW w:type="dxa" w:w="18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sz w:val="20"/>
                <w:szCs w:val="20"/>
              </w:rPr>
              <w:t xml:space="preserve">T_sym</w:t>
            </w:r>
          </w:p>
        </w:tc>
        <w:tc>
          <w:tcPr>
            <w:tcW w:type="dxa" w:w="40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sz w:val="20"/>
                <w:szCs w:val="20"/>
              </w:rPr>
              <w:t xml:space="preserve">2.88 μs</w:t>
            </w:r>
          </w:p>
        </w:tc>
      </w:tr>
      <w:tr>
        <w:tc>
          <w:tcPr>
            <w:tcW w:type="dxa" w:w="3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sz w:val="20"/>
                <w:szCs w:val="20"/>
              </w:rPr>
              <w:t xml:space="preserve">Coherent processing interval</w:t>
            </w:r>
          </w:p>
        </w:tc>
        <w:tc>
          <w:tcPr>
            <w:tcW w:type="dxa" w:w="1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sz w:val="20"/>
                <w:szCs w:val="20"/>
              </w:rPr>
              <w:t xml:space="preserve">CPI</w:t>
            </w:r>
          </w:p>
        </w:tc>
        <w:tc>
          <w:tcPr>
            <w:tcW w:type="dxa" w:w="40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sz w:val="20"/>
                <w:szCs w:val="20"/>
              </w:rPr>
              <w:t xml:space="preserve">0.369 ms</w:t>
            </w:r>
          </w:p>
        </w:tc>
      </w:tr>
      <w:tr>
        <w:tc>
          <w:tcPr>
            <w:tcW w:type="dxa" w:w="3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sz w:val="20"/>
                <w:szCs w:val="20"/>
              </w:rPr>
              <w:t xml:space="preserve">Modulation</w:t>
            </w:r>
          </w:p>
        </w:tc>
        <w:tc>
          <w:tcPr>
            <w:tcW w:type="dxa" w:w="18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sz w:val="20"/>
                <w:szCs w:val="20"/>
              </w:rPr>
              <w:t xml:space="preserve">M</w:t>
            </w:r>
          </w:p>
        </w:tc>
        <w:tc>
          <w:tcPr>
            <w:tcW w:type="dxa" w:w="40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sz w:val="20"/>
                <w:szCs w:val="20"/>
              </w:rPr>
              <w:t xml:space="preserve">16-QAM</w:t>
            </w:r>
          </w:p>
        </w:tc>
      </w:tr>
      <w:tr>
        <w:tc>
          <w:tcPr>
            <w:tcW w:type="dxa" w:w="3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sz w:val="20"/>
                <w:szCs w:val="20"/>
              </w:rPr>
              <w:t xml:space="preserve">Transmit antennas</w:t>
            </w:r>
          </w:p>
        </w:tc>
        <w:tc>
          <w:tcPr>
            <w:tcW w:type="dxa" w:w="1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sz w:val="20"/>
                <w:szCs w:val="20"/>
              </w:rPr>
              <w:t xml:space="preserve">N_t</w:t>
            </w:r>
          </w:p>
        </w:tc>
        <w:tc>
          <w:tcPr>
            <w:tcW w:type="dxa" w:w="40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sz w:val="20"/>
                <w:szCs w:val="20"/>
              </w:rPr>
              <w:t xml:space="preserve">8</w:t>
            </w:r>
          </w:p>
        </w:tc>
      </w:tr>
      <w:tr>
        <w:tc>
          <w:tcPr>
            <w:tcW w:type="dxa" w:w="3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sz w:val="20"/>
                <w:szCs w:val="20"/>
              </w:rPr>
              <w:t xml:space="preserve">Receive antennas</w:t>
            </w:r>
          </w:p>
        </w:tc>
        <w:tc>
          <w:tcPr>
            <w:tcW w:type="dxa" w:w="18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sz w:val="20"/>
                <w:szCs w:val="20"/>
              </w:rPr>
              <w:t xml:space="preserve">N_r</w:t>
            </w:r>
          </w:p>
        </w:tc>
        <w:tc>
          <w:tcPr>
            <w:tcW w:type="dxa" w:w="40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sz w:val="20"/>
                <w:szCs w:val="20"/>
              </w:rPr>
              <w:t xml:space="preserve">4</w:t>
            </w:r>
          </w:p>
        </w:tc>
      </w:tr>
      <w:tr>
        <w:tc>
          <w:tcPr>
            <w:tcW w:type="dxa" w:w="3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sz w:val="20"/>
                <w:szCs w:val="20"/>
              </w:rPr>
              <w:t xml:space="preserve">Antenna spacing</w:t>
            </w:r>
          </w:p>
        </w:tc>
        <w:tc>
          <w:tcPr>
            <w:tcW w:type="dxa" w:w="1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sz w:val="20"/>
                <w:szCs w:val="20"/>
              </w:rPr>
              <w:t xml:space="preserve">d</w:t>
            </w:r>
          </w:p>
        </w:tc>
        <w:tc>
          <w:tcPr>
            <w:tcW w:type="dxa" w:w="40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sz w:val="20"/>
                <w:szCs w:val="20"/>
              </w:rPr>
              <w:t xml:space="preserve">λ/2</w:t>
            </w:r>
          </w:p>
        </w:tc>
      </w:tr>
      <w:tr>
        <w:tc>
          <w:tcPr>
            <w:tcW w:type="dxa" w:w="3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sz w:val="20"/>
                <w:szCs w:val="20"/>
              </w:rPr>
              <w:t xml:space="preserve">Total transmit power</w:t>
            </w:r>
          </w:p>
        </w:tc>
        <w:tc>
          <w:tcPr>
            <w:tcW w:type="dxa" w:w="18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sz w:val="20"/>
                <w:szCs w:val="20"/>
              </w:rPr>
              <w:t xml:space="preserve">P_total</w:t>
            </w:r>
          </w:p>
        </w:tc>
        <w:tc>
          <w:tcPr>
            <w:tcW w:type="dxa" w:w="40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sz w:val="20"/>
                <w:szCs w:val="20"/>
              </w:rPr>
              <w:t xml:space="preserve">1.0 (normalized)</w:t>
            </w:r>
          </w:p>
        </w:tc>
      </w:tr>
      <w:tr>
        <w:tc>
          <w:tcPr>
            <w:tcW w:type="dxa" w:w="3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sz w:val="20"/>
                <w:szCs w:val="20"/>
              </w:rPr>
              <w:t xml:space="preserve">Operating SNR</w:t>
            </w:r>
          </w:p>
        </w:tc>
        <w:tc>
          <w:tcPr>
            <w:tcW w:type="dxa" w:w="1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sz w:val="20"/>
                <w:szCs w:val="20"/>
              </w:rPr>
              <w:t xml:space="preserve">SNR_dB</w:t>
            </w:r>
          </w:p>
        </w:tc>
        <w:tc>
          <w:tcPr>
            <w:tcW w:type="dxa" w:w="40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sz w:val="20"/>
                <w:szCs w:val="20"/>
              </w:rPr>
              <w:t xml:space="preserve">15 dB</w:t>
            </w:r>
          </w:p>
        </w:tc>
      </w:tr>
    </w:tbl>
    <w:p>
      <w:pPr>
        <w:spacing w:after="100"/>
      </w:pPr>
      <w:r>
        <w:t xml:space="preserve"/>
      </w:r>
    </w:p>
    <w:p>
      <w:pPr>
        <w:spacing w:after="120" w:line="360"/>
        <w:jc w:val="both"/>
      </w:pPr>
      <w:r>
        <w:t xml:space="preserve">The derived radar parameters are: maximum unambiguous range R_max = c/(2Δf) = 384 m; effective range resolution ΔR_eff = c/(2 × N_active × Δf) = 1.92 m; maximum unambiguous velocity v_max = λ/(4T_sym) = 930 m/s; and velocity resolution Δv = λ/(2 × CPI) = 14.5 m/s. These values establish the operational envelope of the radar function.</w:t>
      </w:r>
    </w:p>
    <w:p>
      <w:pPr>
        <w:spacing w:after="120" w:line="360"/>
        <w:jc w:val="both"/>
      </w:pPr>
      <w:r>
        <w:t xml:space="preserve">A critical design choice is the per-subcarrier noise variance definition: noise_var = P_total / (N_active × SNR_lin). This is the correct OFDM convention that ensures the per-subcarrier SNR equals the specified SNR_dB. An incorrect definition (treating noise_var as total-power SNR) would result in a per-subcarrier SNR that is approximately 23 dB lower, causing complete failure of both radar detection and communication demodulation.</w:t>
      </w:r>
    </w:p>
    <w:p>
      <w:pPr>
        <w:pStyle w:val="Heading3"/>
        <w:spacing w:after="120" w:before="180"/>
      </w:pPr>
      <w:r>
        <w:rPr>
          <w:b/>
          <w:bCs/>
          <w:sz w:val="24"/>
          <w:szCs w:val="24"/>
        </w:rPr>
        <w:t xml:space="preserve">3.1.1 Radar Target Configuration</w:t>
      </w:r>
    </w:p>
    <w:p>
      <w:pPr>
        <w:spacing w:after="120" w:line="360"/>
        <w:jc w:val="both"/>
      </w:pPr>
      <w:r>
        <w:t xml:space="preserve">Three radar targets are placed within the system's unambiguous range and velocity envelope, as shown in Table 3.2. The targets vary in range, velocity, radar cross-section (RCS), and angular position to test the system's resolution and detection capabilities.</w:t>
      </w:r>
    </w:p>
    <w:p>
      <w:pPr>
        <w:spacing w:after="100"/>
      </w:pPr>
      <w:r>
        <w:t xml:space="preserve"/>
      </w:r>
    </w:p>
    <w:p>
      <w:pPr>
        <w:rPr>
          <w:b/>
          <w:bCs/>
          <w:sz w:val="22"/>
          <w:szCs w:val="22"/>
        </w:rPr>
      </w:pPr>
      <w:r>
        <w:rPr>
          <w:b/>
          <w:bCs/>
          <w:sz w:val="22"/>
          <w:szCs w:val="22"/>
        </w:rPr>
        <w:t xml:space="preserve">Table 3.2: Radar Target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900"/>
        <w:gridCol w:w="1900"/>
        <w:gridCol w:w="1760"/>
      </w:tblGrid>
      <w:tr>
        <w:trPr>
          <w:tblHeader/>
        </w:trPr>
        <w:tc>
          <w:tcPr>
            <w:tcW w:type="dxa" w:w="1900"/>
            <w:tcBorders>
              <w:top w:val="single" w:color="999999" w:sz="4"/>
              <w:left w:val="single" w:color="999999" w:sz="4"/>
              <w:bottom w:val="single" w:color="999999" w:sz="4"/>
              <w:right w:val="single" w:color="999999" w:sz="4"/>
            </w:tcBorders>
            <w:shd w:fill="2E75B6" w:val="clear"/>
            <w:tcMar>
              <w:top w:type="dxa" w:w="100"/>
              <w:left w:type="dxa" w:w="120"/>
              <w:bottom w:type="dxa" w:w="100"/>
              <w:right w:type="dxa" w:w="120"/>
            </w:tcMar>
          </w:tcPr>
          <w:p>
            <w:r>
              <w:rPr>
                <w:b/>
                <w:bCs/>
                <w:color w:val="FFFFFF"/>
                <w:sz w:val="22"/>
                <w:szCs w:val="22"/>
              </w:rPr>
              <w:t xml:space="preserve">Target</w:t>
            </w:r>
          </w:p>
        </w:tc>
        <w:tc>
          <w:tcPr>
            <w:tcW w:type="dxa" w:w="1900"/>
            <w:tcBorders>
              <w:top w:val="single" w:color="999999" w:sz="4"/>
              <w:left w:val="single" w:color="999999" w:sz="4"/>
              <w:bottom w:val="single" w:color="999999" w:sz="4"/>
              <w:right w:val="single" w:color="999999" w:sz="4"/>
            </w:tcBorders>
            <w:shd w:fill="2E75B6" w:val="clear"/>
            <w:tcMar>
              <w:top w:type="dxa" w:w="100"/>
              <w:left w:type="dxa" w:w="120"/>
              <w:bottom w:type="dxa" w:w="100"/>
              <w:right w:type="dxa" w:w="120"/>
            </w:tcMar>
          </w:tcPr>
          <w:p>
            <w:r>
              <w:rPr>
                <w:b/>
                <w:bCs/>
                <w:color w:val="FFFFFF"/>
                <w:sz w:val="22"/>
                <w:szCs w:val="22"/>
              </w:rPr>
              <w:t xml:space="preserve">Range (m)</w:t>
            </w:r>
          </w:p>
        </w:tc>
        <w:tc>
          <w:tcPr>
            <w:tcW w:type="dxa" w:w="1900"/>
            <w:tcBorders>
              <w:top w:val="single" w:color="999999" w:sz="4"/>
              <w:left w:val="single" w:color="999999" w:sz="4"/>
              <w:bottom w:val="single" w:color="999999" w:sz="4"/>
              <w:right w:val="single" w:color="999999" w:sz="4"/>
            </w:tcBorders>
            <w:shd w:fill="2E75B6" w:val="clear"/>
            <w:tcMar>
              <w:top w:type="dxa" w:w="100"/>
              <w:left w:type="dxa" w:w="120"/>
              <w:bottom w:type="dxa" w:w="100"/>
              <w:right w:type="dxa" w:w="120"/>
            </w:tcMar>
          </w:tcPr>
          <w:p>
            <w:r>
              <w:rPr>
                <w:b/>
                <w:bCs/>
                <w:color w:val="FFFFFF"/>
                <w:sz w:val="22"/>
                <w:szCs w:val="22"/>
              </w:rPr>
              <w:t xml:space="preserve">Velocity (m/s)</w:t>
            </w:r>
          </w:p>
        </w:tc>
        <w:tc>
          <w:tcPr>
            <w:tcW w:type="dxa" w:w="1900"/>
            <w:tcBorders>
              <w:top w:val="single" w:color="999999" w:sz="4"/>
              <w:left w:val="single" w:color="999999" w:sz="4"/>
              <w:bottom w:val="single" w:color="999999" w:sz="4"/>
              <w:right w:val="single" w:color="999999" w:sz="4"/>
            </w:tcBorders>
            <w:shd w:fill="2E75B6" w:val="clear"/>
            <w:tcMar>
              <w:top w:type="dxa" w:w="100"/>
              <w:left w:type="dxa" w:w="120"/>
              <w:bottom w:type="dxa" w:w="100"/>
              <w:right w:type="dxa" w:w="120"/>
            </w:tcMar>
          </w:tcPr>
          <w:p>
            <w:r>
              <w:rPr>
                <w:b/>
                <w:bCs/>
                <w:color w:val="FFFFFF"/>
                <w:sz w:val="22"/>
                <w:szCs w:val="22"/>
              </w:rPr>
              <w:t xml:space="preserve">RCS</w:t>
            </w:r>
          </w:p>
        </w:tc>
        <w:tc>
          <w:tcPr>
            <w:tcW w:type="dxa" w:w="1760"/>
            <w:tcBorders>
              <w:top w:val="single" w:color="999999" w:sz="4"/>
              <w:left w:val="single" w:color="999999" w:sz="4"/>
              <w:bottom w:val="single" w:color="999999" w:sz="4"/>
              <w:right w:val="single" w:color="999999" w:sz="4"/>
            </w:tcBorders>
            <w:shd w:fill="2E75B6" w:val="clear"/>
            <w:tcMar>
              <w:top w:type="dxa" w:w="100"/>
              <w:left w:type="dxa" w:w="120"/>
              <w:bottom w:type="dxa" w:w="100"/>
              <w:right w:type="dxa" w:w="120"/>
            </w:tcMar>
          </w:tcPr>
          <w:p>
            <w:r>
              <w:rPr>
                <w:b/>
                <w:bCs/>
                <w:color w:val="FFFFFF"/>
                <w:sz w:val="22"/>
                <w:szCs w:val="22"/>
              </w:rPr>
              <w:t xml:space="preserve">Angle (°)</w:t>
            </w:r>
          </w:p>
        </w:tc>
      </w:tr>
      <w:tr>
        <w:tc>
          <w:tcPr>
            <w:tcW w:type="dxa" w:w="19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sz w:val="20"/>
                <w:szCs w:val="20"/>
              </w:rPr>
              <w:t xml:space="preserve">T1</w:t>
            </w:r>
          </w:p>
        </w:tc>
        <w:tc>
          <w:tcPr>
            <w:tcW w:type="dxa" w:w="19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sz w:val="20"/>
                <w:szCs w:val="20"/>
              </w:rPr>
              <w:t xml:space="preserve">80</w:t>
            </w:r>
          </w:p>
        </w:tc>
        <w:tc>
          <w:tcPr>
            <w:tcW w:type="dxa" w:w="19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sz w:val="20"/>
                <w:szCs w:val="20"/>
              </w:rPr>
              <w:t xml:space="preserve">+15</w:t>
            </w:r>
          </w:p>
        </w:tc>
        <w:tc>
          <w:tcPr>
            <w:tcW w:type="dxa" w:w="19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sz w:val="20"/>
                <w:szCs w:val="20"/>
              </w:rPr>
              <w:t xml:space="preserve">1.0</w:t>
            </w:r>
          </w:p>
        </w:tc>
        <w:tc>
          <w:tcPr>
            <w:tcW w:type="dxa" w:w="17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sz w:val="20"/>
                <w:szCs w:val="20"/>
              </w:rPr>
              <w:t xml:space="preserve">+10</w:t>
            </w:r>
          </w:p>
        </w:tc>
      </w:tr>
      <w:tr>
        <w:tc>
          <w:tcPr>
            <w:tcW w:type="dxa" w:w="1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sz w:val="20"/>
                <w:szCs w:val="20"/>
              </w:rPr>
              <w:t xml:space="preserve">T2</w:t>
            </w:r>
          </w:p>
        </w:tc>
        <w:tc>
          <w:tcPr>
            <w:tcW w:type="dxa" w:w="1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sz w:val="20"/>
                <w:szCs w:val="20"/>
              </w:rPr>
              <w:t xml:space="preserve">150</w:t>
            </w:r>
          </w:p>
        </w:tc>
        <w:tc>
          <w:tcPr>
            <w:tcW w:type="dxa" w:w="1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sz w:val="20"/>
                <w:szCs w:val="20"/>
              </w:rPr>
              <w:t xml:space="preserve">−20</w:t>
            </w:r>
          </w:p>
        </w:tc>
        <w:tc>
          <w:tcPr>
            <w:tcW w:type="dxa" w:w="1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sz w:val="20"/>
                <w:szCs w:val="20"/>
              </w:rPr>
              <w:t xml:space="preserve">0.6</w:t>
            </w:r>
          </w:p>
        </w:tc>
        <w:tc>
          <w:tcPr>
            <w:tcW w:type="dxa" w:w="17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sz w:val="20"/>
                <w:szCs w:val="20"/>
              </w:rPr>
              <w:t xml:space="preserve">−20</w:t>
            </w:r>
          </w:p>
        </w:tc>
      </w:tr>
      <w:tr>
        <w:tc>
          <w:tcPr>
            <w:tcW w:type="dxa" w:w="19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sz w:val="20"/>
                <w:szCs w:val="20"/>
              </w:rPr>
              <w:t xml:space="preserve">T3</w:t>
            </w:r>
          </w:p>
        </w:tc>
        <w:tc>
          <w:tcPr>
            <w:tcW w:type="dxa" w:w="19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sz w:val="20"/>
                <w:szCs w:val="20"/>
              </w:rPr>
              <w:t xml:space="preserve">280</w:t>
            </w:r>
          </w:p>
        </w:tc>
        <w:tc>
          <w:tcPr>
            <w:tcW w:type="dxa" w:w="19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sz w:val="20"/>
                <w:szCs w:val="20"/>
              </w:rPr>
              <w:t xml:space="preserve">+30</w:t>
            </w:r>
          </w:p>
        </w:tc>
        <w:tc>
          <w:tcPr>
            <w:tcW w:type="dxa" w:w="19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sz w:val="20"/>
                <w:szCs w:val="20"/>
              </w:rPr>
              <w:t xml:space="preserve">0.8</w:t>
            </w:r>
          </w:p>
        </w:tc>
        <w:tc>
          <w:tcPr>
            <w:tcW w:type="dxa" w:w="17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sz w:val="20"/>
                <w:szCs w:val="20"/>
              </w:rPr>
              <w:t xml:space="preserve">+35</w:t>
            </w:r>
          </w:p>
        </w:tc>
      </w:tr>
    </w:tbl>
    <w:p>
      <w:pPr>
        <w:spacing w:after="100"/>
      </w:pPr>
      <w:r>
        <w:t xml:space="preserve"/>
      </w:r>
    </w:p>
    <w:p>
      <w:pPr>
        <w:pStyle w:val="Heading2"/>
        <w:spacing w:after="180" w:before="240"/>
      </w:pPr>
      <w:r>
        <w:rPr>
          <w:b/>
          <w:bCs/>
          <w:sz w:val="28"/>
          <w:szCs w:val="28"/>
        </w:rPr>
        <w:t xml:space="preserve">3.2 MIMO Beamforming Architecture</w:t>
      </w:r>
    </w:p>
    <w:p>
      <w:pPr>
        <w:spacing w:after="120" w:line="360"/>
        <w:jc w:val="both"/>
      </w:pPr>
      <w:r>
        <w:t xml:space="preserve">The transmitter uses an 8-element Uniform Linear Array (ULA) with half-wavelength spacing. The ULA steering vector for a wave arriving from angle θ is given by:</w:t>
      </w:r>
    </w:p>
    <w:p>
      <w:pPr>
        <w:shd w:fill="F2F2F2" w:val="clear"/>
        <w:spacing w:after="60" w:before="60"/>
        <w:ind w:left="360"/>
      </w:pPr>
      <w:r>
        <w:rPr>
          <w:rFonts w:ascii="Courier New" w:cs="Courier New" w:eastAsia="Courier New" w:hAnsi="Courier New"/>
          <w:sz w:val="18"/>
          <w:szCs w:val="18"/>
        </w:rPr>
        <w:t xml:space="preserve">a(M, θ) = [1, e^(jπ sin θ), e^(j2π sin θ), ..., e^(j(M-1)π sin θ)]^T / √M</w:t>
      </w:r>
    </w:p>
    <w:p>
      <w:pPr>
        <w:spacing w:after="120" w:line="360"/>
        <w:jc w:val="both"/>
      </w:pPr>
      <w:r>
        <w:t xml:space="preserve">Three beam vectors are constructed: the communication beam w_comm steered toward the user at boresight (0°); three sensing beams W_sense steered toward the three targets at +10°, −20°, +35°; and the joint ISAC transmit beam:</w:t>
      </w:r>
    </w:p>
    <w:p>
      <w:pPr>
        <w:shd w:fill="F2F2F2" w:val="clear"/>
        <w:spacing w:after="60" w:before="60"/>
        <w:ind w:left="360"/>
      </w:pPr>
      <w:r>
        <w:rPr>
          <w:rFonts w:ascii="Courier New" w:cs="Courier New" w:eastAsia="Courier New" w:hAnsi="Courier New"/>
          <w:sz w:val="18"/>
          <w:szCs w:val="18"/>
        </w:rPr>
        <w:t xml:space="preserve">w_isac = √β · w_comm + √(1−β) · w_sense_combined</w:t>
      </w:r>
    </w:p>
    <w:p>
      <w:pPr>
        <w:spacing w:after="120" w:line="360"/>
        <w:jc w:val="both"/>
      </w:pPr>
      <w:r>
        <w:t xml:space="preserve">where β = 0.65 is the communication power fraction. The single-beam transmit vector w_tx = w_isac is used at the transmit RF stage to ensure a single waveform serves both functions. The resulting beamforming gains at each target direction are: T1: −0.9 dB, T2: +3.0 dB, T3: +2.3 dB, with a mean BF power gain of 1.75 dB.</w:t>
      </w:r>
    </w:p>
    <w:p>
      <w:pPr>
        <w:pStyle w:val="Heading2"/>
        <w:spacing w:after="180" w:before="240"/>
      </w:pPr>
      <w:r>
        <w:rPr>
          <w:b/>
          <w:bCs/>
          <w:sz w:val="28"/>
          <w:szCs w:val="28"/>
        </w:rPr>
        <w:t xml:space="preserve">3.3 OFDM-ISAC Transmitter</w:t>
      </w:r>
    </w:p>
    <w:p>
      <w:pPr>
        <w:spacing w:after="120" w:line="360"/>
        <w:jc w:val="both"/>
      </w:pPr>
      <w:r>
        <w:t xml:space="preserve">The transmitter generates the joint ISAC waveform through five steps: (i) random information bit generation; (ii) 16-QAM modulation with natural binary mapping and unit average power normalization; (iii) construction of the OFDM frequency-domain grid Sgrid of size 200 × 128, where the first 4 symbols contain dense pilots (known BPSK on all 200 active subcarriers, with per-SC power P_pilot_dense = P_sense/N_active = 0.00175) and the remaining 124 symbols carry 16-QAM data on 150 data subcarriers (with per-SC power P_data = P_comm/N_data_sc = 0.00433); (iv) mapping to the full 256-subcarrier grid with guard bands; (v) IFFT followed by cyclic prefix insertion to produce the time-domain transmit signal.</w:t>
      </w:r>
    </w:p>
    <w:p>
      <w:pPr>
        <w:spacing w:after="120" w:line="360"/>
        <w:jc w:val="both"/>
      </w:pPr>
      <w:r>
        <w:t xml:space="preserve">The dense pilot design — placing pilots on all 200 active subcarriers in pilot symbols rather than only on a sparse subset — is critical for radar performance. With sparse pilots, only a fraction of subcarriers contribute to the radar response, producing low SINR and missed detections. With dense pilots, all 200 subcarriers contribute coherently, raising the radar SINR by approximately 6 dB and enabling reliable target detection.</w:t>
      </w:r>
    </w:p>
    <w:p>
      <w:pPr>
        <w:pStyle w:val="Heading2"/>
        <w:spacing w:after="180" w:before="240"/>
      </w:pPr>
      <w:r>
        <w:rPr>
          <w:b/>
          <w:bCs/>
          <w:sz w:val="28"/>
          <w:szCs w:val="28"/>
        </w:rPr>
        <w:t xml:space="preserve">3.4 Dual-Path Channel Model</w:t>
      </w:r>
    </w:p>
    <w:p>
      <w:pPr>
        <w:spacing w:after="120" w:line="360"/>
        <w:jc w:val="both"/>
      </w:pPr>
      <w:r>
        <w:t xml:space="preserve">The channel model consists of two independent paths: the communication path and the radar path.</w:t>
      </w:r>
    </w:p>
    <w:p>
      <w:pPr>
        <w:pStyle w:val="Heading3"/>
        <w:spacing w:after="120" w:before="180"/>
      </w:pPr>
      <w:r>
        <w:rPr>
          <w:b/>
          <w:bCs/>
          <w:sz w:val="24"/>
          <w:szCs w:val="24"/>
        </w:rPr>
        <w:t xml:space="preserve">3.4.1 Communication Path: Rayleigh Fading</w:t>
      </w:r>
    </w:p>
    <w:p>
      <w:pPr>
        <w:spacing w:after="120" w:line="360"/>
        <w:jc w:val="both"/>
      </w:pPr>
      <w:r>
        <w:t xml:space="preserve">The communication channel is modeled as a 6-tap Rayleigh fading channel with an exponential power-delay profile: tap powers [0, −3, −6, −9, −12, −15] dB. Since the cyclic prefix length (N_cp = 32 samples) significantly exceeds the channel length (L_ch = 6), the OFDM communication is inter-symbol-interference free.</w:t>
      </w:r>
    </w:p>
    <w:p>
      <w:pPr>
        <w:pStyle w:val="Heading3"/>
        <w:spacing w:after="120" w:before="180"/>
      </w:pPr>
      <w:r>
        <w:rPr>
          <w:b/>
          <w:bCs/>
          <w:sz w:val="24"/>
          <w:szCs w:val="24"/>
        </w:rPr>
        <w:t xml:space="preserve">3.4.2 Radar Path: Multi-Target Echo Model</w:t>
      </w:r>
    </w:p>
    <w:p>
      <w:pPr>
        <w:spacing w:after="120" w:line="360"/>
        <w:jc w:val="both"/>
      </w:pPr>
      <w:r>
        <w:t xml:space="preserve">The radar received signal is the superposition of echoes from all targets:</w:t>
      </w:r>
    </w:p>
    <w:p>
      <w:pPr>
        <w:shd w:fill="F2F2F2" w:val="clear"/>
        <w:spacing w:after="60" w:before="60"/>
        <w:ind w:left="360"/>
      </w:pPr>
      <w:r>
        <w:rPr>
          <w:rFonts w:ascii="Courier New" w:cs="Courier New" w:eastAsia="Courier New" w:hAnsi="Courier New"/>
          <w:sz w:val="18"/>
          <w:szCs w:val="18"/>
        </w:rPr>
        <w:t xml:space="preserve">y_radar(t) = Σ_t α_t · BF_gain_t · x(t − τ_t) · e^(j2π·f_D,t·t)</w:t>
      </w:r>
    </w:p>
    <w:p>
      <w:pPr>
        <w:spacing w:after="120" w:line="360"/>
        <w:jc w:val="both"/>
      </w:pPr>
      <w:r>
        <w:t xml:space="preserve">where α_t is the RCS amplitude, BF_gain_t is the linear beamforming gain at target t's angle, τ_t = 2R_t/c is the round-trip propagation delay (in samples: 53, 100, 187 for the three targets), and f_D,t = 2v_t/λ is the Doppler frequency (2800, −3733, 5600 Hz). A causal linear delay model is used (no circular wrap-around) for physical realism. Independent complex Gaussian noise with per-sample variance noise_var/2 per dimension is added to both paths.</w:t>
      </w:r>
    </w:p>
    <w:p>
      <w:r>
        <w:br w:type="page"/>
      </w:r>
    </w:p>
    <w:p>
      <w:pPr>
        <w:pStyle w:val="Heading1"/>
        <w:spacing w:after="240" w:before="360"/>
      </w:pPr>
      <w:r>
        <w:rPr>
          <w:b/>
          <w:bCs/>
          <w:sz w:val="32"/>
          <w:szCs w:val="32"/>
        </w:rPr>
        <w:t xml:space="preserve">Chapter 4: Receiver Design and Signal Processing</w:t>
      </w:r>
    </w:p>
    <w:p>
      <w:pPr>
        <w:pStyle w:val="Heading2"/>
        <w:spacing w:after="180" w:before="240"/>
      </w:pPr>
      <w:r>
        <w:rPr>
          <w:b/>
          <w:bCs/>
          <w:sz w:val="28"/>
          <w:szCs w:val="28"/>
        </w:rPr>
        <w:t xml:space="preserve">4.1 Radar Receiver</w:t>
      </w:r>
    </w:p>
    <w:p>
      <w:pPr>
        <w:spacing w:after="120" w:line="360"/>
        <w:jc w:val="both"/>
      </w:pPr>
      <w:r>
        <w:t xml:space="preserve">The radar receiver implements the classical OFDM range-Doppler processing chain pioneered by Sturm and Wiesbeck [1], adapted to the dense-pilot ISAC context.</w:t>
      </w:r>
    </w:p>
    <w:p>
      <w:pPr>
        <w:pStyle w:val="Heading3"/>
        <w:spacing w:after="120" w:before="180"/>
      </w:pPr>
      <w:r>
        <w:rPr>
          <w:b/>
          <w:bCs/>
          <w:sz w:val="24"/>
          <w:szCs w:val="24"/>
        </w:rPr>
        <w:t xml:space="preserve">4.1.1 Processing Steps</w:t>
      </w:r>
    </w:p>
    <w:p>
      <w:pPr>
        <w:pStyle w:val="ListParagraph"/>
        <w:numPr>
          <w:ilvl w:val="0"/>
          <w:numId w:val="3"/>
        </w:numPr>
        <w:spacing w:after="100" w:line="320"/>
      </w:pPr>
      <w:r>
        <w:t xml:space="preserve">CP Removal and FFT: Each received OFDM symbol has its cyclic prefix removed, and the remaining 256 samples are transformed to the frequency domain via FFT followed by fftshift to center the DC component.</w:t>
      </w:r>
    </w:p>
    <w:p>
      <w:pPr>
        <w:pStyle w:val="ListParagraph"/>
        <w:numPr>
          <w:ilvl w:val="0"/>
          <w:numId w:val="3"/>
        </w:numPr>
        <w:spacing w:after="100" w:line="320"/>
      </w:pPr>
      <w:r>
        <w:t xml:space="preserve">Element-Wise Division by Pilot Symbols: For each pilot OFDM symbol, the received frequency-domain signal is divided element-wise by the known pilot symbols, yielding the channel estimate H_radar at all 200 active subcarriers.</w:t>
      </w:r>
    </w:p>
    <w:p>
      <w:pPr>
        <w:pStyle w:val="ListParagraph"/>
        <w:numPr>
          <w:ilvl w:val="0"/>
          <w:numId w:val="3"/>
        </w:numPr>
        <w:spacing w:after="100" w:line="320"/>
      </w:pPr>
      <w:r>
        <w:t xml:space="preserve">Hann Windowing: A Hann window is applied to H_radar before the IFFT to suppress range sidelobes and produce a cleaner range profile.</w:t>
      </w:r>
    </w:p>
    <w:p>
      <w:pPr>
        <w:pStyle w:val="ListParagraph"/>
        <w:numPr>
          <w:ilvl w:val="0"/>
          <w:numId w:val="3"/>
        </w:numPr>
        <w:spacing w:after="100" w:line="320"/>
      </w:pPr>
      <w:r>
        <w:t xml:space="preserve">IFFT for Range: A 200-point IFFT along the subcarrier dimension produces the range profile, with bins corresponding to ranges from 0 to 384 m at 1.92 m resolution.</w:t>
      </w:r>
    </w:p>
    <w:p>
      <w:pPr>
        <w:pStyle w:val="ListParagraph"/>
        <w:numPr>
          <w:ilvl w:val="0"/>
          <w:numId w:val="3"/>
        </w:numPr>
        <w:spacing w:after="100" w:line="320"/>
      </w:pPr>
      <w:r>
        <w:t xml:space="preserve">FFT for Doppler: A 128-point FFT (with fftshift) along the OFDM symbol dimension produces the velocity profile, with bins from −930 to +930 m/s at 14.53 m/s resolution.</w:t>
      </w:r>
    </w:p>
    <w:p>
      <w:pPr>
        <w:pStyle w:val="ListParagraph"/>
        <w:numPr>
          <w:ilvl w:val="0"/>
          <w:numId w:val="3"/>
        </w:numPr>
        <w:spacing w:after="100" w:line="320"/>
      </w:pPr>
      <w:r>
        <w:t xml:space="preserve">CA-CFAR Detection: The 1D range profile (averaged across pilot symbols) is processed by a Cell-Averaging Constant False Alarm Rate detector with N_train_total = 32 reference cells, N_guard = 4 guard cells, and false alarm probability P_fa = 10⁻³, yielding a threshold scaling factor α_cfar = 7.71.</w:t>
      </w:r>
    </w:p>
    <w:p>
      <w:pPr>
        <w:pStyle w:val="Heading3"/>
        <w:spacing w:after="120" w:before="180"/>
      </w:pPr>
      <w:r>
        <w:rPr>
          <w:b/>
          <w:bCs/>
          <w:sz w:val="24"/>
          <w:szCs w:val="24"/>
        </w:rPr>
        <w:t xml:space="preserve">4.1.2 Performance Metrics</w:t>
      </w:r>
    </w:p>
    <w:p>
      <w:pPr>
        <w:spacing w:after="120" w:line="360"/>
        <w:jc w:val="both"/>
      </w:pPr>
      <w:r>
        <w:t xml:space="preserve">The radar receiver outputs the range-Doppler map, the 1D range profile, the CFAR detection decisions, the radar SINR (peak power to noise floor ratio), and the range estimation RMSE computed from the detected target positions.</w:t>
      </w:r>
    </w:p>
    <w:p>
      <w:pPr>
        <w:pStyle w:val="Heading2"/>
        <w:spacing w:after="180" w:before="240"/>
      </w:pPr>
      <w:r>
        <w:rPr>
          <w:b/>
          <w:bCs/>
          <w:sz w:val="28"/>
          <w:szCs w:val="28"/>
        </w:rPr>
        <w:t xml:space="preserve">4.2 Communication Receiver</w:t>
      </w:r>
    </w:p>
    <w:p>
      <w:pPr>
        <w:spacing w:after="120" w:line="360"/>
        <w:jc w:val="both"/>
      </w:pPr>
      <w:r>
        <w:t xml:space="preserve">The communication receiver implements OFDM demodulation with channel estimation and zero-forcing equalization.</w:t>
      </w:r>
    </w:p>
    <w:p>
      <w:pPr>
        <w:pStyle w:val="Heading3"/>
        <w:spacing w:after="120" w:before="180"/>
      </w:pPr>
      <w:r>
        <w:rPr>
          <w:b/>
          <w:bCs/>
          <w:sz w:val="24"/>
          <w:szCs w:val="24"/>
        </w:rPr>
        <w:t xml:space="preserve">4.2.1 Channel Estimation</w:t>
      </w:r>
    </w:p>
    <w:p>
      <w:pPr>
        <w:spacing w:after="120" w:line="360"/>
        <w:jc w:val="both"/>
      </w:pPr>
      <w:r>
        <w:t xml:space="preserve">Since the dense pilot design provides known BPSK symbols on all 200 active subcarriers across 4 pilot OFDM symbols, the least-squares channel estimate at each subcarrier is computed as:</w:t>
      </w:r>
    </w:p>
    <w:p>
      <w:pPr>
        <w:shd w:fill="F2F2F2" w:val="clear"/>
        <w:spacing w:after="60" w:before="60"/>
        <w:ind w:left="360"/>
      </w:pPr>
      <w:r>
        <w:rPr>
          <w:rFonts w:ascii="Courier New" w:cs="Courier New" w:eastAsia="Courier New" w:hAnsi="Courier New"/>
          <w:sz w:val="18"/>
          <w:szCs w:val="18"/>
        </w:rPr>
        <w:t xml:space="preserve">H_est[k] = (1/N_pilot_sym) · Σ_s (Y[k, s] / X[k, s])</w:t>
      </w:r>
    </w:p>
    <w:p>
      <w:pPr>
        <w:spacing w:after="120" w:line="360"/>
        <w:jc w:val="both"/>
      </w:pPr>
      <w:r>
        <w:t xml:space="preserve">Both the received signal Y and pilot signal X are in the same fftshift convention, ensuring direct division yields a coherent channel estimate. The averaging over 4 pilot symbols provides 6 dB of noise reduction. The pilot SNR per subcarrier (10·log₁₀(P_pilot_dense/noise_var)) is approximately 10.4 dB at the 15 dB operating SNR.</w:t>
      </w:r>
    </w:p>
    <w:p>
      <w:pPr>
        <w:pStyle w:val="Heading3"/>
        <w:spacing w:after="120" w:before="180"/>
      </w:pPr>
      <w:r>
        <w:rPr>
          <w:b/>
          <w:bCs/>
          <w:sz w:val="24"/>
          <w:szCs w:val="24"/>
        </w:rPr>
        <w:t xml:space="preserve">4.2.2 Zero-Forcing Equalization and Demodulation</w:t>
      </w:r>
    </w:p>
    <w:p>
      <w:pPr>
        <w:spacing w:after="120" w:line="360"/>
        <w:jc w:val="both"/>
      </w:pPr>
      <w:r>
        <w:t xml:space="preserve">Each data subcarrier in each data OFDM symbol is equalized by dividing the received signal by the channel estimate at that subcarrier:</w:t>
      </w:r>
    </w:p>
    <w:p>
      <w:pPr>
        <w:shd w:fill="F2F2F2" w:val="clear"/>
        <w:spacing w:after="60" w:before="60"/>
        <w:ind w:left="360"/>
      </w:pPr>
      <w:r>
        <w:rPr>
          <w:rFonts w:ascii="Courier New" w:cs="Courier New" w:eastAsia="Courier New" w:hAnsi="Courier New"/>
          <w:sz w:val="18"/>
          <w:szCs w:val="18"/>
        </w:rPr>
        <w:t xml:space="preserve">rx_data_eq[k, s] = Y[data_idx[k], s] / H_est[data_idx[k]]</w:t>
      </w:r>
    </w:p>
    <w:p>
      <w:pPr>
        <w:spacing w:after="120" w:line="360"/>
        <w:jc w:val="both"/>
      </w:pPr>
      <w:r>
        <w:t xml:space="preserve">The equalized symbols are then demodulated using a 16-QAM hard-decision demodulator that performs nearest-level decision on the in-phase and quadrature axes independently with levels {−3, −1, +1, +3}/√10. The demodulated bits are compared with the transmitted bits to compute the bit error rate.</w:t>
      </w:r>
    </w:p>
    <w:p>
      <w:r>
        <w:br w:type="page"/>
      </w:r>
    </w:p>
    <w:p>
      <w:pPr>
        <w:pStyle w:val="Heading1"/>
        <w:spacing w:after="240" w:before="360"/>
      </w:pPr>
      <w:r>
        <w:rPr>
          <w:b/>
          <w:bCs/>
          <w:sz w:val="32"/>
          <w:szCs w:val="32"/>
        </w:rPr>
        <w:t xml:space="preserve">Chapter 5: Performance Analysis</w:t>
      </w:r>
    </w:p>
    <w:p>
      <w:pPr>
        <w:pStyle w:val="Heading2"/>
        <w:spacing w:after="180" w:before="240"/>
      </w:pPr>
      <w:r>
        <w:rPr>
          <w:b/>
          <w:bCs/>
          <w:sz w:val="28"/>
          <w:szCs w:val="28"/>
        </w:rPr>
        <w:t xml:space="preserve">5.1 Cramér-Rao Bound Analysis</w:t>
      </w:r>
    </w:p>
    <w:p>
      <w:pPr>
        <w:spacing w:after="120" w:line="360"/>
        <w:jc w:val="both"/>
      </w:pPr>
      <w:r>
        <w:t xml:space="preserve">The Cramér-Rao Bound (CRB) provides the theoretical lower bound on the variance of any unbiased estimator. For OFDM-ISAC range and velocity estimation, the closed-form CRBs are:</w:t>
      </w:r>
    </w:p>
    <w:p>
      <w:pPr>
        <w:shd w:fill="F2F2F2" w:val="clear"/>
        <w:spacing w:after="60" w:before="60"/>
        <w:ind w:left="360"/>
      </w:pPr>
      <w:r>
        <w:rPr>
          <w:rFonts w:ascii="Courier New" w:cs="Courier New" w:eastAsia="Courier New" w:hAnsi="Courier New"/>
          <w:sz w:val="18"/>
          <w:szCs w:val="18"/>
        </w:rPr>
        <w:t xml:space="preserve">CRB(τ) = 1 / (8π² · SNR_radar · B_eff²)</w:t>
      </w:r>
    </w:p>
    <w:p>
      <w:pPr>
        <w:shd w:fill="F2F2F2" w:val="clear"/>
        <w:spacing w:after="60" w:before="60"/>
        <w:ind w:left="360"/>
      </w:pPr>
      <w:r>
        <w:rPr>
          <w:rFonts w:ascii="Courier New" w:cs="Courier New" w:eastAsia="Courier New" w:hAnsi="Courier New"/>
          <w:sz w:val="18"/>
          <w:szCs w:val="18"/>
        </w:rPr>
        <w:t xml:space="preserve">CRB(f_D) = 1 / (8π² · SNR_radar · T_eff²)</w:t>
      </w:r>
    </w:p>
    <w:p>
      <w:pPr>
        <w:spacing w:after="120" w:line="360"/>
        <w:jc w:val="both"/>
      </w:pPr>
      <w:r>
        <w:t xml:space="preserve">where B_eff is the RMS bandwidth occupied by pilot subcarriers (≈22.9 MHz) and T_eff is the RMS observation duration (≈0.21 ms). The radar SNR at the receiver includes the full power chain:</w:t>
      </w:r>
    </w:p>
    <w:p>
      <w:pPr>
        <w:shd w:fill="F2F2F2" w:val="clear"/>
        <w:spacing w:after="60" w:before="60"/>
        <w:ind w:left="360"/>
      </w:pPr>
      <w:r>
        <w:rPr>
          <w:rFonts w:ascii="Courier New" w:cs="Courier New" w:eastAsia="Courier New" w:hAnsi="Courier New"/>
          <w:sz w:val="18"/>
          <w:szCs w:val="18"/>
        </w:rPr>
        <w:t xml:space="preserve">SNR_radar = SNR · (1 − β) · mean(RCS²) · BF_gain_mean</w:t>
      </w:r>
    </w:p>
    <w:p>
      <w:pPr>
        <w:spacing w:after="120" w:line="360"/>
        <w:jc w:val="both"/>
      </w:pPr>
      <w:r>
        <w:t xml:space="preserve">Converting to range and velocity units: CRB_range = √CRB(τ) · c/2 and CRB_vel = √CRB(f_D) · λ/2. At the 15 dB operating point, this yields CRB_range = 0.22 m and CRB_velocity = 0.86 m/s. The simulated RMSE follows the relation RMSE ≈ CRB · (1 + 5/(SNR_radar + 0.1)), which reflects the fact that practical estimators approach the CRB only at high SNR.</w:t>
      </w:r>
    </w:p>
    <w:p>
      <w:pPr>
        <w:pStyle w:val="Heading2"/>
        <w:spacing w:after="180" w:before="240"/>
      </w:pPr>
      <w:r>
        <w:rPr>
          <w:b/>
          <w:bCs/>
          <w:sz w:val="28"/>
          <w:szCs w:val="28"/>
        </w:rPr>
        <w:t xml:space="preserve">5.2 Detection Probability Models</w:t>
      </w:r>
    </w:p>
    <w:p>
      <w:pPr>
        <w:spacing w:after="120" w:line="360"/>
        <w:jc w:val="both"/>
      </w:pPr>
      <w:r>
        <w:t xml:space="preserve">Detection probability P_d depends on the target fluctuation model. Three Swerling models are evaluated:</w:t>
      </w:r>
    </w:p>
    <w:p>
      <w:pPr>
        <w:pStyle w:val="ListParagraph"/>
        <w:numPr>
          <w:ilvl w:val="0"/>
          <w:numId w:val="2"/>
        </w:numPr>
        <w:spacing w:after="100" w:line="320"/>
      </w:pPr>
      <w:r>
        <w:t xml:space="preserve">Swerling 0: Non-fluctuating target (deterministic RCS) — Gaussian approximation</w:t>
      </w:r>
    </w:p>
    <w:p>
      <w:pPr>
        <w:pStyle w:val="ListParagraph"/>
        <w:numPr>
          <w:ilvl w:val="0"/>
          <w:numId w:val="2"/>
        </w:numPr>
        <w:spacing w:after="100" w:line="320"/>
      </w:pPr>
      <w:r>
        <w:t xml:space="preserve">Swerling I: Slow-fluctuating Rayleigh target (chi-squared 2 DOF)</w:t>
      </w:r>
    </w:p>
    <w:p>
      <w:pPr>
        <w:pStyle w:val="ListParagraph"/>
        <w:numPr>
          <w:ilvl w:val="0"/>
          <w:numId w:val="2"/>
        </w:numPr>
        <w:spacing w:after="100" w:line="320"/>
      </w:pPr>
      <w:r>
        <w:t xml:space="preserve">Swerling III: Fast-fluctuating chi-squared 4 DOF target</w:t>
      </w:r>
    </w:p>
    <w:p>
      <w:pPr>
        <w:spacing w:after="120" w:line="360"/>
        <w:jc w:val="both"/>
      </w:pPr>
      <w:r>
        <w:t xml:space="preserve">At the 15 dB operating point with P_fa = 10⁻³, the obtained detection probabilities are P_d^(0) = 0.997, P_d^(I) = 0.157, P_d^(III) = 0.766. These curves serve as theoretical reference; the empirical CFAR detection results (3 real targets plus a small number of false alarms near peak locations) are reported separately in Chapter 7.</w:t>
      </w:r>
    </w:p>
    <w:p>
      <w:pPr>
        <w:pStyle w:val="Heading2"/>
        <w:spacing w:after="180" w:before="240"/>
      </w:pPr>
      <w:r>
        <w:rPr>
          <w:b/>
          <w:bCs/>
          <w:sz w:val="28"/>
          <w:szCs w:val="28"/>
        </w:rPr>
        <w:t xml:space="preserve">5.3 Pareto Trade-off Optimization</w:t>
      </w:r>
    </w:p>
    <w:p>
      <w:pPr>
        <w:spacing w:after="120" w:line="360"/>
        <w:jc w:val="both"/>
      </w:pPr>
      <w:r>
        <w:t xml:space="preserve">The Pareto trade-off framework jointly optimizes the pilot ratio α (fraction of subcarriers used for pilots) and the ISAC weight λ (relative emphasis on communication versus sensing). The composite utility function is:</w:t>
      </w:r>
    </w:p>
    <w:p>
      <w:pPr>
        <w:shd w:fill="F2F2F2" w:val="clear"/>
        <w:spacing w:after="60" w:before="60"/>
        <w:ind w:left="360"/>
      </w:pPr>
      <w:r>
        <w:rPr>
          <w:rFonts w:ascii="Courier New" w:cs="Courier New" w:eastAsia="Courier New" w:hAnsi="Courier New"/>
          <w:sz w:val="18"/>
          <w:szCs w:val="18"/>
        </w:rPr>
        <w:t xml:space="preserve">U(λ, α) = λ · SE_norm(α) + (1 − λ) · Q_sense(α)</w:t>
      </w:r>
    </w:p>
    <w:p>
      <w:pPr>
        <w:spacing w:after="120" w:line="360"/>
        <w:jc w:val="both"/>
      </w:pPr>
      <w:r>
        <w:t xml:space="preserve">where SE_norm is the normalized communication spectral efficiency (depending on α through the number of data subcarriers) and Q_sense is the normalized sensing quality (depending on α through the radar SNR achievable with α · N_active pilot subcarriers). Both metrics are normalized to the [0, 1] range to ensure a meaningful trade-off.</w:t>
      </w:r>
    </w:p>
    <w:p>
      <w:pPr>
        <w:spacing w:after="120" w:line="360"/>
        <w:jc w:val="both"/>
      </w:pPr>
      <w:r>
        <w:t xml:space="preserve">The Pareto surface is computed by sweeping α ∈ [0.05, 0.95] in 0.05 increments and λ ∈ [0.00, 1.00] in 0.05 increments, yielding a 21 × 19 grid of utility values. The global maximum and the knee point at λ = 0.5 (equal weighting of sensing and communication) are reported as design recommendations.</w:t>
      </w:r>
    </w:p>
    <w:p>
      <w:r>
        <w:br w:type="page"/>
      </w:r>
    </w:p>
    <w:p>
      <w:pPr>
        <w:pStyle w:val="Heading1"/>
        <w:spacing w:after="240" w:before="360"/>
      </w:pPr>
      <w:r>
        <w:rPr>
          <w:b/>
          <w:bCs/>
          <w:sz w:val="32"/>
          <w:szCs w:val="32"/>
        </w:rPr>
        <w:t xml:space="preserve">Chapter 6: Implementation and Methodology</w:t>
      </w:r>
    </w:p>
    <w:p>
      <w:pPr>
        <w:pStyle w:val="Heading2"/>
        <w:spacing w:after="180" w:before="240"/>
      </w:pPr>
      <w:r>
        <w:rPr>
          <w:b/>
          <w:bCs/>
          <w:sz w:val="28"/>
          <w:szCs w:val="28"/>
        </w:rPr>
        <w:t xml:space="preserve">6.1 Software Architecture</w:t>
      </w:r>
    </w:p>
    <w:p>
      <w:pPr>
        <w:spacing w:after="120" w:line="360"/>
        <w:jc w:val="both"/>
      </w:pPr>
      <w:r>
        <w:t xml:space="preserve">The simulation framework is implemented in Python using NumPy, SciPy, and Matplotlib, designed to run on Google Colab. The framework follows a modular architecture with nine sequential sections, each saving its workspace state to a pickle file (.pkl) for the next section to consume: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3660"/>
      </w:tblGrid>
      <w:tr>
        <w:trPr>
          <w:tblHeader/>
        </w:trPr>
        <w:tc>
          <w:tcPr>
            <w:tcW w:type="dxa" w:w="1200"/>
            <w:tcBorders>
              <w:top w:val="single" w:color="999999" w:sz="4"/>
              <w:left w:val="single" w:color="999999" w:sz="4"/>
              <w:bottom w:val="single" w:color="999999" w:sz="4"/>
              <w:right w:val="single" w:color="999999" w:sz="4"/>
            </w:tcBorders>
            <w:shd w:fill="2E75B6" w:val="clear"/>
            <w:tcMar>
              <w:top w:type="dxa" w:w="100"/>
              <w:left w:type="dxa" w:w="120"/>
              <w:bottom w:type="dxa" w:w="100"/>
              <w:right w:type="dxa" w:w="120"/>
            </w:tcMar>
          </w:tcPr>
          <w:p>
            <w:r>
              <w:rPr>
                <w:b/>
                <w:bCs/>
                <w:color w:val="FFFFFF"/>
                <w:sz w:val="22"/>
                <w:szCs w:val="22"/>
              </w:rPr>
              <w:t xml:space="preserve">Module</w:t>
            </w:r>
          </w:p>
        </w:tc>
        <w:tc>
          <w:tcPr>
            <w:tcW w:type="dxa" w:w="4500"/>
            <w:tcBorders>
              <w:top w:val="single" w:color="999999" w:sz="4"/>
              <w:left w:val="single" w:color="999999" w:sz="4"/>
              <w:bottom w:val="single" w:color="999999" w:sz="4"/>
              <w:right w:val="single" w:color="999999" w:sz="4"/>
            </w:tcBorders>
            <w:shd w:fill="2E75B6" w:val="clear"/>
            <w:tcMar>
              <w:top w:type="dxa" w:w="100"/>
              <w:left w:type="dxa" w:w="120"/>
              <w:bottom w:type="dxa" w:w="100"/>
              <w:right w:type="dxa" w:w="120"/>
            </w:tcMar>
          </w:tcPr>
          <w:p>
            <w:r>
              <w:rPr>
                <w:b/>
                <w:bCs/>
                <w:color w:val="FFFFFF"/>
                <w:sz w:val="22"/>
                <w:szCs w:val="22"/>
              </w:rPr>
              <w:t xml:space="preserve">Function</w:t>
            </w:r>
          </w:p>
        </w:tc>
        <w:tc>
          <w:tcPr>
            <w:tcW w:type="dxa" w:w="3660"/>
            <w:tcBorders>
              <w:top w:val="single" w:color="999999" w:sz="4"/>
              <w:left w:val="single" w:color="999999" w:sz="4"/>
              <w:bottom w:val="single" w:color="999999" w:sz="4"/>
              <w:right w:val="single" w:color="999999" w:sz="4"/>
            </w:tcBorders>
            <w:shd w:fill="2E75B6" w:val="clear"/>
            <w:tcMar>
              <w:top w:type="dxa" w:w="100"/>
              <w:left w:type="dxa" w:w="120"/>
              <w:bottom w:type="dxa" w:w="100"/>
              <w:right w:type="dxa" w:w="120"/>
            </w:tcMar>
          </w:tcPr>
          <w:p>
            <w:r>
              <w:rPr>
                <w:b/>
                <w:bCs/>
                <w:color w:val="FFFFFF"/>
                <w:sz w:val="22"/>
                <w:szCs w:val="22"/>
              </w:rPr>
              <w:t xml:space="preserve">Output</w:t>
            </w:r>
          </w:p>
        </w:tc>
      </w:tr>
      <w:tr>
        <w:tc>
          <w:tcPr>
            <w:tcW w:type="dxa" w:w="1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sz w:val="20"/>
                <w:szCs w:val="20"/>
              </w:rPr>
              <w:t xml:space="preserve">S1</w:t>
            </w:r>
          </w:p>
        </w:tc>
        <w:tc>
          <w:tcPr>
            <w:tcW w:type="dxa" w:w="4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sz w:val="20"/>
                <w:szCs w:val="20"/>
              </w:rPr>
              <w:t xml:space="preserve">System Parameters</w:t>
            </w:r>
          </w:p>
        </w:tc>
        <w:tc>
          <w:tcPr>
            <w:tcW w:type="dxa" w:w="36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sz w:val="20"/>
                <w:szCs w:val="20"/>
              </w:rPr>
              <w:t xml:space="preserve">workspace_S1.pkl</w:t>
            </w:r>
          </w:p>
        </w:tc>
      </w:tr>
      <w:tr>
        <w:tc>
          <w:tcPr>
            <w:tcW w:type="dxa" w:w="1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sz w:val="20"/>
                <w:szCs w:val="20"/>
              </w:rPr>
              <w:t xml:space="preserve">S2</w:t>
            </w:r>
          </w:p>
        </w:tc>
        <w:tc>
          <w:tcPr>
            <w:tcW w:type="dxa" w:w="4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sz w:val="20"/>
                <w:szCs w:val="20"/>
              </w:rPr>
              <w:t xml:space="preserve">MIMO Beamforming</w:t>
            </w:r>
          </w:p>
        </w:tc>
        <w:tc>
          <w:tcPr>
            <w:tcW w:type="dxa" w:w="36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sz w:val="20"/>
                <w:szCs w:val="20"/>
              </w:rPr>
              <w:t xml:space="preserve">workspace_S2.pkl</w:t>
            </w:r>
          </w:p>
        </w:tc>
      </w:tr>
      <w:tr>
        <w:tc>
          <w:tcPr>
            <w:tcW w:type="dxa" w:w="1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sz w:val="20"/>
                <w:szCs w:val="20"/>
              </w:rPr>
              <w:t xml:space="preserve">S3</w:t>
            </w:r>
          </w:p>
        </w:tc>
        <w:tc>
          <w:tcPr>
            <w:tcW w:type="dxa" w:w="4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sz w:val="20"/>
                <w:szCs w:val="20"/>
              </w:rPr>
              <w:t xml:space="preserve">OFDM-ISAC Transmitter</w:t>
            </w:r>
          </w:p>
        </w:tc>
        <w:tc>
          <w:tcPr>
            <w:tcW w:type="dxa" w:w="36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sz w:val="20"/>
                <w:szCs w:val="20"/>
              </w:rPr>
              <w:t xml:space="preserve">workspace_S3.pkl</w:t>
            </w:r>
          </w:p>
        </w:tc>
      </w:tr>
      <w:tr>
        <w:tc>
          <w:tcPr>
            <w:tcW w:type="dxa" w:w="1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sz w:val="20"/>
                <w:szCs w:val="20"/>
              </w:rPr>
              <w:t xml:space="preserve">S4</w:t>
            </w:r>
          </w:p>
        </w:tc>
        <w:tc>
          <w:tcPr>
            <w:tcW w:type="dxa" w:w="4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sz w:val="20"/>
                <w:szCs w:val="20"/>
              </w:rPr>
              <w:t xml:space="preserve">Dual-Path Channel Modeling</w:t>
            </w:r>
          </w:p>
        </w:tc>
        <w:tc>
          <w:tcPr>
            <w:tcW w:type="dxa" w:w="36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sz w:val="20"/>
                <w:szCs w:val="20"/>
              </w:rPr>
              <w:t xml:space="preserve">workspace_S4.pkl</w:t>
            </w:r>
          </w:p>
        </w:tc>
      </w:tr>
      <w:tr>
        <w:tc>
          <w:tcPr>
            <w:tcW w:type="dxa" w:w="1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sz w:val="20"/>
                <w:szCs w:val="20"/>
              </w:rPr>
              <w:t xml:space="preserve">S5</w:t>
            </w:r>
          </w:p>
        </w:tc>
        <w:tc>
          <w:tcPr>
            <w:tcW w:type="dxa" w:w="4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sz w:val="20"/>
                <w:szCs w:val="20"/>
              </w:rPr>
              <w:t xml:space="preserve">Radar Receiver</w:t>
            </w:r>
          </w:p>
        </w:tc>
        <w:tc>
          <w:tcPr>
            <w:tcW w:type="dxa" w:w="36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sz w:val="20"/>
                <w:szCs w:val="20"/>
              </w:rPr>
              <w:t xml:space="preserve">workspace_S5.pkl</w:t>
            </w:r>
          </w:p>
        </w:tc>
      </w:tr>
      <w:tr>
        <w:tc>
          <w:tcPr>
            <w:tcW w:type="dxa" w:w="1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sz w:val="20"/>
                <w:szCs w:val="20"/>
              </w:rPr>
              <w:t xml:space="preserve">S6</w:t>
            </w:r>
          </w:p>
        </w:tc>
        <w:tc>
          <w:tcPr>
            <w:tcW w:type="dxa" w:w="4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sz w:val="20"/>
                <w:szCs w:val="20"/>
              </w:rPr>
              <w:t xml:space="preserve">Communication Receiver</w:t>
            </w:r>
          </w:p>
        </w:tc>
        <w:tc>
          <w:tcPr>
            <w:tcW w:type="dxa" w:w="36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sz w:val="20"/>
                <w:szCs w:val="20"/>
              </w:rPr>
              <w:t xml:space="preserve">workspace_S6.pkl</w:t>
            </w:r>
          </w:p>
        </w:tc>
      </w:tr>
      <w:tr>
        <w:tc>
          <w:tcPr>
            <w:tcW w:type="dxa" w:w="1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sz w:val="20"/>
                <w:szCs w:val="20"/>
              </w:rPr>
              <w:t xml:space="preserve">S7</w:t>
            </w:r>
          </w:p>
        </w:tc>
        <w:tc>
          <w:tcPr>
            <w:tcW w:type="dxa" w:w="4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sz w:val="20"/>
                <w:szCs w:val="20"/>
              </w:rPr>
              <w:t xml:space="preserve">CRB and Detection Probability</w:t>
            </w:r>
          </w:p>
        </w:tc>
        <w:tc>
          <w:tcPr>
            <w:tcW w:type="dxa" w:w="36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sz w:val="20"/>
                <w:szCs w:val="20"/>
              </w:rPr>
              <w:t xml:space="preserve">workspace_S7.pkl</w:t>
            </w:r>
          </w:p>
        </w:tc>
      </w:tr>
      <w:tr>
        <w:tc>
          <w:tcPr>
            <w:tcW w:type="dxa" w:w="1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sz w:val="20"/>
                <w:szCs w:val="20"/>
              </w:rPr>
              <w:t xml:space="preserve">S8</w:t>
            </w:r>
          </w:p>
        </w:tc>
        <w:tc>
          <w:tcPr>
            <w:tcW w:type="dxa" w:w="4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sz w:val="20"/>
                <w:szCs w:val="20"/>
              </w:rPr>
              <w:t xml:space="preserve">Pareto Surface</w:t>
            </w:r>
          </w:p>
        </w:tc>
        <w:tc>
          <w:tcPr>
            <w:tcW w:type="dxa" w:w="36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sz w:val="20"/>
                <w:szCs w:val="20"/>
              </w:rPr>
              <w:t xml:space="preserve">workspace_S8.pkl</w:t>
            </w:r>
          </w:p>
        </w:tc>
      </w:tr>
      <w:tr>
        <w:tc>
          <w:tcPr>
            <w:tcW w:type="dxa" w:w="1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sz w:val="20"/>
                <w:szCs w:val="20"/>
              </w:rPr>
              <w:t xml:space="preserve">S9</w:t>
            </w:r>
          </w:p>
        </w:tc>
        <w:tc>
          <w:tcPr>
            <w:tcW w:type="dxa" w:w="4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sz w:val="20"/>
                <w:szCs w:val="20"/>
              </w:rPr>
              <w:t xml:space="preserve">Final Combined Visualization</w:t>
            </w:r>
          </w:p>
        </w:tc>
        <w:tc>
          <w:tcPr>
            <w:tcW w:type="dxa" w:w="36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sz w:val="20"/>
                <w:szCs w:val="20"/>
              </w:rPr>
              <w:t xml:space="preserve">(plot only)</w:t>
            </w:r>
          </w:p>
        </w:tc>
      </w:tr>
    </w:tbl>
    <w:p>
      <w:pPr>
        <w:spacing w:after="100"/>
      </w:pPr>
      <w:r>
        <w:t xml:space="preserve"/>
      </w:r>
    </w:p>
    <w:p>
      <w:pPr>
        <w:pStyle w:val="Heading2"/>
        <w:spacing w:after="180" w:before="240"/>
      </w:pPr>
      <w:r>
        <w:rPr>
          <w:b/>
          <w:bCs/>
          <w:sz w:val="28"/>
          <w:szCs w:val="28"/>
        </w:rPr>
        <w:t xml:space="preserve">6.2 Key Algorithms</w:t>
      </w:r>
    </w:p>
    <w:p>
      <w:pPr>
        <w:spacing w:after="120" w:line="360"/>
        <w:jc w:val="both"/>
      </w:pPr>
      <w:r>
        <w:t xml:space="preserve">Several non-trivial algorithms required careful implementation and validation:</w:t>
      </w:r>
    </w:p>
    <w:p>
      <w:pPr>
        <w:pStyle w:val="ListParagraph"/>
        <w:numPr>
          <w:ilvl w:val="0"/>
          <w:numId w:val="2"/>
        </w:numPr>
        <w:spacing w:after="100" w:line="320"/>
      </w:pPr>
      <w:r>
        <w:t xml:space="preserve">FFT/IFFT convention: The fftshift convention is used consistently throughout. The transmitter applies ifftshift before IFFT (centering DC at index 0 for time-domain conversion), and receivers apply fftshift after FFT (centering DC at the middle for frequency-domain processing).</w:t>
      </w:r>
    </w:p>
    <w:p>
      <w:pPr>
        <w:pStyle w:val="ListParagraph"/>
        <w:numPr>
          <w:ilvl w:val="0"/>
          <w:numId w:val="2"/>
        </w:numPr>
        <w:spacing w:after="100" w:line="320"/>
      </w:pPr>
      <w:r>
        <w:t xml:space="preserve">Causal delay modeling: Radar echoes use a causal linear delay (zero-padding) rather than circular shift to avoid non-physical wrap-around artifacts at long target ranges.</w:t>
      </w:r>
    </w:p>
    <w:p>
      <w:pPr>
        <w:pStyle w:val="ListParagraph"/>
        <w:numPr>
          <w:ilvl w:val="0"/>
          <w:numId w:val="2"/>
        </w:numPr>
        <w:spacing w:after="100" w:line="320"/>
      </w:pPr>
      <w:r>
        <w:t xml:space="preserve">Hann windowing: Applied to the channel response before IFFT to suppress range sidelobes by approximately 13 dB at the cost of about 60% mainlobe broadening.</w:t>
      </w:r>
    </w:p>
    <w:p>
      <w:pPr>
        <w:pStyle w:val="ListParagraph"/>
        <w:numPr>
          <w:ilvl w:val="0"/>
          <w:numId w:val="2"/>
        </w:numPr>
        <w:spacing w:after="100" w:line="320"/>
      </w:pPr>
      <w:r>
        <w:t xml:space="preserve">CA-CFAR on raw profile: The CFAR detector operates on the raw (un-normalized) range profile rather than the normalized version, ensuring the threshold is meaningful in absolute power units.</w:t>
      </w:r>
    </w:p>
    <w:p>
      <w:pPr>
        <w:pStyle w:val="ListParagraph"/>
        <w:numPr>
          <w:ilvl w:val="0"/>
          <w:numId w:val="2"/>
        </w:numPr>
        <w:spacing w:after="100" w:line="320"/>
      </w:pPr>
      <w:r>
        <w:t xml:space="preserve">QAM mod/demod consistency: Custom NumPy-based 16-QAM modulator and demodulator use natural binary mapping with levels {−3, −1, +1, +3}/√10. The mod/demod pair is verified by self-consistency tests before integration.</w:t>
      </w:r>
    </w:p>
    <w:p>
      <w:pPr>
        <w:pStyle w:val="Heading2"/>
        <w:spacing w:after="180" w:before="240"/>
      </w:pPr>
      <w:r>
        <w:rPr>
          <w:b/>
          <w:bCs/>
          <w:sz w:val="28"/>
          <w:szCs w:val="28"/>
        </w:rPr>
        <w:t xml:space="preserve">6.3 Validation Methodology</w:t>
      </w:r>
    </w:p>
    <w:p>
      <w:pPr>
        <w:spacing w:after="120" w:line="360"/>
        <w:jc w:val="both"/>
      </w:pPr>
      <w:r>
        <w:t xml:space="preserve">Each module is validated against theoretical expectations:</w:t>
      </w:r>
    </w:p>
    <w:p>
      <w:pPr>
        <w:pStyle w:val="ListParagraph"/>
        <w:numPr>
          <w:ilvl w:val="0"/>
          <w:numId w:val="2"/>
        </w:numPr>
        <w:spacing w:after="100" w:line="320"/>
      </w:pPr>
      <w:r>
        <w:t xml:space="preserve">S1: Noise variance per subcarrier verified by checking that 10·log₁₀(P_data / noise_var) = SNR_dB.</w:t>
      </w:r>
    </w:p>
    <w:p>
      <w:pPr>
        <w:pStyle w:val="ListParagraph"/>
        <w:numPr>
          <w:ilvl w:val="0"/>
          <w:numId w:val="2"/>
        </w:numPr>
        <w:spacing w:after="100" w:line="320"/>
      </w:pPr>
      <w:r>
        <w:t xml:space="preserve">S2: Beamforming gains verified by computing |a^H(θ_target) · w_tx|² in dB.</w:t>
      </w:r>
    </w:p>
    <w:p>
      <w:pPr>
        <w:pStyle w:val="ListParagraph"/>
        <w:numPr>
          <w:ilvl w:val="0"/>
          <w:numId w:val="2"/>
        </w:numPr>
        <w:spacing w:after="100" w:line="320"/>
      </w:pPr>
      <w:r>
        <w:t xml:space="preserve">S3: Power balance verified: total transmitted power per OFDM symbol equals P_total.</w:t>
      </w:r>
    </w:p>
    <w:p>
      <w:pPr>
        <w:pStyle w:val="ListParagraph"/>
        <w:numPr>
          <w:ilvl w:val="0"/>
          <w:numId w:val="2"/>
        </w:numPr>
        <w:spacing w:after="100" w:line="320"/>
      </w:pPr>
      <w:r>
        <w:t xml:space="preserve">S4: Channel impulse response verified by checking the 6 dominant taps in the time domain.</w:t>
      </w:r>
    </w:p>
    <w:p>
      <w:pPr>
        <w:pStyle w:val="ListParagraph"/>
        <w:numPr>
          <w:ilvl w:val="0"/>
          <w:numId w:val="2"/>
        </w:numPr>
        <w:spacing w:after="100" w:line="320"/>
      </w:pPr>
      <w:r>
        <w:t xml:space="preserve">S5: Range and Doppler bin locations verified to match the true target positions within ±1 resolution cell.</w:t>
      </w:r>
    </w:p>
    <w:p>
      <w:pPr>
        <w:pStyle w:val="ListParagraph"/>
        <w:numPr>
          <w:ilvl w:val="0"/>
          <w:numId w:val="2"/>
        </w:numPr>
        <w:spacing w:after="100" w:line="320"/>
      </w:pPr>
      <w:r>
        <w:t xml:space="preserve">S6: BER at 15 dB SNR verified to approach the theoretical 16-QAM curve (~10⁻³) with high-quality channel estimation.</w:t>
      </w:r>
    </w:p>
    <w:p>
      <w:pPr>
        <w:pStyle w:val="ListParagraph"/>
        <w:numPr>
          <w:ilvl w:val="0"/>
          <w:numId w:val="2"/>
        </w:numPr>
        <w:spacing w:after="100" w:line="320"/>
      </w:pPr>
      <w:r>
        <w:t xml:space="preserve">S7: CRB curves verified to scale as 1/SNR (decrease by 10 dB per decade of SNR increase).</w:t>
      </w:r>
    </w:p>
    <w:p>
      <w:pPr>
        <w:pStyle w:val="ListParagraph"/>
        <w:numPr>
          <w:ilvl w:val="0"/>
          <w:numId w:val="2"/>
        </w:numPr>
        <w:spacing w:after="100" w:line="320"/>
      </w:pPr>
      <w:r>
        <w:t xml:space="preserve">S8: Pareto knee point verified to lie on the convex front of the (SE, Q_sense) curve.</w:t>
      </w:r>
    </w:p>
    <w:p>
      <w:r>
        <w:br w:type="page"/>
      </w:r>
    </w:p>
    <w:p>
      <w:pPr>
        <w:pStyle w:val="Heading1"/>
        <w:spacing w:after="240" w:before="360"/>
      </w:pPr>
      <w:r>
        <w:rPr>
          <w:b/>
          <w:bCs/>
          <w:sz w:val="32"/>
          <w:szCs w:val="32"/>
        </w:rPr>
        <w:t xml:space="preserve">Chapter 7: Results and Discussion</w:t>
      </w:r>
    </w:p>
    <w:p>
      <w:pPr>
        <w:pStyle w:val="Heading2"/>
        <w:spacing w:after="180" w:before="240"/>
      </w:pPr>
      <w:r>
        <w:rPr>
          <w:b/>
          <w:bCs/>
          <w:sz w:val="28"/>
          <w:szCs w:val="28"/>
        </w:rPr>
        <w:t xml:space="preserve">7.1 Beamforming Results</w:t>
      </w:r>
    </w:p>
    <w:p>
      <w:pPr>
        <w:spacing w:after="120" w:line="360"/>
        <w:jc w:val="both"/>
      </w:pPr>
      <w:r>
        <w:t xml:space="preserve">Table 7.1 summarizes the beamforming gains achieved by the joint ISAC transmit vector w_tx at each target angle. The negative gain at T1 (+10°) is due to the partial nulling caused by combining the boresight communication beam with the off-axis sensing beams, but the system still maintains acceptable illumination.</w:t>
      </w:r>
    </w:p>
    <w:p>
      <w:pPr>
        <w:spacing w:after="100"/>
      </w:pPr>
      <w:r>
        <w:t xml:space="preserve"/>
      </w:r>
    </w:p>
    <w:p>
      <w:pPr>
        <w:rPr>
          <w:b/>
          <w:bCs/>
          <w:sz w:val="22"/>
          <w:szCs w:val="22"/>
        </w:rPr>
      </w:pPr>
      <w:r>
        <w:rPr>
          <w:b/>
          <w:bCs/>
          <w:sz w:val="22"/>
          <w:szCs w:val="22"/>
        </w:rPr>
        <w:t xml:space="preserve">Table 7.1: Beamforming Gains per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2980"/>
        <w:gridCol w:w="2980"/>
      </w:tblGrid>
      <w:tr>
        <w:trPr>
          <w:tblHeader/>
        </w:trPr>
        <w:tc>
          <w:tcPr>
            <w:tcW w:type="dxa" w:w="1700"/>
            <w:tcBorders>
              <w:top w:val="single" w:color="999999" w:sz="4"/>
              <w:left w:val="single" w:color="999999" w:sz="4"/>
              <w:bottom w:val="single" w:color="999999" w:sz="4"/>
              <w:right w:val="single" w:color="999999" w:sz="4"/>
            </w:tcBorders>
            <w:shd w:fill="2E75B6" w:val="clear"/>
            <w:tcMar>
              <w:top w:type="dxa" w:w="100"/>
              <w:left w:type="dxa" w:w="120"/>
              <w:bottom w:type="dxa" w:w="100"/>
              <w:right w:type="dxa" w:w="120"/>
            </w:tcMar>
          </w:tcPr>
          <w:p>
            <w:r>
              <w:rPr>
                <w:b/>
                <w:bCs/>
                <w:color w:val="FFFFFF"/>
                <w:sz w:val="22"/>
                <w:szCs w:val="22"/>
              </w:rPr>
              <w:t xml:space="preserve">Target</w:t>
            </w:r>
          </w:p>
        </w:tc>
        <w:tc>
          <w:tcPr>
            <w:tcW w:type="dxa" w:w="1700"/>
            <w:tcBorders>
              <w:top w:val="single" w:color="999999" w:sz="4"/>
              <w:left w:val="single" w:color="999999" w:sz="4"/>
              <w:bottom w:val="single" w:color="999999" w:sz="4"/>
              <w:right w:val="single" w:color="999999" w:sz="4"/>
            </w:tcBorders>
            <w:shd w:fill="2E75B6" w:val="clear"/>
            <w:tcMar>
              <w:top w:type="dxa" w:w="100"/>
              <w:left w:type="dxa" w:w="120"/>
              <w:bottom w:type="dxa" w:w="100"/>
              <w:right w:type="dxa" w:w="120"/>
            </w:tcMar>
          </w:tcPr>
          <w:p>
            <w:r>
              <w:rPr>
                <w:b/>
                <w:bCs/>
                <w:color w:val="FFFFFF"/>
                <w:sz w:val="22"/>
                <w:szCs w:val="22"/>
              </w:rPr>
              <w:t xml:space="preserve">Angle</w:t>
            </w:r>
          </w:p>
        </w:tc>
        <w:tc>
          <w:tcPr>
            <w:tcW w:type="dxa" w:w="2980"/>
            <w:tcBorders>
              <w:top w:val="single" w:color="999999" w:sz="4"/>
              <w:left w:val="single" w:color="999999" w:sz="4"/>
              <w:bottom w:val="single" w:color="999999" w:sz="4"/>
              <w:right w:val="single" w:color="999999" w:sz="4"/>
            </w:tcBorders>
            <w:shd w:fill="2E75B6" w:val="clear"/>
            <w:tcMar>
              <w:top w:type="dxa" w:w="100"/>
              <w:left w:type="dxa" w:w="120"/>
              <w:bottom w:type="dxa" w:w="100"/>
              <w:right w:type="dxa" w:w="120"/>
            </w:tcMar>
          </w:tcPr>
          <w:p>
            <w:r>
              <w:rPr>
                <w:b/>
                <w:bCs/>
                <w:color w:val="FFFFFF"/>
                <w:sz w:val="22"/>
                <w:szCs w:val="22"/>
              </w:rPr>
              <w:t xml:space="preserve">Multi-beam Gain (dB)</w:t>
            </w:r>
          </w:p>
        </w:tc>
        <w:tc>
          <w:tcPr>
            <w:tcW w:type="dxa" w:w="2980"/>
            <w:tcBorders>
              <w:top w:val="single" w:color="999999" w:sz="4"/>
              <w:left w:val="single" w:color="999999" w:sz="4"/>
              <w:bottom w:val="single" w:color="999999" w:sz="4"/>
              <w:right w:val="single" w:color="999999" w:sz="4"/>
            </w:tcBorders>
            <w:shd w:fill="2E75B6" w:val="clear"/>
            <w:tcMar>
              <w:top w:type="dxa" w:w="100"/>
              <w:left w:type="dxa" w:w="120"/>
              <w:bottom w:type="dxa" w:w="100"/>
              <w:right w:type="dxa" w:w="120"/>
            </w:tcMar>
          </w:tcPr>
          <w:p>
            <w:r>
              <w:rPr>
                <w:b/>
                <w:bCs/>
                <w:color w:val="FFFFFF"/>
                <w:sz w:val="22"/>
                <w:szCs w:val="22"/>
              </w:rPr>
              <w:t xml:space="preserve">Single-beam Gain (dB)</w:t>
            </w:r>
          </w:p>
        </w:tc>
      </w:tr>
      <w:tr>
        <w:tc>
          <w:tcPr>
            <w:tcW w:type="dxa" w:w="1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sz w:val="20"/>
                <w:szCs w:val="20"/>
              </w:rPr>
              <w:t xml:space="preserve">T1</w:t>
            </w:r>
          </w:p>
        </w:tc>
        <w:tc>
          <w:tcPr>
            <w:tcW w:type="dxa" w:w="1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sz w:val="20"/>
                <w:szCs w:val="20"/>
              </w:rPr>
              <w:t xml:space="preserve">+10°</w:t>
            </w:r>
          </w:p>
        </w:tc>
        <w:tc>
          <w:tcPr>
            <w:tcW w:type="dxa" w:w="298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sz w:val="20"/>
                <w:szCs w:val="20"/>
              </w:rPr>
              <w:t xml:space="preserve">+4.69</w:t>
            </w:r>
          </w:p>
        </w:tc>
        <w:tc>
          <w:tcPr>
            <w:tcW w:type="dxa" w:w="298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sz w:val="20"/>
                <w:szCs w:val="20"/>
              </w:rPr>
              <w:t xml:space="preserve">−0.9</w:t>
            </w:r>
          </w:p>
        </w:tc>
      </w:tr>
      <w:tr>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sz w:val="20"/>
                <w:szCs w:val="20"/>
              </w:rPr>
              <w:t xml:space="preserve">T2</w:t>
            </w:r>
          </w:p>
        </w:tc>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sz w:val="20"/>
                <w:szCs w:val="20"/>
              </w:rPr>
              <w:t xml:space="preserve">−20°</w:t>
            </w:r>
          </w:p>
        </w:tc>
        <w:tc>
          <w:tcPr>
            <w:tcW w:type="dxa" w:w="298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sz w:val="20"/>
                <w:szCs w:val="20"/>
              </w:rPr>
              <w:t xml:space="preserve">+5.79</w:t>
            </w:r>
          </w:p>
        </w:tc>
        <w:tc>
          <w:tcPr>
            <w:tcW w:type="dxa" w:w="298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sz w:val="20"/>
                <w:szCs w:val="20"/>
              </w:rPr>
              <w:t xml:space="preserve">+3.0</w:t>
            </w:r>
          </w:p>
        </w:tc>
      </w:tr>
      <w:tr>
        <w:tc>
          <w:tcPr>
            <w:tcW w:type="dxa" w:w="1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sz w:val="20"/>
                <w:szCs w:val="20"/>
              </w:rPr>
              <w:t xml:space="preserve">T3</w:t>
            </w:r>
          </w:p>
        </w:tc>
        <w:tc>
          <w:tcPr>
            <w:tcW w:type="dxa" w:w="1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sz w:val="20"/>
                <w:szCs w:val="20"/>
              </w:rPr>
              <w:t xml:space="preserve">+35°</w:t>
            </w:r>
          </w:p>
        </w:tc>
        <w:tc>
          <w:tcPr>
            <w:tcW w:type="dxa" w:w="298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sz w:val="20"/>
                <w:szCs w:val="20"/>
              </w:rPr>
              <w:t xml:space="preserve">+5.36</w:t>
            </w:r>
          </w:p>
        </w:tc>
        <w:tc>
          <w:tcPr>
            <w:tcW w:type="dxa" w:w="298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sz w:val="20"/>
                <w:szCs w:val="20"/>
              </w:rPr>
              <w:t xml:space="preserve">+2.3</w:t>
            </w:r>
          </w:p>
        </w:tc>
      </w:tr>
    </w:tbl>
    <w:p>
      <w:pPr>
        <w:spacing w:after="100"/>
      </w:pPr>
      <w:r>
        <w:t xml:space="preserve"/>
      </w:r>
    </w:p>
    <w:p>
      <w:pPr>
        <w:pStyle w:val="Heading2"/>
        <w:spacing w:after="180" w:before="240"/>
      </w:pPr>
      <w:r>
        <w:rPr>
          <w:b/>
          <w:bCs/>
          <w:sz w:val="28"/>
          <w:szCs w:val="28"/>
        </w:rPr>
        <w:t xml:space="preserve">7.2 Radar Detection Results</w:t>
      </w:r>
    </w:p>
    <w:p>
      <w:pPr>
        <w:spacing w:after="120" w:line="360"/>
        <w:jc w:val="both"/>
      </w:pPr>
      <w:r>
        <w:t xml:space="preserve">Table 7.2 presents the radar receiver performance at 15 dB SNR. The system successfully detects all three targets with a small number of false alarms in the immediate vicinity of true target peaks (caused by sidelobe leakage despite Hann windowing). The achieved range RMSE of 1.16 m is below the effective range resolution of 1.92 m, demonstrating sub-resolution accuracy.</w:t>
      </w:r>
    </w:p>
    <w:p>
      <w:pPr>
        <w:spacing w:after="100"/>
      </w:pPr>
      <w:r>
        <w:t xml:space="preserve"/>
      </w:r>
    </w:p>
    <w:p>
      <w:pPr>
        <w:rPr>
          <w:b/>
          <w:bCs/>
          <w:sz w:val="22"/>
          <w:szCs w:val="22"/>
        </w:rPr>
      </w:pPr>
      <w:r>
        <w:rPr>
          <w:b/>
          <w:bCs/>
          <w:sz w:val="22"/>
          <w:szCs w:val="22"/>
        </w:rPr>
        <w:t xml:space="preserve">Table 7.2: Radar Detection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5660"/>
      </w:tblGrid>
      <w:tr>
        <w:trPr>
          <w:tblHeader/>
        </w:trPr>
        <w:tc>
          <w:tcPr>
            <w:tcW w:type="dxa" w:w="3700"/>
            <w:tcBorders>
              <w:top w:val="single" w:color="999999" w:sz="4"/>
              <w:left w:val="single" w:color="999999" w:sz="4"/>
              <w:bottom w:val="single" w:color="999999" w:sz="4"/>
              <w:right w:val="single" w:color="999999" w:sz="4"/>
            </w:tcBorders>
            <w:shd w:fill="2E75B6" w:val="clear"/>
            <w:tcMar>
              <w:top w:type="dxa" w:w="100"/>
              <w:left w:type="dxa" w:w="120"/>
              <w:bottom w:type="dxa" w:w="100"/>
              <w:right w:type="dxa" w:w="120"/>
            </w:tcMar>
          </w:tcPr>
          <w:p>
            <w:r>
              <w:rPr>
                <w:b/>
                <w:bCs/>
                <w:color w:val="FFFFFF"/>
                <w:sz w:val="22"/>
                <w:szCs w:val="22"/>
              </w:rPr>
              <w:t xml:space="preserve">Metric</w:t>
            </w:r>
          </w:p>
        </w:tc>
        <w:tc>
          <w:tcPr>
            <w:tcW w:type="dxa" w:w="5660"/>
            <w:tcBorders>
              <w:top w:val="single" w:color="999999" w:sz="4"/>
              <w:left w:val="single" w:color="999999" w:sz="4"/>
              <w:bottom w:val="single" w:color="999999" w:sz="4"/>
              <w:right w:val="single" w:color="999999" w:sz="4"/>
            </w:tcBorders>
            <w:shd w:fill="2E75B6" w:val="clear"/>
            <w:tcMar>
              <w:top w:type="dxa" w:w="100"/>
              <w:left w:type="dxa" w:w="120"/>
              <w:bottom w:type="dxa" w:w="100"/>
              <w:right w:type="dxa" w:w="120"/>
            </w:tcMar>
          </w:tcPr>
          <w:p>
            <w:r>
              <w:rPr>
                <w:b/>
                <w:bCs/>
                <w:color w:val="FFFFFF"/>
                <w:sz w:val="22"/>
                <w:szCs w:val="22"/>
              </w:rPr>
              <w:t xml:space="preserve">Value</w:t>
            </w:r>
          </w:p>
        </w:tc>
      </w:tr>
      <w:tr>
        <w:tc>
          <w:tcPr>
            <w:tcW w:type="dxa" w:w="3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sz w:val="20"/>
                <w:szCs w:val="20"/>
              </w:rPr>
              <w:t xml:space="preserve">Radar SINR</w:t>
            </w:r>
          </w:p>
        </w:tc>
        <w:tc>
          <w:tcPr>
            <w:tcW w:type="dxa" w:w="56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sz w:val="20"/>
                <w:szCs w:val="20"/>
              </w:rPr>
              <w:t xml:space="preserve">18.5 dB</w:t>
            </w:r>
          </w:p>
        </w:tc>
      </w:tr>
      <w:tr>
        <w:tc>
          <w:tcPr>
            <w:tcW w:type="dxa" w:w="3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sz w:val="20"/>
                <w:szCs w:val="20"/>
              </w:rPr>
              <w:t xml:space="preserve">Number of detections</w:t>
            </w:r>
          </w:p>
        </w:tc>
        <w:tc>
          <w:tcPr>
            <w:tcW w:type="dxa" w:w="56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sz w:val="20"/>
                <w:szCs w:val="20"/>
              </w:rPr>
              <w:t xml:space="preserve">5 (3 real + 2 sidelobe)</w:t>
            </w:r>
          </w:p>
        </w:tc>
      </w:tr>
      <w:tr>
        <w:tc>
          <w:tcPr>
            <w:tcW w:type="dxa" w:w="3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sz w:val="20"/>
                <w:szCs w:val="20"/>
              </w:rPr>
              <w:t xml:space="preserve">Detected ranges</w:t>
            </w:r>
          </w:p>
        </w:tc>
        <w:tc>
          <w:tcPr>
            <w:tcW w:type="dxa" w:w="56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sz w:val="20"/>
                <w:szCs w:val="20"/>
              </w:rPr>
              <w:t xml:space="preserve">79, 81, 151, 282, 284 m</w:t>
            </w:r>
          </w:p>
        </w:tc>
      </w:tr>
      <w:tr>
        <w:tc>
          <w:tcPr>
            <w:tcW w:type="dxa" w:w="3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sz w:val="20"/>
                <w:szCs w:val="20"/>
              </w:rPr>
              <w:t xml:space="preserve">Range RMSE</w:t>
            </w:r>
          </w:p>
        </w:tc>
        <w:tc>
          <w:tcPr>
            <w:tcW w:type="dxa" w:w="56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sz w:val="20"/>
                <w:szCs w:val="20"/>
              </w:rPr>
              <w:t xml:space="preserve">1.16 m</w:t>
            </w:r>
          </w:p>
        </w:tc>
      </w:tr>
      <w:tr>
        <w:tc>
          <w:tcPr>
            <w:tcW w:type="dxa" w:w="3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sz w:val="20"/>
                <w:szCs w:val="20"/>
              </w:rPr>
              <w:t xml:space="preserve">Effective range resolution</w:t>
            </w:r>
          </w:p>
        </w:tc>
        <w:tc>
          <w:tcPr>
            <w:tcW w:type="dxa" w:w="56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sz w:val="20"/>
                <w:szCs w:val="20"/>
              </w:rPr>
              <w:t xml:space="preserve">1.92 m</w:t>
            </w:r>
          </w:p>
        </w:tc>
      </w:tr>
    </w:tbl>
    <w:p>
      <w:pPr>
        <w:spacing w:after="100"/>
      </w:pPr>
      <w:r>
        <w:t xml:space="preserve"/>
      </w:r>
    </w:p>
    <w:p>
      <w:pPr>
        <w:pStyle w:val="Heading2"/>
        <w:spacing w:after="180" w:before="240"/>
      </w:pPr>
      <w:r>
        <w:rPr>
          <w:b/>
          <w:bCs/>
          <w:sz w:val="28"/>
          <w:szCs w:val="28"/>
        </w:rPr>
        <w:t xml:space="preserve">7.3 Communication Receiver Performance</w:t>
      </w:r>
    </w:p>
    <w:p>
      <w:pPr>
        <w:spacing w:after="120" w:line="360"/>
        <w:jc w:val="both"/>
      </w:pPr>
      <w:r>
        <w:t xml:space="preserve">Table 7.3 reports the communication receiver metrics. The simulated bit error rate closely approaches the theoretical 16-QAM AWGN curve, validating the correctness of the channel estimation and zero-forcing equalization chain. The achieved spectral efficiency of 5.03 bps/Hz reflects both the data subcarrier ratio (150/200) and the operating SNR.</w:t>
      </w:r>
    </w:p>
    <w:p>
      <w:pPr>
        <w:spacing w:after="100"/>
      </w:pPr>
      <w:r>
        <w:t xml:space="preserve"/>
      </w:r>
    </w:p>
    <w:p>
      <w:pPr>
        <w:rPr>
          <w:b/>
          <w:bCs/>
          <w:sz w:val="22"/>
          <w:szCs w:val="22"/>
        </w:rPr>
      </w:pPr>
      <w:r>
        <w:rPr>
          <w:b/>
          <w:bCs/>
          <w:sz w:val="22"/>
          <w:szCs w:val="22"/>
        </w:rPr>
        <w:t xml:space="preserve">Table 7.3: Communication Receiver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5660"/>
      </w:tblGrid>
      <w:tr>
        <w:trPr>
          <w:tblHeader/>
        </w:trPr>
        <w:tc>
          <w:tcPr>
            <w:tcW w:type="dxa" w:w="3700"/>
            <w:tcBorders>
              <w:top w:val="single" w:color="999999" w:sz="4"/>
              <w:left w:val="single" w:color="999999" w:sz="4"/>
              <w:bottom w:val="single" w:color="999999" w:sz="4"/>
              <w:right w:val="single" w:color="999999" w:sz="4"/>
            </w:tcBorders>
            <w:shd w:fill="2E75B6" w:val="clear"/>
            <w:tcMar>
              <w:top w:type="dxa" w:w="100"/>
              <w:left w:type="dxa" w:w="120"/>
              <w:bottom w:type="dxa" w:w="100"/>
              <w:right w:type="dxa" w:w="120"/>
            </w:tcMar>
          </w:tcPr>
          <w:p>
            <w:r>
              <w:rPr>
                <w:b/>
                <w:bCs/>
                <w:color w:val="FFFFFF"/>
                <w:sz w:val="22"/>
                <w:szCs w:val="22"/>
              </w:rPr>
              <w:t xml:space="preserve">Metric</w:t>
            </w:r>
          </w:p>
        </w:tc>
        <w:tc>
          <w:tcPr>
            <w:tcW w:type="dxa" w:w="5660"/>
            <w:tcBorders>
              <w:top w:val="single" w:color="999999" w:sz="4"/>
              <w:left w:val="single" w:color="999999" w:sz="4"/>
              <w:bottom w:val="single" w:color="999999" w:sz="4"/>
              <w:right w:val="single" w:color="999999" w:sz="4"/>
            </w:tcBorders>
            <w:shd w:fill="2E75B6" w:val="clear"/>
            <w:tcMar>
              <w:top w:type="dxa" w:w="100"/>
              <w:left w:type="dxa" w:w="120"/>
              <w:bottom w:type="dxa" w:w="100"/>
              <w:right w:type="dxa" w:w="120"/>
            </w:tcMar>
          </w:tcPr>
          <w:p>
            <w:r>
              <w:rPr>
                <w:b/>
                <w:bCs/>
                <w:color w:val="FFFFFF"/>
                <w:sz w:val="22"/>
                <w:szCs w:val="22"/>
              </w:rPr>
              <w:t xml:space="preserve">Value</w:t>
            </w:r>
          </w:p>
        </w:tc>
      </w:tr>
      <w:tr>
        <w:tc>
          <w:tcPr>
            <w:tcW w:type="dxa" w:w="3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sz w:val="20"/>
                <w:szCs w:val="20"/>
              </w:rPr>
              <w:t xml:space="preserve">Total transmitted bits</w:t>
            </w:r>
          </w:p>
        </w:tc>
        <w:tc>
          <w:tcPr>
            <w:tcW w:type="dxa" w:w="56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sz w:val="20"/>
                <w:szCs w:val="20"/>
              </w:rPr>
              <w:t xml:space="preserve">74,400</w:t>
            </w:r>
          </w:p>
        </w:tc>
      </w:tr>
      <w:tr>
        <w:tc>
          <w:tcPr>
            <w:tcW w:type="dxa" w:w="3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sz w:val="20"/>
                <w:szCs w:val="20"/>
              </w:rPr>
              <w:t xml:space="preserve">Operating SNR</w:t>
            </w:r>
          </w:p>
        </w:tc>
        <w:tc>
          <w:tcPr>
            <w:tcW w:type="dxa" w:w="56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sz w:val="20"/>
                <w:szCs w:val="20"/>
              </w:rPr>
              <w:t xml:space="preserve">15 dB</w:t>
            </w:r>
          </w:p>
        </w:tc>
      </w:tr>
      <w:tr>
        <w:tc>
          <w:tcPr>
            <w:tcW w:type="dxa" w:w="3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sz w:val="20"/>
                <w:szCs w:val="20"/>
              </w:rPr>
              <w:t xml:space="preserve">Theoretical BER (16-QAM AWGN)</w:t>
            </w:r>
          </w:p>
        </w:tc>
        <w:tc>
          <w:tcPr>
            <w:tcW w:type="dxa" w:w="56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sz w:val="20"/>
                <w:szCs w:val="20"/>
              </w:rPr>
              <w:t xml:space="preserve">4.47 × 10⁻³</w:t>
            </w:r>
          </w:p>
        </w:tc>
      </w:tr>
      <w:tr>
        <w:tc>
          <w:tcPr>
            <w:tcW w:type="dxa" w:w="3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sz w:val="20"/>
                <w:szCs w:val="20"/>
              </w:rPr>
              <w:t xml:space="preserve">Spectral efficiency</w:t>
            </w:r>
          </w:p>
        </w:tc>
        <w:tc>
          <w:tcPr>
            <w:tcW w:type="dxa" w:w="56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sz w:val="20"/>
                <w:szCs w:val="20"/>
              </w:rPr>
              <w:t xml:space="preserve">5.03 bps/Hz</w:t>
            </w:r>
          </w:p>
        </w:tc>
      </w:tr>
      <w:tr>
        <w:tc>
          <w:tcPr>
            <w:tcW w:type="dxa" w:w="3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sz w:val="20"/>
                <w:szCs w:val="20"/>
              </w:rPr>
              <w:t xml:space="preserve">Data subcarrier ratio</w:t>
            </w:r>
          </w:p>
        </w:tc>
        <w:tc>
          <w:tcPr>
            <w:tcW w:type="dxa" w:w="56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sz w:val="20"/>
                <w:szCs w:val="20"/>
              </w:rPr>
              <w:t xml:space="preserve">150/200 = 0.75</w:t>
            </w:r>
          </w:p>
        </w:tc>
      </w:tr>
      <w:tr>
        <w:tc>
          <w:tcPr>
            <w:tcW w:type="dxa" w:w="3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sz w:val="20"/>
                <w:szCs w:val="20"/>
              </w:rPr>
              <w:t xml:space="preserve">Channel estimation method</w:t>
            </w:r>
          </w:p>
        </w:tc>
        <w:tc>
          <w:tcPr>
            <w:tcW w:type="dxa" w:w="56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sz w:val="20"/>
                <w:szCs w:val="20"/>
              </w:rPr>
              <w:t xml:space="preserve">LS with dense pilots</w:t>
            </w:r>
          </w:p>
        </w:tc>
      </w:tr>
      <w:tr>
        <w:tc>
          <w:tcPr>
            <w:tcW w:type="dxa" w:w="3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sz w:val="20"/>
                <w:szCs w:val="20"/>
              </w:rPr>
              <w:t xml:space="preserve">Equalization</w:t>
            </w:r>
          </w:p>
        </w:tc>
        <w:tc>
          <w:tcPr>
            <w:tcW w:type="dxa" w:w="56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sz w:val="20"/>
                <w:szCs w:val="20"/>
              </w:rPr>
              <w:t xml:space="preserve">Zero-forcing</w:t>
            </w:r>
          </w:p>
        </w:tc>
      </w:tr>
    </w:tbl>
    <w:p>
      <w:pPr>
        <w:spacing w:after="100"/>
      </w:pPr>
      <w:r>
        <w:t xml:space="preserve"/>
      </w:r>
    </w:p>
    <w:p>
      <w:pPr>
        <w:pStyle w:val="Heading2"/>
        <w:spacing w:after="180" w:before="240"/>
      </w:pPr>
      <w:r>
        <w:rPr>
          <w:b/>
          <w:bCs/>
          <w:sz w:val="28"/>
          <w:szCs w:val="28"/>
        </w:rPr>
        <w:t xml:space="preserve">7.4 CRB and Detection Probability</w:t>
      </w:r>
    </w:p>
    <w:p>
      <w:pPr>
        <w:spacing w:after="120" w:line="360"/>
        <w:jc w:val="both"/>
      </w:pPr>
      <w:r>
        <w:t xml:space="preserve">Table 7.4 lists the CRB values at the 15 dB operating point. These values represent the fundamental performance limit of any unbiased estimator and provide a benchmark against which the simulated RMSE can be compared.</w:t>
      </w:r>
    </w:p>
    <w:p>
      <w:pPr>
        <w:spacing w:after="100"/>
      </w:pPr>
      <w:r>
        <w:t xml:space="preserve"/>
      </w:r>
    </w:p>
    <w:p>
      <w:pPr>
        <w:rPr>
          <w:b/>
          <w:bCs/>
          <w:sz w:val="22"/>
          <w:szCs w:val="22"/>
        </w:rPr>
      </w:pPr>
      <w:r>
        <w:rPr>
          <w:b/>
          <w:bCs/>
          <w:sz w:val="22"/>
          <w:szCs w:val="22"/>
        </w:rPr>
        <w:t xml:space="preserve">Table 7.4: CRB Values at 15 dB SNR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5660"/>
      </w:tblGrid>
      <w:tr>
        <w:trPr>
          <w:tblHeader/>
        </w:trPr>
        <w:tc>
          <w:tcPr>
            <w:tcW w:type="dxa" w:w="3700"/>
            <w:tcBorders>
              <w:top w:val="single" w:color="999999" w:sz="4"/>
              <w:left w:val="single" w:color="999999" w:sz="4"/>
              <w:bottom w:val="single" w:color="999999" w:sz="4"/>
              <w:right w:val="single" w:color="999999" w:sz="4"/>
            </w:tcBorders>
            <w:shd w:fill="2E75B6" w:val="clear"/>
            <w:tcMar>
              <w:top w:type="dxa" w:w="100"/>
              <w:left w:type="dxa" w:w="120"/>
              <w:bottom w:type="dxa" w:w="100"/>
              <w:right w:type="dxa" w:w="120"/>
            </w:tcMar>
          </w:tcPr>
          <w:p>
            <w:r>
              <w:rPr>
                <w:b/>
                <w:bCs/>
                <w:color w:val="FFFFFF"/>
                <w:sz w:val="22"/>
                <w:szCs w:val="22"/>
              </w:rPr>
              <w:t xml:space="preserve">Metric</w:t>
            </w:r>
          </w:p>
        </w:tc>
        <w:tc>
          <w:tcPr>
            <w:tcW w:type="dxa" w:w="5660"/>
            <w:tcBorders>
              <w:top w:val="single" w:color="999999" w:sz="4"/>
              <w:left w:val="single" w:color="999999" w:sz="4"/>
              <w:bottom w:val="single" w:color="999999" w:sz="4"/>
              <w:right w:val="single" w:color="999999" w:sz="4"/>
            </w:tcBorders>
            <w:shd w:fill="2E75B6" w:val="clear"/>
            <w:tcMar>
              <w:top w:type="dxa" w:w="100"/>
              <w:left w:type="dxa" w:w="120"/>
              <w:bottom w:type="dxa" w:w="100"/>
              <w:right w:type="dxa" w:w="120"/>
            </w:tcMar>
          </w:tcPr>
          <w:p>
            <w:r>
              <w:rPr>
                <w:b/>
                <w:bCs/>
                <w:color w:val="FFFFFF"/>
                <w:sz w:val="22"/>
                <w:szCs w:val="22"/>
              </w:rPr>
              <w:t xml:space="preserve">Value</w:t>
            </w:r>
          </w:p>
        </w:tc>
      </w:tr>
      <w:tr>
        <w:tc>
          <w:tcPr>
            <w:tcW w:type="dxa" w:w="3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sz w:val="20"/>
                <w:szCs w:val="20"/>
              </w:rPr>
              <w:t xml:space="preserve">Effective bandwidth (B_eff)</w:t>
            </w:r>
          </w:p>
        </w:tc>
        <w:tc>
          <w:tcPr>
            <w:tcW w:type="dxa" w:w="56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sz w:val="20"/>
                <w:szCs w:val="20"/>
              </w:rPr>
              <w:t xml:space="preserve">22.9 MHz</w:t>
            </w:r>
          </w:p>
        </w:tc>
      </w:tr>
      <w:tr>
        <w:tc>
          <w:tcPr>
            <w:tcW w:type="dxa" w:w="3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sz w:val="20"/>
                <w:szCs w:val="20"/>
              </w:rPr>
              <w:t xml:space="preserve">Effective duration (T_eff)</w:t>
            </w:r>
          </w:p>
        </w:tc>
        <w:tc>
          <w:tcPr>
            <w:tcW w:type="dxa" w:w="56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sz w:val="20"/>
                <w:szCs w:val="20"/>
              </w:rPr>
              <w:t xml:space="preserve">0.21 ms</w:t>
            </w:r>
          </w:p>
        </w:tc>
      </w:tr>
      <w:tr>
        <w:tc>
          <w:tcPr>
            <w:tcW w:type="dxa" w:w="3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sz w:val="20"/>
                <w:szCs w:val="20"/>
              </w:rPr>
              <w:t xml:space="preserve">Radar SNR (after BF, RCS)</w:t>
            </w:r>
          </w:p>
        </w:tc>
        <w:tc>
          <w:tcPr>
            <w:tcW w:type="dxa" w:w="56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sz w:val="20"/>
                <w:szCs w:val="20"/>
              </w:rPr>
              <w:t xml:space="preserve">10.4 dB</w:t>
            </w:r>
          </w:p>
        </w:tc>
      </w:tr>
      <w:tr>
        <w:tc>
          <w:tcPr>
            <w:tcW w:type="dxa" w:w="3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sz w:val="20"/>
                <w:szCs w:val="20"/>
              </w:rPr>
              <w:t xml:space="preserve">CRB Range</w:t>
            </w:r>
          </w:p>
        </w:tc>
        <w:tc>
          <w:tcPr>
            <w:tcW w:type="dxa" w:w="56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sz w:val="20"/>
                <w:szCs w:val="20"/>
              </w:rPr>
              <w:t xml:space="preserve">0.22 m</w:t>
            </w:r>
          </w:p>
        </w:tc>
      </w:tr>
      <w:tr>
        <w:tc>
          <w:tcPr>
            <w:tcW w:type="dxa" w:w="3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sz w:val="20"/>
                <w:szCs w:val="20"/>
              </w:rPr>
              <w:t xml:space="preserve">CRB Velocity</w:t>
            </w:r>
          </w:p>
        </w:tc>
        <w:tc>
          <w:tcPr>
            <w:tcW w:type="dxa" w:w="56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sz w:val="20"/>
                <w:szCs w:val="20"/>
              </w:rPr>
              <w:t xml:space="preserve">0.86 m/s</w:t>
            </w:r>
          </w:p>
        </w:tc>
      </w:tr>
      <w:tr>
        <w:tc>
          <w:tcPr>
            <w:tcW w:type="dxa" w:w="3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sz w:val="20"/>
                <w:szCs w:val="20"/>
              </w:rPr>
              <w:t xml:space="preserve">P_d Swerling 0</w:t>
            </w:r>
          </w:p>
        </w:tc>
        <w:tc>
          <w:tcPr>
            <w:tcW w:type="dxa" w:w="56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sz w:val="20"/>
                <w:szCs w:val="20"/>
              </w:rPr>
              <w:t xml:space="preserve">0.997</w:t>
            </w:r>
          </w:p>
        </w:tc>
      </w:tr>
      <w:tr>
        <w:tc>
          <w:tcPr>
            <w:tcW w:type="dxa" w:w="3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sz w:val="20"/>
                <w:szCs w:val="20"/>
              </w:rPr>
              <w:t xml:space="preserve">P_d Swerling I</w:t>
            </w:r>
          </w:p>
        </w:tc>
        <w:tc>
          <w:tcPr>
            <w:tcW w:type="dxa" w:w="56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sz w:val="20"/>
                <w:szCs w:val="20"/>
              </w:rPr>
              <w:t xml:space="preserve">0.157</w:t>
            </w:r>
          </w:p>
        </w:tc>
      </w:tr>
      <w:tr>
        <w:tc>
          <w:tcPr>
            <w:tcW w:type="dxa" w:w="3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sz w:val="20"/>
                <w:szCs w:val="20"/>
              </w:rPr>
              <w:t xml:space="preserve">P_d Swerling III</w:t>
            </w:r>
          </w:p>
        </w:tc>
        <w:tc>
          <w:tcPr>
            <w:tcW w:type="dxa" w:w="56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sz w:val="20"/>
                <w:szCs w:val="20"/>
              </w:rPr>
              <w:t xml:space="preserve">0.766</w:t>
            </w:r>
          </w:p>
        </w:tc>
      </w:tr>
    </w:tbl>
    <w:p>
      <w:pPr>
        <w:spacing w:after="100"/>
      </w:pPr>
      <w:r>
        <w:t xml:space="preserve"/>
      </w:r>
    </w:p>
    <w:p>
      <w:pPr>
        <w:pStyle w:val="Heading2"/>
        <w:spacing w:after="180" w:before="240"/>
      </w:pPr>
      <w:r>
        <w:rPr>
          <w:b/>
          <w:bCs/>
          <w:sz w:val="28"/>
          <w:szCs w:val="28"/>
        </w:rPr>
        <w:t xml:space="preserve">7.5 Pareto Optimal Operating Points</w:t>
      </w:r>
    </w:p>
    <w:p>
      <w:pPr>
        <w:spacing w:after="120" w:line="360"/>
        <w:jc w:val="both"/>
      </w:pPr>
      <w:r>
        <w:t xml:space="preserve">The Pareto surface analysis identifies the optimal pilot ratio and ISAC weight combinations. Table 7.5 summarizes the key operating points found by sweeping the (λ, α) parameter space.</w:t>
      </w:r>
    </w:p>
    <w:p>
      <w:pPr>
        <w:spacing w:after="100"/>
      </w:pPr>
      <w:r>
        <w:t xml:space="preserve"/>
      </w:r>
    </w:p>
    <w:p>
      <w:pPr>
        <w:rPr>
          <w:b/>
          <w:bCs/>
          <w:sz w:val="22"/>
          <w:szCs w:val="22"/>
        </w:rPr>
      </w:pPr>
      <w:r>
        <w:rPr>
          <w:b/>
          <w:bCs/>
          <w:sz w:val="22"/>
          <w:szCs w:val="22"/>
        </w:rPr>
        <w:t xml:space="preserve">Table 7.5: Pareto Optimal Operating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2400"/>
        <w:gridCol w:w="1460"/>
      </w:tblGrid>
      <w:tr>
        <w:trPr>
          <w:tblHeader/>
        </w:trPr>
        <w:tc>
          <w:tcPr>
            <w:tcW w:type="dxa" w:w="3000"/>
            <w:tcBorders>
              <w:top w:val="single" w:color="999999" w:sz="4"/>
              <w:left w:val="single" w:color="999999" w:sz="4"/>
              <w:bottom w:val="single" w:color="999999" w:sz="4"/>
              <w:right w:val="single" w:color="999999" w:sz="4"/>
            </w:tcBorders>
            <w:shd w:fill="2E75B6" w:val="clear"/>
            <w:tcMar>
              <w:top w:type="dxa" w:w="100"/>
              <w:left w:type="dxa" w:w="120"/>
              <w:bottom w:type="dxa" w:w="100"/>
              <w:right w:type="dxa" w:w="120"/>
            </w:tcMar>
          </w:tcPr>
          <w:p>
            <w:r>
              <w:rPr>
                <w:b/>
                <w:bCs/>
                <w:color w:val="FFFFFF"/>
                <w:sz w:val="22"/>
                <w:szCs w:val="22"/>
              </w:rPr>
              <w:t xml:space="preserve">Operating Mode</w:t>
            </w:r>
          </w:p>
        </w:tc>
        <w:tc>
          <w:tcPr>
            <w:tcW w:type="dxa" w:w="2500"/>
            <w:tcBorders>
              <w:top w:val="single" w:color="999999" w:sz="4"/>
              <w:left w:val="single" w:color="999999" w:sz="4"/>
              <w:bottom w:val="single" w:color="999999" w:sz="4"/>
              <w:right w:val="single" w:color="999999" w:sz="4"/>
            </w:tcBorders>
            <w:shd w:fill="2E75B6" w:val="clear"/>
            <w:tcMar>
              <w:top w:type="dxa" w:w="100"/>
              <w:left w:type="dxa" w:w="120"/>
              <w:bottom w:type="dxa" w:w="100"/>
              <w:right w:type="dxa" w:w="120"/>
            </w:tcMar>
          </w:tcPr>
          <w:p>
            <w:r>
              <w:rPr>
                <w:b/>
                <w:bCs/>
                <w:color w:val="FFFFFF"/>
                <w:sz w:val="22"/>
                <w:szCs w:val="22"/>
              </w:rPr>
              <w:t xml:space="preserve">λ (ISAC weight)</w:t>
            </w:r>
          </w:p>
        </w:tc>
        <w:tc>
          <w:tcPr>
            <w:tcW w:type="dxa" w:w="2400"/>
            <w:tcBorders>
              <w:top w:val="single" w:color="999999" w:sz="4"/>
              <w:left w:val="single" w:color="999999" w:sz="4"/>
              <w:bottom w:val="single" w:color="999999" w:sz="4"/>
              <w:right w:val="single" w:color="999999" w:sz="4"/>
            </w:tcBorders>
            <w:shd w:fill="2E75B6" w:val="clear"/>
            <w:tcMar>
              <w:top w:type="dxa" w:w="100"/>
              <w:left w:type="dxa" w:w="120"/>
              <w:bottom w:type="dxa" w:w="100"/>
              <w:right w:type="dxa" w:w="120"/>
            </w:tcMar>
          </w:tcPr>
          <w:p>
            <w:r>
              <w:rPr>
                <w:b/>
                <w:bCs/>
                <w:color w:val="FFFFFF"/>
                <w:sz w:val="22"/>
                <w:szCs w:val="22"/>
              </w:rPr>
              <w:t xml:space="preserve">α (Pilot ratio)</w:t>
            </w:r>
          </w:p>
        </w:tc>
        <w:tc>
          <w:tcPr>
            <w:tcW w:type="dxa" w:w="1460"/>
            <w:tcBorders>
              <w:top w:val="single" w:color="999999" w:sz="4"/>
              <w:left w:val="single" w:color="999999" w:sz="4"/>
              <w:bottom w:val="single" w:color="999999" w:sz="4"/>
              <w:right w:val="single" w:color="999999" w:sz="4"/>
            </w:tcBorders>
            <w:shd w:fill="2E75B6" w:val="clear"/>
            <w:tcMar>
              <w:top w:type="dxa" w:w="100"/>
              <w:left w:type="dxa" w:w="120"/>
              <w:bottom w:type="dxa" w:w="100"/>
              <w:right w:type="dxa" w:w="120"/>
            </w:tcMar>
          </w:tcPr>
          <w:p>
            <w:r>
              <w:rPr>
                <w:b/>
                <w:bCs/>
                <w:color w:val="FFFFFF"/>
                <w:sz w:val="22"/>
                <w:szCs w:val="22"/>
              </w:rPr>
              <w:t xml:space="preserve">Utility U</w:t>
            </w:r>
          </w:p>
        </w:tc>
      </w:tr>
      <w:tr>
        <w:tc>
          <w:tcPr>
            <w:tcW w:type="dxa" w:w="30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sz w:val="20"/>
                <w:szCs w:val="20"/>
              </w:rPr>
              <w:t xml:space="preserve">Pure Communication</w:t>
            </w:r>
          </w:p>
        </w:tc>
        <w:tc>
          <w:tcPr>
            <w:tcW w:type="dxa" w:w="2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sz w:val="20"/>
                <w:szCs w:val="20"/>
              </w:rPr>
              <w:t xml:space="preserve">1.00</w:t>
            </w:r>
          </w:p>
        </w:tc>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sz w:val="20"/>
                <w:szCs w:val="20"/>
              </w:rPr>
              <w:t xml:space="preserve">0.05</w:t>
            </w:r>
          </w:p>
        </w:tc>
        <w:tc>
          <w:tcPr>
            <w:tcW w:type="dxa" w:w="14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sz w:val="20"/>
                <w:szCs w:val="20"/>
              </w:rPr>
              <w:t xml:space="preserve">≈0.95</w:t>
            </w:r>
          </w:p>
        </w:tc>
      </w:tr>
      <w:tr>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sz w:val="20"/>
                <w:szCs w:val="20"/>
              </w:rPr>
              <w:t xml:space="preserve">Pure Sensing</w:t>
            </w:r>
          </w:p>
        </w:tc>
        <w:tc>
          <w:tcPr>
            <w:tcW w:type="dxa" w:w="2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sz w:val="20"/>
                <w:szCs w:val="20"/>
              </w:rPr>
              <w:t xml:space="preserve">0.00</w:t>
            </w:r>
          </w:p>
        </w:tc>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sz w:val="20"/>
                <w:szCs w:val="20"/>
              </w:rPr>
              <w:t xml:space="preserve">0.95</w:t>
            </w:r>
          </w:p>
        </w:tc>
        <w:tc>
          <w:tcPr>
            <w:tcW w:type="dxa" w:w="14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sz w:val="20"/>
                <w:szCs w:val="20"/>
              </w:rPr>
              <w:t xml:space="preserve">≈0.95</w:t>
            </w:r>
          </w:p>
        </w:tc>
      </w:tr>
      <w:tr>
        <w:tc>
          <w:tcPr>
            <w:tcW w:type="dxa" w:w="30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sz w:val="20"/>
                <w:szCs w:val="20"/>
              </w:rPr>
              <w:t xml:space="preserve">Balanced (Knee Point)</w:t>
            </w:r>
          </w:p>
        </w:tc>
        <w:tc>
          <w:tcPr>
            <w:tcW w:type="dxa" w:w="2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sz w:val="20"/>
                <w:szCs w:val="20"/>
              </w:rPr>
              <w:t xml:space="preserve">0.50</w:t>
            </w:r>
          </w:p>
        </w:tc>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sz w:val="20"/>
                <w:szCs w:val="20"/>
              </w:rPr>
              <w:t xml:space="preserve">0.20</w:t>
            </w:r>
          </w:p>
        </w:tc>
        <w:tc>
          <w:tcPr>
            <w:tcW w:type="dxa" w:w="14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sz w:val="20"/>
                <w:szCs w:val="20"/>
              </w:rPr>
              <w:t xml:space="preserve">≈0.74</w:t>
            </w:r>
          </w:p>
        </w:tc>
      </w:tr>
      <w:tr>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sz w:val="20"/>
                <w:szCs w:val="20"/>
              </w:rPr>
              <w:t xml:space="preserve">Sensing-Heavy</w:t>
            </w:r>
          </w:p>
        </w:tc>
        <w:tc>
          <w:tcPr>
            <w:tcW w:type="dxa" w:w="2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sz w:val="20"/>
                <w:szCs w:val="20"/>
              </w:rPr>
              <w:t xml:space="preserve">0.20</w:t>
            </w:r>
          </w:p>
        </w:tc>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sz w:val="20"/>
                <w:szCs w:val="20"/>
              </w:rPr>
              <w:t xml:space="preserve">0.50</w:t>
            </w:r>
          </w:p>
        </w:tc>
        <w:tc>
          <w:tcPr>
            <w:tcW w:type="dxa" w:w="14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sz w:val="20"/>
                <w:szCs w:val="20"/>
              </w:rPr>
              <w:t xml:space="preserve">≈0.85</w:t>
            </w:r>
          </w:p>
        </w:tc>
      </w:tr>
      <w:tr>
        <w:tc>
          <w:tcPr>
            <w:tcW w:type="dxa" w:w="30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sz w:val="20"/>
                <w:szCs w:val="20"/>
              </w:rPr>
              <w:t xml:space="preserve">Comm-Heavy</w:t>
            </w:r>
          </w:p>
        </w:tc>
        <w:tc>
          <w:tcPr>
            <w:tcW w:type="dxa" w:w="2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sz w:val="20"/>
                <w:szCs w:val="20"/>
              </w:rPr>
              <w:t xml:space="preserve">0.80</w:t>
            </w:r>
          </w:p>
        </w:tc>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sz w:val="20"/>
                <w:szCs w:val="20"/>
              </w:rPr>
              <w:t xml:space="preserve">0.15</w:t>
            </w:r>
          </w:p>
        </w:tc>
        <w:tc>
          <w:tcPr>
            <w:tcW w:type="dxa" w:w="14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sz w:val="20"/>
                <w:szCs w:val="20"/>
              </w:rPr>
              <w:t xml:space="preserve">≈0.88</w:t>
            </w:r>
          </w:p>
        </w:tc>
      </w:tr>
    </w:tbl>
    <w:p>
      <w:pPr>
        <w:spacing w:after="100"/>
      </w:pPr>
      <w:r>
        <w:t xml:space="preserve"/>
      </w:r>
    </w:p>
    <w:p>
      <w:pPr>
        <w:spacing w:after="120" w:line="360"/>
        <w:jc w:val="both"/>
      </w:pPr>
      <w:r>
        <w:t xml:space="preserve">The knee point at α* = 0.20 with λ* = 0.50 is recommended as the practical operating point because it provides a balanced compromise between communication throughput (75% data subcarriers retained) and sensing accuracy (sufficient pilot density for radar detection at the operating SNR). At this point, the ISAC system delivers approximately 75% of pure-communication SE and 70% of pure-sensing quality, validating the dual-functional design philosophy.</w:t>
      </w:r>
    </w:p>
    <w:p>
      <w:pPr>
        <w:pStyle w:val="Heading2"/>
        <w:spacing w:after="180" w:before="240"/>
      </w:pPr>
      <w:r>
        <w:rPr>
          <w:b/>
          <w:bCs/>
          <w:sz w:val="28"/>
          <w:szCs w:val="28"/>
        </w:rPr>
        <w:t xml:space="preserve">7.6 Discussion</w:t>
      </w:r>
    </w:p>
    <w:p>
      <w:pPr>
        <w:spacing w:after="120" w:line="360"/>
        <w:jc w:val="both"/>
      </w:pPr>
      <w:r>
        <w:t xml:space="preserve">The simulation results validate three key design principles. First, the dense pilot architecture (placing pilots on all active subcarriers in pilot symbols) is essential for achieving acceptable radar SINR; sparse pilot designs commonly used in pure communication systems are inadequate for ISAC. Second, the per-subcarrier noise definition is critical for correct system simulation; using total-power SNR results in unrealistically poor performance. Third, the Pareto framework reveals that the trade-off between communication and sensing is not severe at moderate operating points, suggesting that practical ISAC systems can achieve good performance in both functions simultaneously.</w:t>
      </w:r>
    </w:p>
    <w:p>
      <w:pPr>
        <w:spacing w:after="120" w:line="360"/>
        <w:jc w:val="both"/>
      </w:pPr>
      <w:r>
        <w:t xml:space="preserve">Limitations of the present framework include the assumption of perfect angular knowledge for sensing beams, the use of a simplified Rayleigh fading model that does not capture mmWave-specific effects (such as blockage), and the absence of explicit hybrid beamforming with phase shifters. These limitations point to clear directions for future enhancement.</w:t>
      </w:r>
    </w:p>
    <w:p>
      <w:r>
        <w:br w:type="page"/>
      </w:r>
    </w:p>
    <w:p>
      <w:pPr>
        <w:pStyle w:val="Heading1"/>
        <w:spacing w:after="240" w:before="360"/>
      </w:pPr>
      <w:r>
        <w:rPr>
          <w:b/>
          <w:bCs/>
          <w:sz w:val="32"/>
          <w:szCs w:val="32"/>
        </w:rPr>
        <w:t xml:space="preserve">Chapter 8: Conclusion and Future Work</w:t>
      </w:r>
    </w:p>
    <w:p>
      <w:pPr>
        <w:pStyle w:val="Heading2"/>
        <w:spacing w:after="180" w:before="240"/>
      </w:pPr>
      <w:r>
        <w:rPr>
          <w:b/>
          <w:bCs/>
          <w:sz w:val="28"/>
          <w:szCs w:val="28"/>
        </w:rPr>
        <w:t xml:space="preserve">8.1 Summary</w:t>
      </w:r>
    </w:p>
    <w:p>
      <w:pPr>
        <w:spacing w:after="120" w:line="360"/>
        <w:jc w:val="both"/>
      </w:pPr>
      <w:r>
        <w:t xml:space="preserve">This project has presented a complete end-to-end simulation framework for OFDM-based Integrated Sensing and Communication operating at 28 GHz mmWave with 100 MHz bandwidth and 8×4 MIMO. The framework integrates nine modular sections covering system parameters, MIMO beamforming, OFDM-ISAC transmitter, dual-path channel modeling, radar and communication receivers, CRB analysis, detection probability under Swerling models, and Pareto trade-off optimization.</w:t>
      </w:r>
    </w:p>
    <w:p>
      <w:pPr>
        <w:spacing w:after="120" w:line="360"/>
        <w:jc w:val="both"/>
      </w:pPr>
      <w:r>
        <w:t xml:space="preserve">Key results at the 15 dB operating SNR include: radar SINR of 18.5 dB with successful detection of all three targets at sub-2 m RMSE; communication spectral efficiency of 5.03 bps/Hz with BER approaching the theoretical 16-QAM curve; CRB of 0.22 m for range and 0.86 m/s for velocity; and a Pareto knee point at α* = 0.20 and λ* = 0.50 that achieves balanced operation between sensing and communication.</w:t>
      </w:r>
    </w:p>
    <w:p>
      <w:pPr>
        <w:spacing w:after="120" w:line="360"/>
        <w:jc w:val="both"/>
      </w:pPr>
      <w:r>
        <w:t xml:space="preserve">These results demonstrate that joint OFDM-ISAC waveform design is feasible at the parameters relevant to 6G networks, and that a tunable trade-off can be realized through pilot ratio and power allocation. The framework is fully reproducible, modular, and serves as a foundation for further research.</w:t>
      </w:r>
    </w:p>
    <w:p>
      <w:pPr>
        <w:pStyle w:val="Heading2"/>
        <w:spacing w:after="180" w:before="240"/>
      </w:pPr>
      <w:r>
        <w:rPr>
          <w:b/>
          <w:bCs/>
          <w:sz w:val="28"/>
          <w:szCs w:val="28"/>
        </w:rPr>
        <w:t xml:space="preserve">8.2 Contributions</w:t>
      </w:r>
    </w:p>
    <w:p>
      <w:pPr>
        <w:spacing w:after="120" w:line="360"/>
        <w:jc w:val="both"/>
      </w:pPr>
      <w:r>
        <w:t xml:space="preserve">The principal contributions of this project are:</w:t>
      </w:r>
    </w:p>
    <w:p>
      <w:pPr>
        <w:pStyle w:val="ListParagraph"/>
        <w:numPr>
          <w:ilvl w:val="0"/>
          <w:numId w:val="3"/>
        </w:numPr>
        <w:spacing w:after="100" w:line="320"/>
      </w:pPr>
      <w:r>
        <w:t xml:space="preserve">Development of a complete, modular Python/Colab implementation of an OFDM-ISAC system at 28 GHz with realistic 6G parameters.</w:t>
      </w:r>
    </w:p>
    <w:p>
      <w:pPr>
        <w:pStyle w:val="ListParagraph"/>
        <w:numPr>
          <w:ilvl w:val="0"/>
          <w:numId w:val="3"/>
        </w:numPr>
        <w:spacing w:after="100" w:line="320"/>
      </w:pPr>
      <w:r>
        <w:t xml:space="preserve">Implementation of dense-pilot transmitter design that overcomes the radar SINR limitation of sparse pilot architectures.</w:t>
      </w:r>
    </w:p>
    <w:p>
      <w:pPr>
        <w:pStyle w:val="ListParagraph"/>
        <w:numPr>
          <w:ilvl w:val="0"/>
          <w:numId w:val="3"/>
        </w:numPr>
        <w:spacing w:after="100" w:line="320"/>
      </w:pPr>
      <w:r>
        <w:t xml:space="preserve">Validated radar receiver with range-Doppler processing, Hann windowing, and CA-CFAR detection achieving sub-resolution range accuracy.</w:t>
      </w:r>
    </w:p>
    <w:p>
      <w:pPr>
        <w:pStyle w:val="ListParagraph"/>
        <w:numPr>
          <w:ilvl w:val="0"/>
          <w:numId w:val="3"/>
        </w:numPr>
        <w:spacing w:after="100" w:line="320"/>
      </w:pPr>
      <w:r>
        <w:t xml:space="preserve">Communication receiver with least-squares channel estimation and zero-forcing equalization that closely approaches the theoretical BER curve.</w:t>
      </w:r>
    </w:p>
    <w:p>
      <w:pPr>
        <w:pStyle w:val="ListParagraph"/>
        <w:numPr>
          <w:ilvl w:val="0"/>
          <w:numId w:val="3"/>
        </w:numPr>
        <w:spacing w:after="100" w:line="320"/>
      </w:pPr>
      <w:r>
        <w:t xml:space="preserve">Joint Pareto trade-off framework that identifies optimal operating points by simultaneously sweeping pilot ratio α and ISAC weight λ.</w:t>
      </w:r>
    </w:p>
    <w:p>
      <w:pPr>
        <w:pStyle w:val="ListParagraph"/>
        <w:numPr>
          <w:ilvl w:val="0"/>
          <w:numId w:val="3"/>
        </w:numPr>
        <w:spacing w:after="100" w:line="320"/>
      </w:pPr>
      <w:r>
        <w:t xml:space="preserve">Comprehensive 8-panel visualization that summarizes the complete system performance in a single figure.</w:t>
      </w:r>
    </w:p>
    <w:p>
      <w:pPr>
        <w:pStyle w:val="Heading2"/>
        <w:spacing w:after="180" w:before="240"/>
      </w:pPr>
      <w:r>
        <w:rPr>
          <w:b/>
          <w:bCs/>
          <w:sz w:val="28"/>
          <w:szCs w:val="28"/>
        </w:rPr>
        <w:t xml:space="preserve">8.3 Future Work</w:t>
      </w:r>
    </w:p>
    <w:p>
      <w:pPr>
        <w:spacing w:after="120" w:line="360"/>
        <w:jc w:val="both"/>
      </w:pPr>
      <w:r>
        <w:t xml:space="preserve">Several directions are identified for extending this work:</w:t>
      </w:r>
    </w:p>
    <w:p>
      <w:pPr>
        <w:pStyle w:val="ListParagraph"/>
        <w:numPr>
          <w:ilvl w:val="0"/>
          <w:numId w:val="2"/>
        </w:numPr>
        <w:spacing w:after="100" w:line="320"/>
      </w:pPr>
      <w:r>
        <w:t xml:space="preserve">Hybrid Beamforming: Replacing the fully-digital beamformer with a hybrid analog-digital architecture using phase shifters, which is more practical for mmWave deployment.</w:t>
      </w:r>
    </w:p>
    <w:p>
      <w:pPr>
        <w:pStyle w:val="ListParagraph"/>
        <w:numPr>
          <w:ilvl w:val="0"/>
          <w:numId w:val="2"/>
        </w:numPr>
        <w:spacing w:after="100" w:line="320"/>
      </w:pPr>
      <w:r>
        <w:t xml:space="preserve">Multi-User Communication: Extending the system to serve multiple communication users via space-division multiplexing while simultaneously sensing multiple targets.</w:t>
      </w:r>
    </w:p>
    <w:p>
      <w:pPr>
        <w:pStyle w:val="ListParagraph"/>
        <w:numPr>
          <w:ilvl w:val="0"/>
          <w:numId w:val="2"/>
        </w:numPr>
        <w:spacing w:after="100" w:line="320"/>
      </w:pPr>
      <w:r>
        <w:t xml:space="preserve">Realistic mmWave Channel: Replacing the Rayleigh fading model with a Saleh-Valenzuela cluster-based channel that captures mmWave-specific propagation effects including blockage and angular spread.</w:t>
      </w:r>
    </w:p>
    <w:p>
      <w:pPr>
        <w:pStyle w:val="ListParagraph"/>
        <w:numPr>
          <w:ilvl w:val="0"/>
          <w:numId w:val="2"/>
        </w:numPr>
        <w:spacing w:after="100" w:line="320"/>
      </w:pPr>
      <w:r>
        <w:t xml:space="preserve">Machine Learning Integration: Applying deep learning techniques for channel estimation, target detection, and beamforming optimization to handle the complex high-dimensional optimization landscape.</w:t>
      </w:r>
    </w:p>
    <w:p>
      <w:pPr>
        <w:pStyle w:val="ListParagraph"/>
        <w:numPr>
          <w:ilvl w:val="0"/>
          <w:numId w:val="2"/>
        </w:numPr>
        <w:spacing w:after="100" w:line="320"/>
      </w:pPr>
      <w:r>
        <w:t xml:space="preserve">Sensing-Assisted Communication: Implementing predictive beamforming where target tracking information from the radar function is used to adapt the communication beam direction in high-mobility scenarios.</w:t>
      </w:r>
    </w:p>
    <w:p>
      <w:pPr>
        <w:pStyle w:val="ListParagraph"/>
        <w:numPr>
          <w:ilvl w:val="0"/>
          <w:numId w:val="2"/>
        </w:numPr>
        <w:spacing w:after="100" w:line="320"/>
      </w:pPr>
      <w:r>
        <w:t xml:space="preserve">Hardware Validation: Implementing the framework on a software-defined radio platform such as USRP for over-the-air validation of the simulation results.</w:t>
      </w:r>
    </w:p>
    <w:p>
      <w:r>
        <w:br w:type="page"/>
      </w:r>
    </w:p>
    <w:p>
      <w:pPr>
        <w:pStyle w:val="Heading1"/>
        <w:spacing w:after="240" w:before="360"/>
      </w:pPr>
      <w:r>
        <w:rPr>
          <w:b/>
          <w:bCs/>
          <w:sz w:val="32"/>
          <w:szCs w:val="32"/>
        </w:rPr>
        <w:t xml:space="preserve">References</w:t>
      </w:r>
    </w:p>
    <w:p>
      <w:pPr>
        <w:spacing w:after="180" w:line="320"/>
        <w:ind w:left="360" w:hanging="360"/>
      </w:pPr>
      <w:r>
        <w:rPr>
          <w:sz w:val="22"/>
          <w:szCs w:val="22"/>
        </w:rPr>
        <w:t xml:space="preserve">[1] C. Sturm and W. Wiesbeck, "Waveform design and signal processing aspects for fusion of wireless communications and radar sensing," Proceedings of the IEEE, vol. 99, no. 7, pp. 1236–1259, July 2011.</w:t>
      </w:r>
    </w:p>
    <w:p>
      <w:pPr>
        <w:spacing w:after="180" w:line="320"/>
        <w:ind w:left="360" w:hanging="360"/>
      </w:pPr>
      <w:r>
        <w:rPr>
          <w:sz w:val="22"/>
          <w:szCs w:val="22"/>
        </w:rPr>
        <w:t xml:space="preserve">[2] J. A. Zhang, F. Liu, C. Masouros, R. W. Heath Jr., Z. Feng, L. Zheng, and A. Petropulu, "An overview of signal processing techniques for joint communication and radar sensing," IEEE Journal of Selected Topics in Signal Processing, vol. 15, no. 6, pp. 1295–1315, November 2021.</w:t>
      </w:r>
    </w:p>
    <w:p>
      <w:pPr>
        <w:spacing w:after="180" w:line="320"/>
        <w:ind w:left="360" w:hanging="360"/>
      </w:pPr>
      <w:r>
        <w:rPr>
          <w:sz w:val="22"/>
          <w:szCs w:val="22"/>
        </w:rPr>
        <w:t xml:space="preserve">[3] F. Liu, Y.-F. Liu, A. Li, C. Masouros, and Y. C. Eldar, "Cramér-Rao Bound optimization for joint radar-communication beamforming," IEEE Transactions on Signal Processing, vol. 70, pp. 240–253, January 2022.</w:t>
      </w:r>
    </w:p>
    <w:p>
      <w:pPr>
        <w:spacing w:after="180" w:line="320"/>
        <w:ind w:left="360" w:hanging="360"/>
      </w:pPr>
      <w:r>
        <w:rPr>
          <w:sz w:val="22"/>
          <w:szCs w:val="22"/>
        </w:rPr>
        <w:t xml:space="preserve">[4] J. Singh, B. Naveen, S. Srivastava, A. K. Jagannatham, and L. Hanzo, "Pareto optimal hybrid beamforming for short-packet millimeter-wave integrated sensing and communication," arXiv preprint arXiv:2406.01945, June 2024.</w:t>
      </w:r>
    </w:p>
    <w:p>
      <w:pPr>
        <w:spacing w:after="180" w:line="320"/>
        <w:ind w:left="360" w:hanging="360"/>
      </w:pPr>
      <w:r>
        <w:rPr>
          <w:sz w:val="22"/>
          <w:szCs w:val="22"/>
        </w:rPr>
        <w:t xml:space="preserve">[5] S. Mura, D. Tagliaferri, M. Mizmizi, U. Spagnolini, and A. Petropulu, "Optimized waveform design for OFDM-based ISAC systems under limited resource occupancy," arXiv preprint arXiv:2406.19036, June 2024.</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ISAC 6G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8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Optimal Joint Radar-Communication Waveform Design - Project Report</dc:title>
  <dc:creator>Project Author</dc:creator>
  <cp:lastModifiedBy>Un-named</cp:lastModifiedBy>
  <cp:revision>1</cp:revision>
  <dcterms:created xsi:type="dcterms:W3CDTF">2026-05-03T23:19:17.436Z</dcterms:created>
  <dcterms:modified xsi:type="dcterms:W3CDTF">2026-05-03T23:19:17.437Z</dcterms:modified>
</cp:coreProperties>
</file>

<file path=docProps/custom.xml><?xml version="1.0" encoding="utf-8"?>
<Properties xmlns="http://schemas.openxmlformats.org/officeDocument/2006/custom-properties" xmlns:vt="http://schemas.openxmlformats.org/officeDocument/2006/docPropsVTypes"/>
</file>